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1S and 2S activities have been implemented effectively and the area is well maintained.</w:t>
      </w:r>
    </w:p>
    <w:p>
      <w:r>
        <w:t>2. 3S activities have been initiated in the model area.</w:t>
      </w:r>
    </w:p>
    <w:p>
      <w:r>
        <w:t>3. Maintenance check sheet needs to be maintained as per the defined format for the model area to ensure sustainability.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