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 effectively.</w:t>
      </w:r>
    </w:p>
    <w:p>
      <w:r>
        <w:t>2. Disposal register needs to be maintained.</w:t>
      </w:r>
    </w:p>
    <w:p>
      <w:r>
        <w:t>3. Cupboards require partitions for improved segregation and organization.</w:t>
      </w:r>
    </w:p>
    <w:p>
      <w:r>
        <w:t>4. 3S activities have been initiated; Seiso calendar needs to be maintained for the  model area.</w:t>
      </w:r>
    </w:p>
    <w:p>
      <w:r>
        <w:t>5. Material list requires updation to reflect current items.</w:t>
      </w:r>
    </w:p>
    <w:p>
      <w:r>
        <w:t>6. Red Tag list is maintained in a generalized manner and needs to be made item-specific for better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