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</w:t>
        <w:tab/>
        <w:t>Re-conduct Red Tagging activities.</w:t>
      </w:r>
    </w:p>
    <w:p>
      <w:r>
        <w:t>2.</w:t>
        <w:tab/>
        <w:t>Allocate proper storage locations for items lying on the floor.</w:t>
      </w:r>
    </w:p>
    <w:p>
      <w:r>
        <w:t>3.</w:t>
        <w:tab/>
        <w:t>Assign a designated storage location for paint boxes.</w:t>
      </w:r>
    </w:p>
    <w:p>
      <w:r>
        <w:t>4.</w:t>
        <w:tab/>
        <w:t>Segregate unwanted items and move them to designated locations.</w:t>
      </w:r>
    </w:p>
    <w:p>
      <w:r>
        <w:t>5.</w:t>
        <w:tab/>
        <w:t>Remove unnecessary materials.</w:t>
      </w:r>
    </w:p>
    <w:p>
      <w:r>
        <w:t>6.</w:t>
        <w:tab/>
        <w:t>Maintain a master spare-item database.</w:t>
      </w:r>
    </w:p>
    <w:p>
      <w:r>
        <w:t>7.</w:t>
        <w:tab/>
        <w:t>Introduce Green, Yellow, and Red level markings on rack bins.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