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Remove documents from the toolbox and store them in the designated cupboard.</w:t>
      </w:r>
    </w:p>
    <w:p>
      <w:r>
        <w:t>2.</w:t>
        <w:tab/>
        <w:t>Relocate decorative items to an appropriate location or consolidate them in a single designated area.</w:t>
      </w:r>
    </w:p>
    <w:p>
      <w:r>
        <w:t>3.</w:t>
        <w:tab/>
        <w:t>Display the list of spare items on the storage rack.</w:t>
      </w:r>
    </w:p>
    <w:p>
      <w:r>
        <w:t>4.</w:t>
        <w:tab/>
        <w:t>Arrange all files in a vertical position for better accessibility and visual management.</w:t>
      </w:r>
    </w:p>
    <w:p>
      <w:r>
        <w:t>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