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1.</w:t>
        <w:tab/>
        <w:t>One specific model area should be identified first, as covering all store rooms at once is time-consuming.</w:t>
      </w:r>
    </w:p>
    <w:p>
      <w:r>
        <w:t>2.</w:t>
        <w:tab/>
        <w:t>Combustible and non-combustible items should be stored separately.</w:t>
      </w:r>
    </w:p>
    <w:p>
      <w:r>
        <w:t>3.</w:t>
        <w:tab/>
        <w:t>All wanted and unwanted items in the store room should be segregated.</w:t>
      </w:r>
    </w:p>
    <w:p>
      <w:r>
        <w:t>4.</w:t>
        <w:tab/>
        <w:t>Books should be kept vertically in a designated location.</w:t>
      </w:r>
    </w:p>
    <w:p>
      <w:r>
        <w:t>5.</w:t>
        <w:tab/>
        <w:t>Instead of storing books in tool boxes, tools and spanners should be kept inside them.</w:t>
      </w:r>
    </w:p>
    <w:p>
      <w:r>
        <w:t>6.</w:t>
        <w:tab/>
        <w:t>The 1S Visual Display Board is missing and needs to be installed.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