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Key documents and displays such as 5S Visual Board, Model Zone Marking, Team Structure, Red-Tag Register, and Presentation were not available during the audit.</w:t>
      </w:r>
    </w:p>
    <w:p>
      <w:r>
        <w:t>2. While 1S implementation was satisfactory, 2S is not initiated properly.</w:t>
      </w:r>
    </w:p>
    <w:p>
      <w:r>
        <w:t>3. Segregation of the items kept in almirah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