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effectively and the area is well organized.</w:t>
      </w:r>
    </w:p>
    <w:p>
      <w:r>
        <w:t>2. 3S activities have been initiated in some sections of the model area and need to be deployed across all sections.</w:t>
      </w:r>
    </w:p>
    <w:p>
      <w:r>
        <w:t>3. Maintenance check sheet needs to be maintained for all sections in the model area.</w:t>
      </w:r>
    </w:p>
    <w:p>
      <w:r>
        <w:t>4. Minor labelling mismatches observed between the material list and physical locations need to be updated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