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программ лаболаторной работы номер 7</w:t>
      </w:r>
    </w:p>
    <w:p>
      <w:pPr>
        <w:pStyle w:val="CaptionedFigure"/>
      </w:pPr>
      <w:bookmarkStart w:id="25" w:name="fig:001"/>
      <w:r>
        <w:drawing>
          <wp:inline>
            <wp:extent cx="5334000" cy="913747"/>
            <wp:effectExtent b="0" l="0" r="0" t="0"/>
            <wp:docPr descr="Рис. 1: Создание файла hello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2"/>
        </w:numPr>
        <w:pStyle w:val="Compact"/>
      </w:pPr>
      <w:r>
        <w:t xml:space="preserve">Я просмотрел и ввёл программу для вывода значения регистра ax</w:t>
      </w:r>
    </w:p>
    <w:p>
      <w:pPr>
        <w:pStyle w:val="CaptionedFigure"/>
      </w:pPr>
      <w:bookmarkStart w:id="29" w:name="fig:002"/>
      <w:r>
        <w:drawing>
          <wp:inline>
            <wp:extent cx="5334000" cy="1254048"/>
            <wp:effectExtent b="0" l="0" r="0" t="0"/>
            <wp:docPr descr="Рис. 2: Открыт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Открытие файла</w:t>
      </w:r>
    </w:p>
    <w:p>
      <w:pPr>
        <w:numPr>
          <w:ilvl w:val="0"/>
          <w:numId w:val="1003"/>
        </w:numPr>
        <w:pStyle w:val="Compact"/>
      </w:pPr>
      <w:r>
        <w:t xml:space="preserve">Я изменил текст программы и вместо символов записал в регистры числа, далее их заменил и увидел результат</w:t>
      </w:r>
    </w:p>
    <w:p>
      <w:pPr>
        <w:pStyle w:val="CaptionedFigure"/>
      </w:pPr>
      <w:bookmarkStart w:id="33" w:name="fig:003"/>
      <w:r>
        <w:drawing>
          <wp:inline>
            <wp:extent cx="5334000" cy="1254048"/>
            <wp:effectExtent b="0" l="0" r="0" t="0"/>
            <wp:docPr descr="Рис. 3: Компиляция текс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текста</w:t>
      </w:r>
    </w:p>
    <w:p>
      <w:pPr>
        <w:numPr>
          <w:ilvl w:val="0"/>
          <w:numId w:val="1004"/>
        </w:numPr>
        <w:pStyle w:val="Compact"/>
      </w:pPr>
      <w:r>
        <w:t xml:space="preserve">Тоже самое проделал в файле lab6-2.asm, но проверял вывод eax</w:t>
      </w:r>
    </w:p>
    <w:p>
      <w:pPr>
        <w:pStyle w:val="CaptionedFigure"/>
      </w:pPr>
      <w:bookmarkStart w:id="37" w:name="fig:004"/>
      <w:r>
        <w:drawing>
          <wp:inline>
            <wp:extent cx="5334000" cy="1829536"/>
            <wp:effectExtent b="0" l="0" r="0" t="0"/>
            <wp:docPr descr="Рис. 4: Компиляция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файла</w:t>
      </w:r>
    </w:p>
    <w:p>
      <w:pPr>
        <w:numPr>
          <w:ilvl w:val="0"/>
          <w:numId w:val="1005"/>
        </w:numPr>
        <w:pStyle w:val="Compact"/>
      </w:pPr>
      <w:r>
        <w:t xml:space="preserve">Я изменил значение вывода</w:t>
      </w:r>
    </w:p>
    <w:p>
      <w:pPr>
        <w:pStyle w:val="CaptionedFigure"/>
      </w:pPr>
      <w:bookmarkStart w:id="41" w:name="fig:005"/>
      <w:r>
        <w:drawing>
          <wp:inline>
            <wp:extent cx="5334000" cy="696861"/>
            <wp:effectExtent b="0" l="0" r="0" t="0"/>
            <wp:docPr descr="Рис. 5: Обработка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Обработка файла</w:t>
      </w:r>
    </w:p>
    <w:p>
      <w:pPr>
        <w:numPr>
          <w:ilvl w:val="0"/>
          <w:numId w:val="1006"/>
        </w:numPr>
        <w:pStyle w:val="Compact"/>
      </w:pPr>
      <w:r>
        <w:t xml:space="preserve">Я решил уравнение f(x) = (5</w:t>
      </w:r>
      <w:r>
        <w:rPr>
          <w:iCs/>
          <w:i/>
        </w:rPr>
        <w:t xml:space="preserve">2+3)/3, f(x) = (4</w:t>
      </w:r>
      <w:r>
        <w:t xml:space="preserve">6+2)/5</w:t>
      </w:r>
    </w:p>
    <w:p>
      <w:pPr>
        <w:pStyle w:val="CaptionedFigure"/>
      </w:pPr>
      <w:bookmarkStart w:id="45" w:name="fig:006"/>
      <w:r>
        <w:drawing>
          <wp:inline>
            <wp:extent cx="5334000" cy="1247532"/>
            <wp:effectExtent b="0" l="0" r="0" t="0"/>
            <wp:docPr descr="Рис. 6: Команда mai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 main</w:t>
      </w:r>
    </w:p>
    <w:p>
      <w:pPr>
        <w:pStyle w:val="CaptionedFigure"/>
      </w:pPr>
      <w:bookmarkStart w:id="49" w:name="fig:007"/>
      <w:r>
        <w:drawing>
          <wp:inline>
            <wp:extent cx="5334000" cy="563917"/>
            <wp:effectExtent b="0" l="0" r="0" t="0"/>
            <wp:docPr descr="Рис. 7: Команда main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Команда main</w:t>
      </w:r>
    </w:p>
    <w:p>
      <w:pPr>
        <w:numPr>
          <w:ilvl w:val="0"/>
          <w:numId w:val="1007"/>
        </w:numPr>
        <w:pStyle w:val="Compact"/>
      </w:pPr>
      <w:r>
        <w:t xml:space="preserve">Я вывел запрос на введение студ.билета, вычислил номер варианта по формуле (𝑆𝑛 mod 20) + 1, где 𝑆𝑛 –</w:t>
      </w:r>
      <w:r>
        <w:t xml:space="preserve"> </w:t>
      </w:r>
      <w:r>
        <w:t xml:space="preserve">номер студенческого билета, вывел на экран номер варианта</w:t>
      </w:r>
    </w:p>
    <w:p>
      <w:pPr>
        <w:pStyle w:val="CaptionedFigure"/>
      </w:pPr>
      <w:bookmarkStart w:id="53" w:name="fig:008"/>
      <w:r>
        <w:drawing>
          <wp:inline>
            <wp:extent cx="5334000" cy="1623070"/>
            <wp:effectExtent b="0" l="0" r="0" t="0"/>
            <wp:docPr descr="Рис. 8: Запускаем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call sprint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 call</w:t>
      </w:r>
      <w:r>
        <w:t xml:space="preserve"> </w:t>
      </w:r>
      <w:r>
        <w:t xml:space="preserve">sread - вызов процедуры чтония данных;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Вызов atoi – функции преобразующей ascii-код символа в целое число</w:t>
      </w:r>
      <w:r>
        <w:t xml:space="preserve"> </w:t>
      </w:r>
      <w:r>
        <w:t xml:space="preserve">и записывающий результат в регистр eax.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 mov ebx,20 div ebx inc edx</w:t>
      </w:r>
    </w:p>
    <w:p>
      <w:pPr>
        <w:numPr>
          <w:ilvl w:val="0"/>
          <w:numId w:val="1013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ebx.</w:t>
      </w:r>
    </w:p>
    <w:p>
      <w:pPr>
        <w:numPr>
          <w:ilvl w:val="0"/>
          <w:numId w:val="101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используется для увеличения операнда на единицу.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mov eax,rem call sprint mov eax,edx call iprintLF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NASM и освоили арифмитические инструкции языка.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Федоров Андрей Андреевич</dc:creator>
  <dc:language>ru-RU</dc:language>
  <cp:keywords/>
  <dcterms:created xsi:type="dcterms:W3CDTF">2022-12-21T14:45:14Z</dcterms:created>
  <dcterms:modified xsi:type="dcterms:W3CDTF">2022-12-21T14:45:14Z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вычислительных систем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