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r>
        <w:t xml:space="preserve">Function after subscript (the 30 Sep case): </w:t>
      </w:r>
      <m:oMath>
        <m:sSub>
          <m:sSubPr>
            <m:ctrlPr/>
          </m:sSubPr>
          <m:e>
            <m:r>
              <m:t>a</m:t>
            </m:r>
          </m:e>
          <m:sub>
            <m:r>
              <m:t>n</m:t>
            </m:r>
          </m:sub>
        </m:sSub>
        <m:func>
          <m:funcPr>
            <m:ctrlPr/>
          </m:funcPr>
          <m:fName>
            <m:r>
              <m:rPr>
                <m:sty m:val="p"/>
              </m:rPr>
              <m:t>cos</m:t>
            </m:r>
          </m:fName>
          <m:e>
            <m:f>
              <m:fPr>
                <m:ctrlPr/>
              </m:fPr>
              <m:num>
                <m:r>
                  <m:t>nπx</m:t>
                </m:r>
              </m:num>
              <m:den>
                <m:r>
                  <m:t>L</m:t>
                </m:r>
              </m:den>
            </m:f>
          </m:e>
        </m:func>
      </m:oMath>
      <w:r>
        <w:t xml:space="preserve"> alphafuncsub</w:t>
      </w:r>
    </w:p>
    <w:p>
      <w:r>
        <w:t xml:space="preserve">alphaEQsubfunc: </w:t>
      </w:r>
      <m:oMath>
        <m:sSub>
          <m:sSubPr>
            <m:ctrlPr/>
          </m:sSubPr>
          <m:e>
            <m:r>
              <m:t>a</m:t>
            </m:r>
          </m:e>
          <m:sub>
            <m:r>
              <m:t>n</m:t>
            </m:r>
          </m:sub>
        </m:sSub>
        <m:func>
          <m:funcPr>
            <m:ctrlPr/>
          </m:funcPr>
          <m:fName>
            <m:r>
              <m:rPr>
                <m:sty m:val="p"/>
              </m:rPr>
              <m:t>cos</m:t>
            </m:r>
          </m:fName>
          <m:e>
            <m:r>
              <m:t>x</m:t>
            </m:r>
          </m:e>
        </m:func>
        <m:r>
          <m:t>+</m:t>
        </m:r>
        <m:sSub>
          <m:sSubPr>
            <m:ctrlPr/>
          </m:sSubPr>
          <m:e>
            <m:r>
              <m:t>b</m:t>
            </m:r>
          </m:e>
          <m:sub>
            <m:r>
              <m:t>n</m:t>
            </m:r>
          </m:sub>
        </m:sSub>
        <m:func>
          <m:funcPr>
            <m:ctrlPr/>
          </m:funcPr>
          <m:fName>
            <m:r>
              <m:rPr>
                <m:sty m:val="p"/>
              </m:rPr>
              <m:t>sin</m:t>
            </m:r>
          </m:fName>
          <m:e>
            <m:r>
              <m:t>x</m:t>
            </m:r>
          </m:e>
        </m:func>
      </m:oMath>
    </w:p>
    <w:p>
      <w:r>
        <w:t xml:space="preserve">alphaEQsubfuncdisp:</w:t>
      </w:r>
    </w:p>
    <w:p>
      <m:oMathPara>
        <m:oMath>
          <m:r>
            <m:t>f(x)=</m:t>
          </m:r>
          <m:sSub>
            <m:sSubPr>
              <m:ctrlPr/>
            </m:sSubPr>
            <m:e>
              <m:r>
                <m:t>a</m:t>
              </m:r>
            </m:e>
            <m:sub>
              <m:r>
                <m:t>0</m:t>
              </m:r>
            </m:sub>
          </m:sSub>
          <m:r>
            <m:t>+</m:t>
          </m:r>
          <m:nary>
            <m:naryPr>
              <m:chr m:val="∑"/>
              <m:ctrlPr/>
            </m:naryPr>
            <m:sub>
              <m:r>
                <m:t>n=1</m:t>
              </m:r>
            </m:sub>
            <m:sup>
              <m:r>
                <m:t>∞</m:t>
              </m:r>
            </m:sup>
            <m:e>
              <m:d>
                <m:dPr>
                  <m:begChr m:val="("/>
                  <m:endChr m:val=")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func>
                    <m:funcPr>
                      <m:ctrlPr/>
                    </m:funcPr>
                    <m:fName>
                      <m:r>
                        <m:rPr>
                          <m:sty m:val="p"/>
                        </m:rPr>
                        <m:t>cos</m:t>
                      </m:r>
                    </m:fName>
                    <m:e>
                      <m:f>
                        <m:fPr>
                          <m:ctrlPr/>
                        </m:fPr>
                        <m:num>
                          <m:r>
                            <m:t>nπx</m:t>
                          </m:r>
                        </m:num>
                        <m:den>
                          <m:r>
                            <m:t>L</m:t>
                          </m:r>
                        </m:den>
                      </m:f>
                    </m:e>
                  </m:func>
                  <m:r>
                    <m:t>+</m:t>
                  </m:r>
                  <m:sSub>
                    <m:sSubPr>
                      <m:ctrlPr/>
                    </m:sSubPr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func>
                    <m:funcPr>
                      <m:ctrlPr/>
                    </m:funcPr>
                    <m:fName>
                      <m:r>
                        <m:rPr>
                          <m:sty m:val="p"/>
                        </m:rPr>
                        <m:t>sin</m:t>
                      </m:r>
                    </m:fName>
                    <m:e>
                      <m:f>
                        <m:fPr>
                          <m:ctrlPr/>
                        </m:fPr>
                        <m:num>
                          <m:r>
                            <m:t>nπx</m:t>
                          </m:r>
                        </m:num>
                        <m:den>
                          <m: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>
      <w:r>
        <w:t xml:space="preserve">alphaEQtrig: </w:t>
      </w:r>
      <m:oMath>
        <m:func>
          <m:funcPr>
            <m:ctrlPr/>
          </m:funcPr>
          <m:fName>
            <m:r>
              <m:rPr>
                <m:sty m:val="p"/>
              </m:rPr>
              <m:t>tan</m:t>
            </m:r>
          </m:fName>
          <m:e>
            <m:r>
              <m:t>x</m:t>
            </m:r>
          </m:e>
        </m:func>
        <m:r>
          <m:t>=</m:t>
        </m:r>
        <m:f>
          <m:fPr>
            <m:ctrlPr/>
          </m:fPr>
          <m:num>
            <m:func>
              <m:funcPr>
                <m:ctrlPr/>
              </m:funcPr>
              <m:fName>
                <m:r>
                  <m:rPr>
                    <m:sty m:val="p"/>
                  </m:rPr>
                  <m:t>sin</m:t>
                </m:r>
              </m:fName>
              <m:e>
                <m:r>
                  <m:t>x</m:t>
                </m:r>
              </m:e>
            </m:func>
          </m:num>
          <m:den>
            <m:func>
              <m:funcPr>
                <m:ctrlPr/>
              </m:funcPr>
              <m:fName>
                <m:r>
                  <m:rPr>
                    <m:sty m:val="p"/>
                  </m:rPr>
                  <m:t>cos</m:t>
                </m:r>
              </m:fName>
              <m:e>
                <m:r>
                  <m:t>x</m:t>
                </m:r>
              </m:e>
            </m:func>
          </m:den>
        </m:f>
      </m:oMath>
    </w:p>
    <w:p>
      <w:r>
        <w:t xml:space="preserve">alphaEQln: </w:t>
      </w:r>
      <m:oMath>
        <m:func>
          <m:funcPr>
            <m:ctrlPr/>
          </m:funcPr>
          <m:fName>
            <m:r>
              <m:rPr>
                <m:sty m:val="p"/>
              </m:rPr>
              <m:t>ln</m:t>
            </m:r>
          </m:fName>
          <m:e>
            <m:r>
              <m:t>x</m:t>
            </m:r>
          </m:e>
        </m:func>
        <m:r>
          <m:t>+</m:t>
        </m:r>
        <m:func>
          <m:funcPr>
            <m:ctrlPr/>
          </m:funcPr>
          <m:fName>
            <m:r>
              <m:rPr>
                <m:sty m:val="p"/>
              </m:rPr>
              <m:t>exp</m:t>
            </m:r>
          </m:fName>
          <m:e>
            <m:r>
              <m:t>x</m:t>
            </m:r>
          </m:e>
        </m:func>
        <m:r>
          <m:t>+</m:t>
        </m:r>
        <m:func>
          <m:funcPr>
            <m:ctrlPr/>
          </m:funcPr>
          <m:fName>
            <m:r>
              <m:rPr>
                <m:sty m:val="p"/>
              </m:rPr>
              <m:t>max</m:t>
            </m:r>
          </m:fName>
          <m:e>
            <m:d>
              <m:dPr>
                <m:begChr m:val="("/>
                <m:sepChr m:val=","/>
                <m:endChr m:val=")"/>
                <m:ctrlPr/>
              </m:dPr>
              <m:e>
                <m:r>
                  <m:t>a</m:t>
                </m:r>
              </m:e>
              <m:e>
                <m:r>
                  <m:t>b</m:t>
                </m:r>
              </m:e>
            </m:d>
          </m:e>
        </m:func>
      </m:oMath>
    </w:p>
    <w:p>
      <w:r>
        <w:t xml:space="preserve">alphaEQparenfrac: </w:t>
      </w:r>
      <m:oMath>
        <m:d>
          <m:dPr>
            <m:begChr m:val="("/>
            <m:endChr m:val=")"/>
            <m:ctrlPr/>
          </m:dPr>
          <m:e>
            <m:f>
              <m:fPr>
                <m:ctrlPr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+</m:t>
        </m:r>
        <m:d>
          <m:dPr>
            <m:begChr m:val="["/>
            <m:endChr m:val="]"/>
            <m:ctrlPr/>
          </m:dPr>
          <m:e>
            <m:f>
              <m:fPr>
                <m:ctrlPr/>
              </m:fPr>
              <m:num>
                <m:r>
                  <m:t>c</m:t>
                </m:r>
              </m:num>
              <m:den>
                <m:r>
                  <m:t>d</m:t>
                </m:r>
              </m:den>
            </m:f>
          </m:e>
        </m:d>
      </m:oMath>
    </w:p>
    <w:p>
      <w:r>
        <w:t xml:space="preserve">alphaEQparentall: </w:t>
      </w:r>
      <m:oMath>
        <m:d>
          <m:dPr>
            <m:begChr m:val="("/>
            <m:endChr m:val=")"/>
            <m:ctrlPr/>
          </m:dPr>
          <m:e>
            <m:f>
              <m:fPr>
                <m:ctrlPr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sSupPr>
                <m:ctrlPr/>
              </m:sSupPr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ListParagraph"/>
        <w:numPr>
          <w:ilvl w:val="0"/>
          <w:numId w:val="2"/>
        </w:numPr>
      </w:pPr>
      <w:r>
        <w:t xml:space="preserve">alphalisteq </w:t>
      </w:r>
      <m:oMath>
        <m:f>
          <m:fPr>
            <m:ctrlPr/>
          </m:fPr>
          <m:num>
            <m:r>
              <m:t>a</m:t>
            </m:r>
          </m:num>
          <m:den>
            <m:r>
              <m:t>b</m:t>
            </m:r>
          </m:den>
        </m:f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</w:tblGrid>
      <w:tr>
        <w:tc>
          <w:tcPr>
            <w:tcW w:w="2000" w:type="dxa"/>
          </w:tcPr>
          <w:p>
            <w:r>
              <w:t xml:space="preserve">alphatableq </w:t>
            </w:r>
            <m:oMath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w="2000" w:type="dxa"/>
          </w:tcPr>
          <w:p>
            <w:r>
              <w:t xml:space="preserve">plain</w:t>
            </w:r>
          </w:p>
        </w:tc>
      </w:tr>
    </w:tbl>
    <w:p>
      <w:pPr>
        <w:pStyle w:val="Heading2"/>
      </w:pPr>
      <w:r>
        <w:t xml:space="preserve">Heading equation </w:t>
      </w:r>
      <m:oMath>
        <m:sSub>
          <m:sSubPr>
            <m:ctrlPr/>
          </m:sSubPr>
          <m:e>
            <m:r>
              <m:t>x</m:t>
            </m:r>
          </m:e>
          <m:sub>
            <m:r>
              <m:t>1</m:t>
            </m:r>
          </m:sub>
        </m:sSub>
      </m:oMath>
    </w:p>
    <w:p>
      <w:r>
        <w:t xml:space="preserve">Equation in footnote</w:t>
      </w:r>
      <w:r>
        <w:rPr>
          <w:rStyle w:val="FootnoteReference"/>
        </w:rPr>
        <w:footnoteReference w:id="1"/>
      </w:r>
    </w:p>
    <w:sectPr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Note with equation alphanoteeq.</w:t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"/>
      <w:lvlJc w:val="left"/>
      <w:pPr>
        <w:ind w:left="576" w:hanging="576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multiLevelType w:val="multilevel"/>
    <w:lvl w:ilvl="0">
      <w:start w:val="1"/>
      <w:numFmt w:val="bullet"/>
      <w:lvlText w:val="➢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✓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–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hAnsi="Arial" w:hint="default"/>
      </w:rPr>
    </w:lvl>
  </w:abstractNum>
  <w:abstractNum w:abstractNumId="4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  <w:lvl w:ilvl="2">
      <w:start w:val="1"/>
      <w:numFmt w:val="decimal"/>
      <w:pStyle w:val="Heading3"/>
      <w:lvlText w:val="%1.%2.%3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Roman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1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