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1F3A"/>
          <w:sz w:val="56"/>
          <w:szCs w:val="56"/>
        </w:rPr>
        <w:t xml:space="preserve">SALESRX</w:t>
      </w:r>
      <w:r>
        <w:rPr>
          <w:rFonts w:ascii="Arial" w:cs="Arial" w:eastAsia="Arial" w:hAnsi="Arial"/>
          <w:b/>
          <w:bCs/>
          <w:color w:val="0E8C55"/>
          <w:sz w:val="40"/>
          <w:szCs w:val="40"/>
        </w:rPr>
        <w:t xml:space="preserve">  ››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E8C55"/>
          <w:sz w:val="20"/>
          <w:szCs w:val="20"/>
        </w:rPr>
        <w:t xml:space="preserve">BUSINESS PLAN · 2026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Walk in already knowing.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AI sales intelligence that researches every prospect, personalizes the plan to each rep, and remembers every meeting.</w:t>
      </w:r>
    </w:p>
    <w:p>
      <w:pPr>
        <w:spacing w:after="140" w:line="288"/>
      </w:pPr>
      <w:r>
        <w:rPr>
          <w:rFonts w:ascii="Arial" w:cs="Arial" w:eastAsia="Arial" w:hAnsi="Arial"/>
          <w:color w:val="5A6675"/>
          <w:sz w:val="18"/>
          <w:szCs w:val="18"/>
        </w:rPr>
        <w:t xml:space="preserve">Prepared by Luke Jian · jian.lucian@gmail.com · github.com/sensware/salesrx · Confidential</w:t>
      </w:r>
    </w:p>
    <w:p>
      <w:pPr>
        <w:pBdr>
          <w:bottom w:val="single" w:color="C9D2DC" w:sz="6"/>
        </w:pBdr>
        <w:spacing w:after="2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 · Executive Summary</w:t>
      </w:r>
    </w:p>
    <w:p>
      <w:pPr>
        <w:spacing w:after="140" w:line="288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SalesRx is a pre-meeting intelligence platform for B2B sales reps. A rep defines their profile once — industry, competitors, differentiator — and SalesRx then researches any prospect live: news, funding, executive changes, hiring signals, and technology stack, synthesized by AI into a one-page brief with evidence-linked pain points, NEPQ question ladders, a decision map, and an objection forecast. Meeting notes feed a rolling account memory, so every brief for an account is smarter than the last.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the product is built and deployable today (v1.2): live AI research with citations, verified job-posting technographics, watchlist alerts, calendar auto-briefing, HubSpot sync, and Docker self-hosting. We are pre-revenue, seeking design partners and a pre-seed round of $1.0–1.5M to reach 100+ paying reps and the metrics for a strong seed.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 · The Problem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Reps spend most of the week not selling — prospect research is skipped or done badly minutes before the meeting.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Buyers punish generic outreach: signal-based, relevant engagement converts 4–6× better than static-list outreach, but few teams have a system that watches signals for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Enterprise data platforms (ZoomInfo-class, ~$15K+/yr) sell records, not readiness — and are priced out of reach of individual reps and SMB teams.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 · Product &amp; Technology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8C55"/>
          <w:sz w:val="24"/>
          <w:szCs w:val="24"/>
        </w:rPr>
        <w:t xml:space="preserve">What the rep gets</w:t>
      </w:r>
    </w:p>
    <w:p>
      <w:pPr>
        <w:spacing w:after="140" w:line="288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One mobile-ready brief per prospect: buying signals with source links, current stack and incumbent vendor, evidence-linked pain points each mapped to a four-step NEPQ question ladder (Situation → Problem → Consequence → Solution awareness), decision map (economic buyer / champion / blocker), rapport intel on a named contact, objection forecast with reframes, matched win-story angle, and a transparent fit score.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8C55"/>
          <w:sz w:val="24"/>
          <w:szCs w:val="24"/>
        </w:rPr>
        <w:t xml:space="preserve">How it works</w:t>
      </w:r>
    </w:p>
    <w:p>
      <w:pPr>
        <w:spacing w:after="140" w:line="288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Entity resolution → parallel signal collection (LLM web-search agent with citation requirements, plus TheirStack job-posting and technographic APIs) → one AI synthesis call personalized against the rep's profile and the account's memory → brief JSON rendered in-app. Cost per brief: $0.25–1.00, reduced by 24-hour caching. The stack is Next.js + the Anthropic API, self-hostable via Docker.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8C55"/>
          <w:sz w:val="24"/>
          <w:szCs w:val="24"/>
        </w:rPr>
        <w:t xml:space="preserve">Defensibility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Compounding account memory: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every logged meeting improves the next brief; switching away means starting from zero.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Rep-level personalization: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briefs are computed against each rep's moat and competitors, not generic summaries.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Workflow lock-in: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calendar auto-briefing and CRM sync make SalesRx the default motion an hour before every meeting.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Signal freshness: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nightly watchlist deltas create timing advantages that cannot be copied after the fact.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 · Market</w:t>
      </w:r>
    </w:p>
    <w:p>
      <w:pPr>
        <w:spacing w:after="140" w:line="288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The sales-intelligence category is large and growing: the technographic data segment alone grew from $367M (2020) to over $1B by 2026 (~26% CAGR). There are millions of B2B sales reps in the US alone; our serviceable segment is the individual rep and SMB/mid-market team that enterprise platforms price out. </w:t>
      </w: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Illustrative sizing: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1M addressable reps × $470/yr blended ≈ $470M serviceable market; capturing 0.5–2% over five years supports a venture-scale outcome.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Why now: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LLMs with live web search made cited, meeting-grade research producible in about a minute; signal data (job postings, technographics) is commoditized via API; and nearly half of global venture funding flowed to AI in 2025, keeping category tailwinds strong.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 · Competition</w:t>
      </w:r>
    </w:p>
    <w:p>
      <w:pPr>
        <w:spacing w:after="160"/>
      </w:pPr>
    </w:p>
    <w:tbl>
      <w:tblPr>
        <w:tblW w:type="dxa" w:w="954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300"/>
        <w:gridCol w:w="3600"/>
        <w:gridCol w:w="3640"/>
      </w:tblGrid>
      <w:tr>
        <w:trPr>
          <w:tblHeader/>
        </w:trPr>
        <w:tc>
          <w:tcPr>
            <w:tcW w:type="dxa" w:w="23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Player</w:t>
            </w:r>
          </w:p>
        </w:tc>
        <w:tc>
          <w:tcPr>
            <w:tcW w:type="dxa" w:w="36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sell</w:t>
            </w:r>
          </w:p>
        </w:tc>
        <w:tc>
          <w:tcPr>
            <w:tcW w:type="dxa" w:w="364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edge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ZoomInfo / Apollo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Contact &amp; firmographic databases at enterprise prices</w:t>
            </w:r>
          </w:p>
        </w:tc>
        <w:tc>
          <w:tcPr>
            <w:tcW w:type="dxa" w:w="3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We sell readiness, not records — at rep-level pricing</w:t>
            </w:r>
          </w:p>
        </w:tc>
      </w:tr>
      <w:tr>
        <w:tc>
          <w:tcPr>
            <w:tcW w:type="dxa" w:w="23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RepVantage</w:t>
            </w:r>
          </w:p>
        </w:tc>
        <w:tc>
          <w:tcPr>
            <w:tcW w:type="dxa" w:w="36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Field-sales briefs, beverage-distribution vertical</w:t>
            </w:r>
          </w:p>
        </w:tc>
        <w:tc>
          <w:tcPr>
            <w:tcW w:type="dxa" w:w="36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Horizontal, rep-personalized, with account memory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Generic AI chat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Ad-hoc prompts per meeting</w:t>
            </w:r>
          </w:p>
        </w:tc>
        <w:tc>
          <w:tcPr>
            <w:tcW w:type="dxa" w:w="36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Signals, citations, NEPQ methodology, memory, workflow</w:t>
            </w:r>
          </w:p>
        </w:tc>
      </w:tr>
      <w:tr>
        <w:tc>
          <w:tcPr>
            <w:tcW w:type="dxa" w:w="23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Sales engagement (Outreach etc.)</w:t>
            </w:r>
          </w:p>
        </w:tc>
        <w:tc>
          <w:tcPr>
            <w:tcW w:type="dxa" w:w="36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Sequencing &amp; activity tooling</w:t>
            </w:r>
          </w:p>
        </w:tc>
        <w:tc>
          <w:tcPr>
            <w:tcW w:type="dxa" w:w="36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We feed the meeting itself; complementary, not competitive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6 · Go-to-Market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Product-led bottom-up: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free tier (5 briefs/mo) lands individual reps; value is felt on the first brief. Pro at $39/rep/mo; Team tier at $79/rep/mo (shared memory, admin, SSO) follows the rep into the org.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Design partners first: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20 reps across 3–5 SMB sales teams; instrument brief→meeting outcomes to build the conversion-lift case study that anchors all later marketing.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Channels: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sales-community content (NEPQ/Sandler practitioners, r/sales, LinkedIn sales voices), HubSpot App Marketplace listing, and founder-led outbound using SalesRx itself — the product demos its own value in every cold email.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7 · Business Model &amp; Financial Outlook</w:t>
      </w:r>
    </w:p>
    <w:p>
      <w:pPr>
        <w:spacing w:after="160"/>
      </w:pPr>
    </w:p>
    <w:tbl>
      <w:tblPr>
        <w:tblW w:type="dxa" w:w="954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800"/>
        <w:gridCol w:w="1800"/>
        <w:gridCol w:w="5940"/>
      </w:tblGrid>
      <w:tr>
        <w:trPr>
          <w:tblHeader/>
        </w:trPr>
        <w:tc>
          <w:tcPr>
            <w:tcW w:type="dxa" w:w="18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594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$0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5 briefs/mo — acquisition engine</w:t>
            </w:r>
          </w:p>
        </w:tc>
      </w:tr>
      <w:tr>
        <w:tc>
          <w:tcPr>
            <w:tcW w:type="dxa" w:w="18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Pro</w:t>
            </w:r>
          </w:p>
        </w:tc>
        <w:tc>
          <w:tcPr>
            <w:tcW w:type="dxa" w:w="18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$39/rep/mo</w:t>
            </w:r>
          </w:p>
        </w:tc>
        <w:tc>
          <w:tcPr>
            <w:tcW w:type="dxa" w:w="59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Unlimited briefs, calendar auto-brief, watchlist, CRM sync, memory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Team (planned)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$79/rep/mo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Shared account memory, admin, SSO, Salesforce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Unit economics: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COGS ≈ $12/rep/mo at ~30 briefs (AI + data), ≈ 70% gross margin at Pro pricing, improving with caching and model-cost declines.</w:t>
      </w:r>
    </w:p>
    <w:p>
      <w:pPr>
        <w:spacing w:after="140" w:line="288"/>
      </w:pPr>
      <w:r>
        <w:rPr>
          <w:rFonts w:ascii="Arial" w:cs="Arial" w:eastAsia="Arial" w:hAnsi="Arial"/>
          <w:color w:val="0D1319"/>
          <w:sz w:val="21"/>
          <w:szCs w:val="21"/>
        </w:rPr>
        <w:t xml:space="default"/>
      </w:r>
    </w:p>
    <w:tbl>
      <w:tblPr>
        <w:tblW w:type="dxa" w:w="954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540"/>
        <w:gridCol w:w="2000"/>
        <w:gridCol w:w="2000"/>
        <w:gridCol w:w="2000"/>
      </w:tblGrid>
      <w:tr>
        <w:trPr>
          <w:tblHeader/>
        </w:trPr>
        <w:tc>
          <w:tcPr>
            <w:tcW w:type="dxa" w:w="354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Illustrative projection</w:t>
            </w:r>
          </w:p>
        </w:tc>
        <w:tc>
          <w:tcPr>
            <w:tcW w:type="dxa" w:w="20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Y1</w:t>
            </w:r>
          </w:p>
        </w:tc>
        <w:tc>
          <w:tcPr>
            <w:tcW w:type="dxa" w:w="20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Y2</w:t>
            </w:r>
          </w:p>
        </w:tc>
        <w:tc>
          <w:tcPr>
            <w:tcW w:type="dxa" w:w="20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Y3</w:t>
            </w:r>
          </w:p>
        </w:tc>
      </w:tr>
      <w:tr>
        <w:tc>
          <w:tcPr>
            <w:tcW w:type="dxa" w:w="35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Paid seats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600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3,000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35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Blended ARPU (mo)</w:t>
            </w:r>
          </w:p>
        </w:tc>
        <w:tc>
          <w:tcPr>
            <w:tcW w:type="dxa" w:w="20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$39</w:t>
            </w:r>
          </w:p>
        </w:tc>
        <w:tc>
          <w:tcPr>
            <w:tcW w:type="dxa" w:w="20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$47</w:t>
            </w:r>
          </w:p>
        </w:tc>
        <w:tc>
          <w:tcPr>
            <w:tcW w:type="dxa" w:w="20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$52</w:t>
            </w:r>
          </w:p>
        </w:tc>
      </w:tr>
      <w:tr>
        <w:tc>
          <w:tcPr>
            <w:tcW w:type="dxa" w:w="35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ARR (run-rate)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≈ $280K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≈ $1.7M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≈ $6.2M</w:t>
            </w:r>
          </w:p>
        </w:tc>
      </w:tr>
      <w:tr>
        <w:tc>
          <w:tcPr>
            <w:tcW w:type="dxa" w:w="35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0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~70%</w:t>
            </w:r>
          </w:p>
        </w:tc>
        <w:tc>
          <w:tcPr>
            <w:tcW w:type="dxa" w:w="20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~74%</w:t>
            </w:r>
          </w:p>
        </w:tc>
        <w:tc>
          <w:tcPr>
            <w:tcW w:type="dxa" w:w="20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~78%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i/>
          <w:iCs/>
          <w:color w:val="5A6675"/>
          <w:sz w:val="18"/>
          <w:szCs w:val="18"/>
        </w:rPr>
        <w:t xml:space="preserve">Projections are illustrative planning targets, not forecasts; they assume design-partner conversion in Y1 and team-tier expansion from Y2.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8 · Funding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8C55"/>
          <w:sz w:val="24"/>
          <w:szCs w:val="24"/>
        </w:rPr>
        <w:t xml:space="preserve">Round plan (benchmarked to 2026 market data)</w:t>
      </w:r>
    </w:p>
    <w:p>
      <w:pPr>
        <w:spacing w:after="160"/>
      </w:pPr>
    </w:p>
    <w:tbl>
      <w:tblPr>
        <w:tblW w:type="dxa" w:w="954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700"/>
        <w:gridCol w:w="1300"/>
        <w:gridCol w:w="3200"/>
        <w:gridCol w:w="3340"/>
      </w:tblGrid>
      <w:tr>
        <w:trPr>
          <w:tblHeader/>
        </w:trPr>
        <w:tc>
          <w:tcPr>
            <w:tcW w:type="dxa" w:w="17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13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32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 / valuation</w:t>
            </w:r>
          </w:p>
        </w:tc>
        <w:tc>
          <w:tcPr>
            <w:tcW w:type="dxa" w:w="334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Milestones it buys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Pre-seed (now)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$1.0–1.5M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Post-money SAFE, $8–12M cap (2026 medians: ~$1.2M raises at ~$10–15M caps; AI premium applies)</w:t>
            </w:r>
          </w:p>
        </w:tc>
        <w:tc>
          <w:tcPr>
            <w:tcW w:type="dxa" w:w="3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18-mo runway · 2 eng + 1 GTM hire · 20 design partners → 100+ paying reps · conversion-lift case study · SOC 2 started</w:t>
            </w:r>
          </w:p>
        </w:tc>
      </w:tr>
      <w:tr>
        <w:tc>
          <w:tcPr>
            <w:tcW w:type="dxa" w:w="17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Seed (in 12–18 mo)</w:t>
            </w:r>
          </w:p>
        </w:tc>
        <w:tc>
          <w:tcPr>
            <w:tcW w:type="dxa" w:w="13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$3–4.6M</w:t>
            </w:r>
          </w:p>
        </w:tc>
        <w:tc>
          <w:tcPr>
            <w:tcW w:type="dxa" w:w="32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Priced, ~$16M+ pre-money (2026 median seed ~$3.1M; AI seed median ~$4.6M at 20–30% premium)</w:t>
            </w:r>
          </w:p>
        </w:tc>
        <w:tc>
          <w:tcPr>
            <w:tcW w:type="dxa" w:w="33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$500K+ ARR · Team tier + Salesforce shipped · repeatable PLG→team motion · 3 lighthouse team logos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Series A (later)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$8–15M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Market-dependent</w:t>
            </w:r>
          </w:p>
        </w:tc>
        <w:tc>
          <w:tcPr>
            <w:tcW w:type="dxa" w:w="3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$2M+ ARR, net revenue retention &gt;110%, category leadership in rep-level intelligence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8C55"/>
          <w:sz w:val="24"/>
          <w:szCs w:val="24"/>
        </w:rPr>
        <w:t xml:space="preserve">Use of pre-seed funds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55% engineering (2 founding engineers): v2 multi-rep teams, Postgres, OAuth calendars, Salesforce, SOC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25% go-to-market (1 founder-adjacent GTM hire + content): design-partner program, community, marketplace listings.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15% data &amp; AI costs (briefs, signal APIs at scale) — these are COGS that scale with usage, not burn.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5% legal, compliance, ops.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8C55"/>
          <w:sz w:val="24"/>
          <w:szCs w:val="24"/>
        </w:rPr>
        <w:t xml:space="preserve">Target investors</w:t>
      </w:r>
    </w:p>
    <w:p>
      <w:pPr>
        <w:spacing w:after="140" w:line="288"/>
      </w:pPr>
      <w:r>
        <w:rPr>
          <w:rFonts w:ascii="Arial" w:cs="Arial" w:eastAsia="Arial" w:hAnsi="Arial"/>
          <w:color w:val="0D1319"/>
          <w:sz w:val="21"/>
          <w:szCs w:val="21"/>
        </w:rPr>
        <w:t xml:space="preserve">Prioritized for thesis fit — AI-native B2B SaaS, product-led growth, pre-revenue comfort:</w:t>
      </w:r>
    </w:p>
    <w:p>
      <w:pPr>
        <w:spacing w:after="160"/>
      </w:pPr>
    </w:p>
    <w:tbl>
      <w:tblPr>
        <w:tblW w:type="dxa" w:w="954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100"/>
        <w:gridCol w:w="1700"/>
        <w:gridCol w:w="5740"/>
      </w:tblGrid>
      <w:tr>
        <w:trPr>
          <w:tblHeader/>
        </w:trPr>
        <w:tc>
          <w:tcPr>
            <w:tcW w:type="dxa" w:w="21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Investor</w:t>
            </w:r>
          </w:p>
        </w:tc>
        <w:tc>
          <w:tcPr>
            <w:tcW w:type="dxa" w:w="170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/ check</w:t>
            </w:r>
          </w:p>
        </w:tc>
        <w:tc>
          <w:tcPr>
            <w:tcW w:type="dxa" w:w="5740"/>
            <w:shd w:fill="0B1F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they fit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NFX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Pre-seed/seed</w:t>
            </w:r>
          </w:p>
        </w:tc>
        <w:tc>
          <w:tcPr>
            <w:tcW w:type="dxa" w:w="5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Top-3 most active AI seed investor; thesis on AI + network effects — account memory is our compounding loop</w:t>
            </w:r>
          </w:p>
        </w:tc>
      </w:tr>
      <w:tr>
        <w:tc>
          <w:tcPr>
            <w:tcW w:type="dxa" w:w="21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BoxGroup</w:t>
            </w:r>
          </w:p>
        </w:tc>
        <w:tc>
          <w:tcPr>
            <w:tcW w:type="dxa" w:w="17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Pre-seed/seed</w:t>
            </w:r>
          </w:p>
        </w:tc>
        <w:tc>
          <w:tcPr>
            <w:tcW w:type="dxa" w:w="57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Backs pre-revenue, pre-launch B2B SaaS; among the most active US seed firms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Comma VC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$250–500K checks</w:t>
            </w:r>
          </w:p>
        </w:tc>
        <w:tc>
          <w:tcPr>
            <w:tcW w:type="dxa" w:w="5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Pre-seed/seed focus on SaaS and AI/ML — right-sized for a SAFE syndicate</w:t>
            </w:r>
          </w:p>
        </w:tc>
      </w:tr>
      <w:tr>
        <w:tc>
          <w:tcPr>
            <w:tcW w:type="dxa" w:w="21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Mighty Capital</w:t>
            </w:r>
          </w:p>
        </w:tc>
        <w:tc>
          <w:tcPr>
            <w:tcW w:type="dxa" w:w="17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Seed</w:t>
            </w:r>
          </w:p>
        </w:tc>
        <w:tc>
          <w:tcPr>
            <w:tcW w:type="dxa" w:w="57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Product-led B2B thesis; adoption-signal methodology matches our PLG motion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SignalFire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Seed</w:t>
            </w:r>
          </w:p>
        </w:tc>
        <w:tc>
          <w:tcPr>
            <w:tcW w:type="dxa" w:w="5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Data-driven firm with in-house GTM support — valuable for a sales-tech company</w:t>
            </w:r>
          </w:p>
        </w:tc>
      </w:tr>
      <w:tr>
        <w:tc>
          <w:tcPr>
            <w:tcW w:type="dxa" w:w="21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Outlander VC</w:t>
            </w:r>
          </w:p>
        </w:tc>
        <w:tc>
          <w:tcPr>
            <w:tcW w:type="dxa" w:w="17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Pre-seed</w:t>
            </w:r>
          </w:p>
        </w:tc>
        <w:tc>
          <w:tcPr>
            <w:tcW w:type="dxa" w:w="57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Leads pre-seed rounds; founder-first process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Sales-tech operator angels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$25–100K</w:t>
            </w:r>
          </w:p>
        </w:tc>
        <w:tc>
          <w:tcPr>
            <w:tcW w:type="dxa" w:w="57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Gong / Outreach / Apollo / HubSpot alumni — credibility, distribution, and design-partner intros</w:t>
            </w:r>
          </w:p>
        </w:tc>
      </w:tr>
      <w:tr>
        <w:tc>
          <w:tcPr>
            <w:tcW w:type="dxa" w:w="21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HubSpot Ventures (later)</w:t>
            </w:r>
          </w:p>
        </w:tc>
        <w:tc>
          <w:tcPr>
            <w:tcW w:type="dxa" w:w="170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Seed+</w:t>
            </w:r>
          </w:p>
        </w:tc>
        <w:tc>
          <w:tcPr>
            <w:tcW w:type="dxa" w:w="5740"/>
            <w:shd w:fill="F1F4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319"/>
                <w:sz w:val="19"/>
                <w:szCs w:val="19"/>
              </w:rPr>
              <w:t xml:space="preserve">Strategic: we already ship native HubSpot sync; marketplace distribution upside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Approach: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run a 4–6 week process; warm paths via operator angels first, institutional leads second. The deck (docs/salesrx-pitch-deck.pptx) and a live product demo are the core assets — the strongest slide is that the product already exists.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9 · Team &amp; Ask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Luke Jian — Founder.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Conceived, specified, and shipped SalesRx v1.0→v1.2 (product, AI pipeline, brand). Hiring plan: two founding engineers (full-stack + AI/infra) and one GTM lead at pre-seed close.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The ask: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$1.0–1.5M pre-seed on a post-money SAFE, plus 3–5 design-partner introductions to SMB B2B sales teams (5–50 reps).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10 · Risks &amp; Mitigation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Platform risk (LLM providers):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model-agnostic pipeline; the moat is memory + workflow, not the model.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Incumbent response (ZoomInfo adds AI briefs):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they monetize enterprise data seats; rep-level pricing and NEPQ-methodology depth are unattractive for them to copy.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Data accuracy / hallucination: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citation-required prompts, confidence labels, and never-invent rules are already shipped; accuracy is a stated brand value.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D1319"/>
          <w:sz w:val="21"/>
          <w:szCs w:val="21"/>
        </w:rPr>
        <w:t xml:space="preserve">Compliance: </w:t>
      </w:r>
      <w:r>
        <w:rPr>
          <w:rFonts w:ascii="Arial" w:cs="Arial" w:eastAsia="Arial" w:hAnsi="Arial"/>
          <w:color w:val="0D1319"/>
          <w:sz w:val="21"/>
          <w:szCs w:val="21"/>
        </w:rPr>
        <w:t xml:space="preserve">licensed data providers only, no LinkedIn scraping, GDPR/CCPA posture and SOC 2 funded in this round.</w:t>
      </w:r>
    </w:p>
    <w:p>
      <w:pPr>
        <w:spacing w:after="140" w:line="288"/>
      </w:pPr>
      <w:r>
        <w:rPr>
          <w:rFonts w:ascii="Arial" w:cs="Arial" w:eastAsia="Arial" w:hAnsi="Arial"/>
          <w:color w:val="0D1319"/>
          <w:sz w:val="21"/>
          <w:szCs w:val="21"/>
        </w:rPr>
        <w:t xml:space="default"/>
      </w:r>
    </w:p>
    <w:p>
      <w:pPr>
        <w:spacing w:after="140" w:line="288"/>
      </w:pPr>
      <w:r>
        <w:rPr>
          <w:rFonts w:ascii="Arial" w:cs="Arial" w:eastAsia="Arial" w:hAnsi="Arial"/>
          <w:i/>
          <w:iCs/>
          <w:color w:val="5A6675"/>
          <w:sz w:val="18"/>
          <w:szCs w:val="18"/>
        </w:rPr>
        <w:t xml:space="preserve">Sources: 2026 funding benchmarks from Carta pre-seed/seed data and founder guides (Flowjam, Capwave, ValueAddVC); market figures from Crustdata and industry analyses; investor profiles from OpenVC, NFX Signal, AI Funding Tracker, and Outlander. Figures should be re-verified at the time of raise.</w:t>
      </w:r>
    </w:p>
    <w:sectPr>
      <w:pgSz w:w="12240" w:h="15840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3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2026-07-17T06:15:35.639Z</dcterms:created>
  <dcterms:modified xsi:type="dcterms:W3CDTF">2026-07-17T06:15:35.639Z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