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Pr>
          <w:rFonts w:ascii="Times New Roman" w:hAnsi="Times New Roman"/>
          <w:b/>
          <w:sz w:val="48"/>
        </w:rPr>
        <w:t>A Novel Map Switching Algorithm and Generation Pipeline for Autonomous Mobile Robots in Eccentric Scenarios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hAnsi="Times New Roman"/>
          <w:sz w:val="18"/>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6" w:type="first"/>
          <w:pgSz w:h="16839" w:w="11907" w:orient="portrait"/>
          <w:pgMar w:bottom="1440" w:top="108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hAnsi="Times New Roman"/>
          <w:i/>
          <w:sz w:val="18"/>
        </w:rPr>
        <w:t>[Author details removed for double-blind peer review]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hAnsi="Times New Roman"/>
          <w:i/>
          <w:sz w:val="18"/>
        </w:rPr>
        <w:t>[Author details removed for double-blind peer review]</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hAnsi="Times New Roman"/>
          <w:i/>
          <w:sz w:val="18"/>
        </w:rPr>
        <w:t>[Author details removed for double-blind peer review]</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9" w:w="11907" w:orient="portrait"/>
          <w:pgMar w:bottom="1440" w:top="1080" w:left="893" w:right="893" w:header="720" w:footer="720"/>
          <w:cols w:equalWidth="0" w:num="4">
            <w:col w:space="216" w:w="2368.2500000000005"/>
            <w:col w:space="216" w:w="2368.2500000000005"/>
            <w:col w:space="216" w:w="2368.2500000000005"/>
            <w:col w:space="0" w:w="2368.2500000000005"/>
          </w:cols>
        </w:sectPr>
      </w:pPr>
      <w:r>
        <w:rPr>
          <w:rFonts w:ascii="Times New Roman" w:hAnsi="Times New Roman"/>
          <w:i/>
          <w:sz w:val="18"/>
        </w:rPr>
        <w:t>[Author details removed for double-blind peer review]</w:t>
      </w:r>
    </w:p>
    <w:p w:rsidR="00000000" w:rsidDel="00000000" w:rsidP="00000000" w:rsidRDefault="00000000" w:rsidRPr="00000000" w14:paraId="00000008">
      <w:pPr>
        <w:rPr>
          <w:vertAlign w:val="baseline"/>
        </w:rPr>
        <w:sectPr>
          <w:type w:val="continuous"/>
          <w:pgSz w:h="16839" w:w="11907" w:orient="portrait"/>
          <w:pgMar w:bottom="1440" w:top="1080" w:left="893" w:right="893" w:header="720" w:footer="720"/>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hAnsi="Times New Roman"/>
          <w:i/>
          <w:sz w:val="18"/>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hAnsi="Times New Roman"/>
          <w:i/>
          <w:sz w:val="18"/>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9" w:w="11907" w:orient="portrait"/>
          <w:pgMar w:bottom="1440" w:top="1080" w:left="893" w:right="893" w:header="720" w:footer="720"/>
          <w:cols w:equalWidth="0" w:num="4">
            <w:col w:space="216" w:w="2368.2500000000005"/>
            <w:col w:space="216" w:w="2368.2500000000005"/>
            <w:col w:space="216" w:w="2368.2500000000005"/>
            <w:col w:space="0" w:w="2368.2500000000005"/>
          </w:cols>
        </w:sect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9" w:w="11907" w:orient="portrait"/>
          <w:pgMar w:bottom="1440" w:top="1080" w:left="893" w:right="893" w:header="720" w:footer="720"/>
          <w:cols w:equalWidth="0" w:num="4">
            <w:col w:space="216" w:w="2368.2500000000005"/>
            <w:col w:space="216" w:w="2368.2500000000005"/>
            <w:col w:space="216" w:w="2368.2500000000005"/>
            <w:col w:space="0" w:w="2368.2500000000005"/>
          </w:cols>
        </w:sect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hAnsi="Times New Roman"/>
          <w:sz w:val="18"/>
        </w:rPr>
        <w:t>Abstract—Autonomous mobile robots operating in large indoor environments face a fundamental tension between map resolution and computational efficiency. Monolithic occupancy grid maps scale quadratically with environment size, imposing unsustainable memory and planning costs on resource-constrained embedded platforms. This paper presents a tile-based map switching system for ROS 2 and Nav2 that decomposes an occupancy grid into spatially overlapping tiles and dynamically loads only the tile corresponding to the robot’s current location. A custom Behavior Tree action node with heading-aware trigger zones and a four-state asynchronous state machine enables seamless tile transitions without interrupting navigation. Validated on a differential drive robot in a 60 m × 45 m indoor corridor environment, benchmarks demonstrate 93.8% reduction in active costmap cells and 77.6% reduction in Nav2 Planner Server memory, at +11.9% mean CPU overhead concentrated at tile switch events.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sectPr>
          <w:cols w:num="2" w:space="288"/>
        </w:sectPr>
      </w:pPr>
      <w:r>
        <w:rPr>
          <w:rFonts w:ascii="Times New Roman" w:hAnsi="Times New Roman"/>
          <w:i/>
          <w:sz w:val="18"/>
        </w:rPr>
        <w:t>Keywords—tile-based map switching; large-scale navigation; occupancy grid; memory-efficient mapping; dynamic map management; autonomous mobile robot</w:t>
      </w:r>
    </w:p>
    <w:p>
      <w:pPr>
        <w:pStyle w:val="Heading1"/>
      </w:pPr>
      <w:r>
        <w:rPr>
          <w:rFonts w:ascii="Times New Roman" w:hAnsi="Times New Roman"/>
        </w:rPr>
        <w:t>1. Introduction</w:t>
      </w:r>
    </w:p>
    <w:p>
      <w:pPr>
        <w:spacing w:after="80"/>
        <w:jc w:val="both"/>
      </w:pPr>
      <w:r>
        <w:rPr>
          <w:rFonts w:ascii="Times New Roman" w:hAnsi="Times New Roman"/>
          <w:sz w:val="20"/>
        </w:rPr>
        <w:t>Autonomous mobile robots operating in indoor environments depend fundamentally on accurate and computationally efficient map representations. The map serves as the primary spatial reference for localization, path planning, and obstacle avoidance, making its quality and management strategy central to overall navigation performance. As deployment environments expand from small rooms to building-scale spaces such as hospitals, warehouses, and university facilities, the demands placed on map representations have grown substantially.</w:t>
      </w:r>
    </w:p>
    <w:p>
      <w:pPr>
        <w:spacing w:after="80"/>
        <w:jc w:val="both"/>
      </w:pPr>
      <w:r>
        <w:rPr>
          <w:rFonts w:ascii="Times New Roman" w:hAnsi="Times New Roman"/>
          <w:sz w:val="20"/>
        </w:rPr>
        <w:t>The dominant paradigm for indoor robot navigation is the two-dimensional occupancy grid map [1]–[3], in which the environment is discretized into a uniform grid of cells, each assigned a probability of occupancy. Occupancy grids are intuitive, compatible with standard range sensors, and directly supported by widely used navigation frameworks such as ROS 2 and Nav2 [6]. However, their memory and computational cost scale with the square of the environment’s linear dimension at a fixed resolution. For a building-scale indoor environment spanning 60 m × 45 m at a navigation-grade resolution of 0.04 m per cell, a single monolithic occupancy grid requires over 1.46 million cells — allocating, updating, and planning over this costmap imposes a significant burden on resource-constrained embedded platforms such as the NVIDIA Jetson Nano.</w:t>
      </w:r>
    </w:p>
    <w:p>
      <w:pPr>
        <w:spacing w:after="80"/>
        <w:jc w:val="both"/>
      </w:pPr>
      <w:r>
        <w:rPr>
          <w:rFonts w:ascii="Times New Roman" w:hAnsi="Times New Roman"/>
          <w:sz w:val="20"/>
        </w:rPr>
        <w:t>Several alternative representations have been proposed to address this scaling challenge. Three-dimensional map representations, including OctoMap [2] and ColMap [1], address vertical dimensionality through hierarchical octree and run-length encoding schemes, achieving order-of-magnitude memory reductions — OctoMap reports up to 97% memory reduction through pruning, while ColMap achieves 12–15× lower memory than OctoMap at equivalent resolution. However, these methods still maintain a single global map whose memory footprint scales with environment size. Landmark-based maps [5] represent the environment as sparse feature sets, achieving mean localization accuracy of 0.284 m on urban-scale datasets. RC-Map [8] partitions free space into rectangular regions, requiring only 1.5% of grid-based planning computation and 3% of grid memory for large environments.</w:t>
      </w:r>
    </w:p>
    <w:p>
      <w:pPr>
        <w:spacing w:after="80"/>
        <w:jc w:val="both"/>
      </w:pPr>
      <w:r>
        <w:rPr>
          <w:rFonts w:ascii="Times New Roman" w:hAnsi="Times New Roman"/>
          <w:sz w:val="20"/>
        </w:rPr>
        <w:t>A more targeted strategy is partitioning the environment into spatial submaps loaded and unloaded at runtime. Semantic zone-based map management [9] implements this for 3D maps in hospital environments using RTAB-Map with manually defined zones. Submap joining approaches [10] optimize global map consistency from local submaps, achieving path joining of environments up to 250 m × 200 m in 2–6 seconds. Horelican [6] evaluates Nav2 on a custom platform, identifying that high-resolution maps cause bandwidth overload regardless of other navigation parameters — directly motivating map coverage management. However, existing submap approaches either target 3D maps, require specialized SLAM frameworks, or focus on map building rather than real-time navigation on pre-built maps.</w:t>
      </w:r>
    </w:p>
    <w:p>
      <w:pPr>
        <w:spacing w:after="80"/>
        <w:jc w:val="both"/>
      </w:pPr>
      <w:r>
        <w:rPr>
          <w:rFonts w:ascii="Times New Roman" w:hAnsi="Times New Roman"/>
          <w:sz w:val="20"/>
        </w:rPr>
        <w:t>The present work addresses this gap by proposing a tile-based map switching system for 2D occupancy grid navigation using the ROS 2 and Nav2 stack. The environment map is decomposed offline into spatially overlapping tiles, each covering one navigable zone of the floor. At runtime, only the tile corresponding to the robot’s current location is loaded into the map server. A custom Behavior Tree action node monitors the robot’s pose and heading at each navigation cycle and initiates an asynchronous tile switch when the robot enters a predefined overlap region between adjacent tiles.</w:t>
      </w:r>
    </w:p>
    <w:p>
      <w:pPr>
        <w:spacing w:after="40"/>
        <w:jc w:val="center"/>
      </w:pPr>
      <w:r>
        <w:rPr>
          <w:rFonts w:ascii="Times New Roman" w:hAnsi="Times New Roman"/>
          <w:b/>
          <w:sz w:val="16"/>
        </w:rPr>
        <w:t>Table 1. Comparison of map representation approaches for indoor robot navigation.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7"/>
        <w:gridCol w:w="1687"/>
        <w:gridCol w:w="1687"/>
        <w:gridCol w:w="1687"/>
        <w:gridCol w:w="1687"/>
        <w:gridCol w:w="1687"/>
      </w:tblGrid>
      <w:tr>
        <w:tc>
          <w:tcPr>
            <w:tcW w:type="dxa" w:w="1687"/>
          </w:tcPr>
          <w:p>
            <w:pPr>
              <w:jc w:val="center"/>
            </w:pPr>
            <w:r/>
            <w:r>
              <w:rPr>
                <w:rFonts w:ascii="Times New Roman" w:hAnsi="Times New Roman"/>
                <w:b/>
                <w:sz w:val="16"/>
              </w:rPr>
              <w:t>Method</w:t>
            </w:r>
          </w:p>
        </w:tc>
        <w:tc>
          <w:tcPr>
            <w:tcW w:type="dxa" w:w="1687"/>
          </w:tcPr>
          <w:p>
            <w:pPr>
              <w:jc w:val="center"/>
            </w:pPr>
            <w:r/>
            <w:r>
              <w:rPr>
                <w:rFonts w:ascii="Times New Roman" w:hAnsi="Times New Roman"/>
                <w:b/>
                <w:sz w:val="16"/>
              </w:rPr>
              <w:t>Representation</w:t>
            </w:r>
          </w:p>
        </w:tc>
        <w:tc>
          <w:tcPr>
            <w:tcW w:type="dxa" w:w="1687"/>
          </w:tcPr>
          <w:p>
            <w:pPr>
              <w:jc w:val="center"/>
            </w:pPr>
            <w:r/>
            <w:r>
              <w:rPr>
                <w:rFonts w:ascii="Times New Roman" w:hAnsi="Times New Roman"/>
                <w:b/>
                <w:sz w:val="16"/>
              </w:rPr>
              <w:t>Memory</w:t>
            </w:r>
          </w:p>
        </w:tc>
        <w:tc>
          <w:tcPr>
            <w:tcW w:type="dxa" w:w="1687"/>
          </w:tcPr>
          <w:p>
            <w:pPr>
              <w:jc w:val="center"/>
            </w:pPr>
            <w:r/>
            <w:r>
              <w:rPr>
                <w:rFonts w:ascii="Times New Roman" w:hAnsi="Times New Roman"/>
                <w:b/>
                <w:sz w:val="16"/>
              </w:rPr>
              <w:t>Partial</w:t>
              <w:br/>
              <w:t>Load</w:t>
            </w:r>
          </w:p>
        </w:tc>
        <w:tc>
          <w:tcPr>
            <w:tcW w:type="dxa" w:w="1687"/>
          </w:tcPr>
          <w:p>
            <w:pPr>
              <w:jc w:val="center"/>
            </w:pPr>
            <w:r/>
            <w:r>
              <w:rPr>
                <w:rFonts w:ascii="Times New Roman" w:hAnsi="Times New Roman"/>
                <w:b/>
                <w:sz w:val="16"/>
              </w:rPr>
              <w:t>2D</w:t>
              <w:br/>
              <w:t>Nav2</w:t>
            </w:r>
          </w:p>
        </w:tc>
        <w:tc>
          <w:tcPr>
            <w:tcW w:type="dxa" w:w="1687"/>
          </w:tcPr>
          <w:p>
            <w:pPr>
              <w:jc w:val="center"/>
            </w:pPr>
            <w:r/>
            <w:r>
              <w:rPr>
                <w:rFonts w:ascii="Times New Roman" w:hAnsi="Times New Roman"/>
                <w:b/>
                <w:sz w:val="16"/>
              </w:rPr>
              <w:t>Embedded</w:t>
            </w:r>
          </w:p>
        </w:tc>
      </w:tr>
      <w:tr>
        <w:tc>
          <w:tcPr>
            <w:tcW w:type="dxa" w:w="1687"/>
          </w:tcPr>
          <w:p>
            <w:r/>
            <w:r>
              <w:rPr>
                <w:rFonts w:ascii="Times New Roman" w:hAnsi="Times New Roman"/>
                <w:sz w:val="16"/>
              </w:rPr>
              <w:t>OctoMap [2]</w:t>
            </w:r>
          </w:p>
        </w:tc>
        <w:tc>
          <w:tcPr>
            <w:tcW w:type="dxa" w:w="1687"/>
          </w:tcPr>
          <w:p>
            <w:r/>
            <w:r>
              <w:rPr>
                <w:rFonts w:ascii="Times New Roman" w:hAnsi="Times New Roman"/>
                <w:sz w:val="16"/>
              </w:rPr>
              <w:t>3D Octree</w:t>
            </w:r>
          </w:p>
        </w:tc>
        <w:tc>
          <w:tcPr>
            <w:tcW w:type="dxa" w:w="1687"/>
          </w:tcPr>
          <w:p>
            <w:r/>
            <w:r>
              <w:rPr>
                <w:rFonts w:ascii="Times New Roman" w:hAnsi="Times New Roman"/>
                <w:sz w:val="16"/>
              </w:rPr>
              <w:t>O(n³)</w:t>
              <w:br/>
              <w:t>compr.</w:t>
            </w:r>
          </w:p>
        </w:tc>
        <w:tc>
          <w:tcPr>
            <w:tcW w:type="dxa" w:w="1687"/>
          </w:tcPr>
          <w:p>
            <w:r/>
            <w:r>
              <w:rPr>
                <w:rFonts w:ascii="Times New Roman" w:hAnsi="Times New Roman"/>
                <w:sz w:val="16"/>
              </w:rPr>
              <w:t>No</w:t>
            </w:r>
          </w:p>
        </w:tc>
        <w:tc>
          <w:tcPr>
            <w:tcW w:type="dxa" w:w="1687"/>
          </w:tcPr>
          <w:p>
            <w:r/>
            <w:r>
              <w:rPr>
                <w:rFonts w:ascii="Times New Roman" w:hAnsi="Times New Roman"/>
                <w:sz w:val="16"/>
              </w:rPr>
              <w:t>No</w:t>
            </w:r>
          </w:p>
        </w:tc>
        <w:tc>
          <w:tcPr>
            <w:tcW w:type="dxa" w:w="1687"/>
          </w:tcPr>
          <w:p>
            <w:r/>
            <w:r>
              <w:rPr>
                <w:rFonts w:ascii="Times New Roman" w:hAnsi="Times New Roman"/>
                <w:sz w:val="16"/>
              </w:rPr>
              <w:t>Partial</w:t>
            </w:r>
          </w:p>
        </w:tc>
      </w:tr>
      <w:tr>
        <w:tc>
          <w:tcPr>
            <w:tcW w:type="dxa" w:w="1687"/>
          </w:tcPr>
          <w:p>
            <w:r/>
            <w:r>
              <w:rPr>
                <w:rFonts w:ascii="Times New Roman" w:hAnsi="Times New Roman"/>
                <w:sz w:val="16"/>
              </w:rPr>
              <w:t>ColMap [1]</w:t>
            </w:r>
          </w:p>
        </w:tc>
        <w:tc>
          <w:tcPr>
            <w:tcW w:type="dxa" w:w="1687"/>
          </w:tcPr>
          <w:p>
            <w:r/>
            <w:r>
              <w:rPr>
                <w:rFonts w:ascii="Times New Roman" w:hAnsi="Times New Roman"/>
                <w:sz w:val="16"/>
              </w:rPr>
              <w:t>2D N²-tree</w:t>
              <w:br/>
              <w:t>+RLE</w:t>
            </w:r>
          </w:p>
        </w:tc>
        <w:tc>
          <w:tcPr>
            <w:tcW w:type="dxa" w:w="1687"/>
          </w:tcPr>
          <w:p>
            <w:r/>
            <w:r>
              <w:rPr>
                <w:rFonts w:ascii="Times New Roman" w:hAnsi="Times New Roman"/>
                <w:sz w:val="16"/>
              </w:rPr>
              <w:t>Sub-</w:t>
              <w:br/>
              <w:t>linear</w:t>
            </w:r>
          </w:p>
        </w:tc>
        <w:tc>
          <w:tcPr>
            <w:tcW w:type="dxa" w:w="1687"/>
          </w:tcPr>
          <w:p>
            <w:r/>
            <w:r>
              <w:rPr>
                <w:rFonts w:ascii="Times New Roman" w:hAnsi="Times New Roman"/>
                <w:sz w:val="16"/>
              </w:rPr>
              <w:t>No</w:t>
            </w:r>
          </w:p>
        </w:tc>
        <w:tc>
          <w:tcPr>
            <w:tcW w:type="dxa" w:w="1687"/>
          </w:tcPr>
          <w:p>
            <w:r/>
            <w:r>
              <w:rPr>
                <w:rFonts w:ascii="Times New Roman" w:hAnsi="Times New Roman"/>
                <w:sz w:val="16"/>
              </w:rPr>
              <w:t>No</w:t>
            </w:r>
          </w:p>
        </w:tc>
        <w:tc>
          <w:tcPr>
            <w:tcW w:type="dxa" w:w="1687"/>
          </w:tcPr>
          <w:p>
            <w:r/>
            <w:r>
              <w:rPr>
                <w:rFonts w:ascii="Times New Roman" w:hAnsi="Times New Roman"/>
                <w:sz w:val="16"/>
              </w:rPr>
              <w:t>Partial</w:t>
            </w:r>
          </w:p>
        </w:tc>
      </w:tr>
      <w:tr>
        <w:tc>
          <w:tcPr>
            <w:tcW w:type="dxa" w:w="1687"/>
          </w:tcPr>
          <w:p>
            <w:r/>
            <w:r>
              <w:rPr>
                <w:rFonts w:ascii="Times New Roman" w:hAnsi="Times New Roman"/>
                <w:sz w:val="16"/>
              </w:rPr>
              <w:t>OGM [3]</w:t>
            </w:r>
          </w:p>
        </w:tc>
        <w:tc>
          <w:tcPr>
            <w:tcW w:type="dxa" w:w="1687"/>
          </w:tcPr>
          <w:p>
            <w:r/>
            <w:r>
              <w:rPr>
                <w:rFonts w:ascii="Times New Roman" w:hAnsi="Times New Roman"/>
                <w:sz w:val="16"/>
              </w:rPr>
              <w:t>Binary</w:t>
              <w:br/>
              <w:t>2D Grid</w:t>
            </w:r>
          </w:p>
        </w:tc>
        <w:tc>
          <w:tcPr>
            <w:tcW w:type="dxa" w:w="1687"/>
          </w:tcPr>
          <w:p>
            <w:r/>
            <w:r>
              <w:rPr>
                <w:rFonts w:ascii="Times New Roman" w:hAnsi="Times New Roman"/>
                <w:sz w:val="16"/>
              </w:rPr>
              <w:t>O(n²)</w:t>
            </w:r>
          </w:p>
        </w:tc>
        <w:tc>
          <w:tcPr>
            <w:tcW w:type="dxa" w:w="1687"/>
          </w:tcPr>
          <w:p>
            <w:r/>
            <w:r>
              <w:rPr>
                <w:rFonts w:ascii="Times New Roman" w:hAnsi="Times New Roman"/>
                <w:sz w:val="16"/>
              </w:rPr>
              <w:t>No</w:t>
            </w:r>
          </w:p>
        </w:tc>
        <w:tc>
          <w:tcPr>
            <w:tcW w:type="dxa" w:w="1687"/>
          </w:tcPr>
          <w:p>
            <w:r/>
            <w:r>
              <w:rPr>
                <w:rFonts w:ascii="Times New Roman" w:hAnsi="Times New Roman"/>
                <w:sz w:val="16"/>
              </w:rPr>
              <w:t>Yes</w:t>
            </w:r>
          </w:p>
        </w:tc>
        <w:tc>
          <w:tcPr>
            <w:tcW w:type="dxa" w:w="1687"/>
          </w:tcPr>
          <w:p>
            <w:r/>
            <w:r>
              <w:rPr>
                <w:rFonts w:ascii="Times New Roman" w:hAnsi="Times New Roman"/>
                <w:sz w:val="16"/>
              </w:rPr>
              <w:t>Yes</w:t>
            </w:r>
          </w:p>
        </w:tc>
      </w:tr>
      <w:tr>
        <w:tc>
          <w:tcPr>
            <w:tcW w:type="dxa" w:w="1687"/>
          </w:tcPr>
          <w:p>
            <w:r/>
            <w:r>
              <w:rPr>
                <w:rFonts w:ascii="Times New Roman" w:hAnsi="Times New Roman"/>
                <w:sz w:val="16"/>
              </w:rPr>
              <w:t>RC-Map [8]</w:t>
            </w:r>
          </w:p>
        </w:tc>
        <w:tc>
          <w:tcPr>
            <w:tcW w:type="dxa" w:w="1687"/>
          </w:tcPr>
          <w:p>
            <w:r/>
            <w:r>
              <w:rPr>
                <w:rFonts w:ascii="Times New Roman" w:hAnsi="Times New Roman"/>
                <w:sz w:val="16"/>
              </w:rPr>
              <w:t>Rect.</w:t>
              <w:br/>
              <w:t>Graph</w:t>
            </w:r>
          </w:p>
        </w:tc>
        <w:tc>
          <w:tcPr>
            <w:tcW w:type="dxa" w:w="1687"/>
          </w:tcPr>
          <w:p>
            <w:r/>
            <w:r>
              <w:rPr>
                <w:rFonts w:ascii="Times New Roman" w:hAnsi="Times New Roman"/>
                <w:sz w:val="16"/>
              </w:rPr>
              <w:t>~3% of</w:t>
              <w:br/>
              <w:t>grid</w:t>
            </w:r>
          </w:p>
        </w:tc>
        <w:tc>
          <w:tcPr>
            <w:tcW w:type="dxa" w:w="1687"/>
          </w:tcPr>
          <w:p>
            <w:r/>
            <w:r>
              <w:rPr>
                <w:rFonts w:ascii="Times New Roman" w:hAnsi="Times New Roman"/>
                <w:sz w:val="16"/>
              </w:rPr>
              <w:t>No</w:t>
            </w:r>
          </w:p>
        </w:tc>
        <w:tc>
          <w:tcPr>
            <w:tcW w:type="dxa" w:w="1687"/>
          </w:tcPr>
          <w:p>
            <w:r/>
            <w:r>
              <w:rPr>
                <w:rFonts w:ascii="Times New Roman" w:hAnsi="Times New Roman"/>
                <w:sz w:val="16"/>
              </w:rPr>
              <w:t>Custom</w:t>
            </w:r>
          </w:p>
        </w:tc>
        <w:tc>
          <w:tcPr>
            <w:tcW w:type="dxa" w:w="1687"/>
          </w:tcPr>
          <w:p>
            <w:r/>
            <w:r>
              <w:rPr>
                <w:rFonts w:ascii="Times New Roman" w:hAnsi="Times New Roman"/>
                <w:sz w:val="16"/>
              </w:rPr>
              <w:t>Yes</w:t>
            </w:r>
          </w:p>
        </w:tc>
      </w:tr>
      <w:tr>
        <w:tc>
          <w:tcPr>
            <w:tcW w:type="dxa" w:w="1687"/>
          </w:tcPr>
          <w:p>
            <w:r/>
            <w:r>
              <w:rPr>
                <w:rFonts w:ascii="Times New Roman" w:hAnsi="Times New Roman"/>
                <w:sz w:val="16"/>
              </w:rPr>
              <w:t>Landmark [5]</w:t>
            </w:r>
          </w:p>
        </w:tc>
        <w:tc>
          <w:tcPr>
            <w:tcW w:type="dxa" w:w="1687"/>
          </w:tcPr>
          <w:p>
            <w:r/>
            <w:r>
              <w:rPr>
                <w:rFonts w:ascii="Times New Roman" w:hAnsi="Times New Roman"/>
                <w:sz w:val="16"/>
              </w:rPr>
              <w:t>Sparse</w:t>
              <w:br/>
              <w:t>features</w:t>
            </w:r>
          </w:p>
        </w:tc>
        <w:tc>
          <w:tcPr>
            <w:tcW w:type="dxa" w:w="1687"/>
          </w:tcPr>
          <w:p>
            <w:r/>
            <w:r>
              <w:rPr>
                <w:rFonts w:ascii="Times New Roman" w:hAnsi="Times New Roman"/>
                <w:sz w:val="16"/>
              </w:rPr>
              <w:t>O(land-</w:t>
              <w:br/>
              <w:t>marks)</w:t>
            </w:r>
          </w:p>
        </w:tc>
        <w:tc>
          <w:tcPr>
            <w:tcW w:type="dxa" w:w="1687"/>
          </w:tcPr>
          <w:p>
            <w:r/>
            <w:r>
              <w:rPr>
                <w:rFonts w:ascii="Times New Roman" w:hAnsi="Times New Roman"/>
                <w:sz w:val="16"/>
              </w:rPr>
              <w:t>No</w:t>
            </w:r>
          </w:p>
        </w:tc>
        <w:tc>
          <w:tcPr>
            <w:tcW w:type="dxa" w:w="1687"/>
          </w:tcPr>
          <w:p>
            <w:r/>
            <w:r>
              <w:rPr>
                <w:rFonts w:ascii="Times New Roman" w:hAnsi="Times New Roman"/>
                <w:sz w:val="16"/>
              </w:rPr>
              <w:t>No</w:t>
            </w:r>
          </w:p>
        </w:tc>
        <w:tc>
          <w:tcPr>
            <w:tcW w:type="dxa" w:w="1687"/>
          </w:tcPr>
          <w:p>
            <w:r/>
            <w:r>
              <w:rPr>
                <w:rFonts w:ascii="Times New Roman" w:hAnsi="Times New Roman"/>
                <w:sz w:val="16"/>
              </w:rPr>
              <w:t>Yes</w:t>
            </w:r>
          </w:p>
        </w:tc>
      </w:tr>
      <w:tr>
        <w:tc>
          <w:tcPr>
            <w:tcW w:type="dxa" w:w="1687"/>
          </w:tcPr>
          <w:p>
            <w:r/>
            <w:r>
              <w:rPr>
                <w:rFonts w:ascii="Times New Roman" w:hAnsi="Times New Roman"/>
                <w:sz w:val="16"/>
              </w:rPr>
              <w:t>Semantic [9]</w:t>
            </w:r>
          </w:p>
        </w:tc>
        <w:tc>
          <w:tcPr>
            <w:tcW w:type="dxa" w:w="1687"/>
          </w:tcPr>
          <w:p>
            <w:r/>
            <w:r>
              <w:rPr>
                <w:rFonts w:ascii="Times New Roman" w:hAnsi="Times New Roman"/>
                <w:sz w:val="16"/>
              </w:rPr>
              <w:t>3D RTAB</w:t>
              <w:br/>
              <w:t>+zones</w:t>
            </w:r>
          </w:p>
        </w:tc>
        <w:tc>
          <w:tcPr>
            <w:tcW w:type="dxa" w:w="1687"/>
          </w:tcPr>
          <w:p>
            <w:r/>
            <w:r>
              <w:rPr>
                <w:rFonts w:ascii="Times New Roman" w:hAnsi="Times New Roman"/>
                <w:sz w:val="16"/>
              </w:rPr>
              <w:t>Bounded</w:t>
            </w:r>
          </w:p>
        </w:tc>
        <w:tc>
          <w:tcPr>
            <w:tcW w:type="dxa" w:w="1687"/>
          </w:tcPr>
          <w:p>
            <w:r/>
            <w:r>
              <w:rPr>
                <w:rFonts w:ascii="Times New Roman" w:hAnsi="Times New Roman"/>
                <w:sz w:val="16"/>
              </w:rPr>
              <w:t>Yes(zone)</w:t>
            </w:r>
          </w:p>
        </w:tc>
        <w:tc>
          <w:tcPr>
            <w:tcW w:type="dxa" w:w="1687"/>
          </w:tcPr>
          <w:p>
            <w:r/>
            <w:r>
              <w:rPr>
                <w:rFonts w:ascii="Times New Roman" w:hAnsi="Times New Roman"/>
                <w:sz w:val="16"/>
              </w:rPr>
              <w:t>No</w:t>
            </w:r>
          </w:p>
        </w:tc>
        <w:tc>
          <w:tcPr>
            <w:tcW w:type="dxa" w:w="1687"/>
          </w:tcPr>
          <w:p>
            <w:r/>
            <w:r>
              <w:rPr>
                <w:rFonts w:ascii="Times New Roman" w:hAnsi="Times New Roman"/>
                <w:sz w:val="16"/>
              </w:rPr>
              <w:t>Partial</w:t>
            </w:r>
          </w:p>
        </w:tc>
      </w:tr>
      <w:tr>
        <w:tc>
          <w:tcPr>
            <w:tcW w:type="dxa" w:w="1687"/>
          </w:tcPr>
          <w:p>
            <w:r/>
            <w:r>
              <w:rPr>
                <w:rFonts w:ascii="Times New Roman" w:hAnsi="Times New Roman"/>
                <w:sz w:val="16"/>
              </w:rPr>
              <w:t>Submap Joining [10]</w:t>
            </w:r>
          </w:p>
        </w:tc>
        <w:tc>
          <w:tcPr>
            <w:tcW w:type="dxa" w:w="1687"/>
          </w:tcPr>
          <w:p>
            <w:r/>
            <w:r>
              <w:rPr>
                <w:rFonts w:ascii="Times New Roman" w:hAnsi="Times New Roman"/>
                <w:sz w:val="16"/>
              </w:rPr>
              <w:t>Grid</w:t>
              <w:br/>
              <w:t>submaps</w:t>
            </w:r>
          </w:p>
        </w:tc>
        <w:tc>
          <w:tcPr>
            <w:tcW w:type="dxa" w:w="1687"/>
          </w:tcPr>
          <w:p>
            <w:r/>
            <w:r>
              <w:rPr>
                <w:rFonts w:ascii="Times New Roman" w:hAnsi="Times New Roman"/>
                <w:sz w:val="16"/>
              </w:rPr>
              <w:t>O(sub-</w:t>
              <w:br/>
              <w:t>maps)</w:t>
            </w:r>
          </w:p>
        </w:tc>
        <w:tc>
          <w:tcPr>
            <w:tcW w:type="dxa" w:w="1687"/>
          </w:tcPr>
          <w:p>
            <w:r/>
            <w:r>
              <w:rPr>
                <w:rFonts w:ascii="Times New Roman" w:hAnsi="Times New Roman"/>
                <w:sz w:val="16"/>
              </w:rPr>
              <w:t>No</w:t>
            </w:r>
          </w:p>
        </w:tc>
        <w:tc>
          <w:tcPr>
            <w:tcW w:type="dxa" w:w="1687"/>
          </w:tcPr>
          <w:p>
            <w:r/>
            <w:r>
              <w:rPr>
                <w:rFonts w:ascii="Times New Roman" w:hAnsi="Times New Roman"/>
                <w:sz w:val="16"/>
              </w:rPr>
              <w:t>Partial</w:t>
            </w:r>
          </w:p>
        </w:tc>
        <w:tc>
          <w:tcPr>
            <w:tcW w:type="dxa" w:w="1687"/>
          </w:tcPr>
          <w:p>
            <w:r/>
            <w:r>
              <w:rPr>
                <w:rFonts w:ascii="Times New Roman" w:hAnsi="Times New Roman"/>
                <w:sz w:val="16"/>
              </w:rPr>
              <w:t>Partial</w:t>
            </w:r>
          </w:p>
        </w:tc>
      </w:tr>
      <w:tr>
        <w:tc>
          <w:tcPr>
            <w:tcW w:type="dxa" w:w="1687"/>
          </w:tcPr>
          <w:p>
            <w:r/>
            <w:r>
              <w:rPr>
                <w:rFonts w:ascii="Times New Roman" w:hAnsi="Times New Roman"/>
                <w:sz w:val="16"/>
              </w:rPr>
              <w:t>Proposed</w:t>
            </w:r>
          </w:p>
        </w:tc>
        <w:tc>
          <w:tcPr>
            <w:tcW w:type="dxa" w:w="1687"/>
          </w:tcPr>
          <w:p>
            <w:r/>
            <w:r>
              <w:rPr>
                <w:rFonts w:ascii="Times New Roman" w:hAnsi="Times New Roman"/>
                <w:sz w:val="16"/>
              </w:rPr>
              <w:t>2D OGM</w:t>
              <w:br/>
              <w:t>tiles</w:t>
            </w:r>
          </w:p>
        </w:tc>
        <w:tc>
          <w:tcPr>
            <w:tcW w:type="dxa" w:w="1687"/>
          </w:tcPr>
          <w:p>
            <w:r/>
            <w:r>
              <w:rPr>
                <w:rFonts w:ascii="Times New Roman" w:hAnsi="Times New Roman"/>
                <w:sz w:val="16"/>
              </w:rPr>
              <w:t>O(1) active</w:t>
            </w:r>
          </w:p>
        </w:tc>
        <w:tc>
          <w:tcPr>
            <w:tcW w:type="dxa" w:w="1687"/>
          </w:tcPr>
          <w:p>
            <w:r/>
            <w:r>
              <w:rPr>
                <w:rFonts w:ascii="Times New Roman" w:hAnsi="Times New Roman"/>
                <w:sz w:val="16"/>
              </w:rPr>
              <w:t>Yes</w:t>
              <w:br/>
              <w:t>(tile)</w:t>
            </w:r>
          </w:p>
        </w:tc>
        <w:tc>
          <w:tcPr>
            <w:tcW w:type="dxa" w:w="1687"/>
          </w:tcPr>
          <w:p>
            <w:r/>
            <w:r>
              <w:rPr>
                <w:rFonts w:ascii="Times New Roman" w:hAnsi="Times New Roman"/>
                <w:sz w:val="16"/>
              </w:rPr>
              <w:t>Yes</w:t>
            </w:r>
          </w:p>
        </w:tc>
        <w:tc>
          <w:tcPr>
            <w:tcW w:type="dxa" w:w="1687"/>
          </w:tcPr>
          <w:p>
            <w:r/>
            <w:r>
              <w:rPr>
                <w:rFonts w:ascii="Times New Roman" w:hAnsi="Times New Roman"/>
                <w:sz w:val="16"/>
              </w:rPr>
              <w:t>Yes</w:t>
            </w:r>
          </w:p>
        </w:tc>
      </w:tr>
    </w:tbl>
    <w:p>
      <w:pPr>
        <w:spacing w:after="40"/>
      </w:pPr>
    </w:p>
    <w:p>
      <w:pPr>
        <w:spacing w:after="80"/>
        <w:jc w:val="both"/>
      </w:pPr>
      <w:r>
        <w:rPr>
          <w:rFonts w:ascii="Times New Roman" w:hAnsi="Times New Roman"/>
          <w:sz w:val="20"/>
        </w:rPr>
        <w:t>The proposed tile-based approach is the only method in the surveyed literature that simultaneously satisfies all five criteria. The key contributions are: (1) a tile-based decomposition strategy constraining active costmap size to a per-tile constant; (2) a heading-aware trigger zone mechanism for bidirectional transitions; (3) a non-blocking asynchronous state machine for seamless switching; and (4) a quantitative benchmark comparing monolithic and tessellated approaches.</w:t>
      </w:r>
    </w:p>
    <w:p>
      <w:pPr>
        <w:spacing w:after="120"/>
        <w:jc w:val="both"/>
      </w:pPr>
      <w:r>
        <w:rPr>
          <w:rFonts w:ascii="Times New Roman" w:hAnsi="Times New Roman"/>
          <w:sz w:val="20"/>
        </w:rPr>
        <w:t>The remainder of this paper is organized as follows. Section 2 describes the experimental platform and software stack. Section 3 presents the map data generation pipeline. Section 4 details the map switching algorithm. Section 5 presents benchmark results. Section 6 concludes.</w:t>
      </w:r>
    </w:p>
    <w:p>
      <w:pPr>
        <w:pStyle w:val="Heading1"/>
      </w:pPr>
      <w:r>
        <w:rPr>
          <w:rFonts w:ascii="Times New Roman" w:hAnsi="Times New Roman"/>
        </w:rPr>
        <w:t>2. Experimental Setup and Software Tools</w:t>
      </w:r>
    </w:p>
    <w:p>
      <w:pPr>
        <w:spacing w:after="80"/>
        <w:jc w:val="both"/>
      </w:pPr>
      <w:r>
        <w:rPr>
          <w:rFonts w:ascii="Times New Roman" w:hAnsi="Times New Roman"/>
          <w:sz w:val="20"/>
        </w:rPr>
        <w:t>This section describes the robotic platform, sensor configuration, target deployment environment, and software infrastructure.</w:t>
      </w:r>
    </w:p>
    <w:p>
      <w:pPr>
        <w:pStyle w:val="Heading2"/>
      </w:pPr>
      <w:r>
        <w:rPr>
          <w:rFonts w:ascii="Times New Roman" w:hAnsi="Times New Roman"/>
        </w:rPr>
        <w:t>2.1 Robot Platform</w:t>
      </w:r>
    </w:p>
    <w:p>
      <w:pPr>
        <w:spacing w:after="0"/>
        <w:jc w:val="center"/>
      </w:pPr>
      <w:r>
        <w:drawing>
          <wp:inline>
            <wp:extent cx="2926080" cy="6498298"/>
            <wp:docPr id="1" name="Picture 1"/>
            <wp:cNvGraphicFramePr>
              <a:graphicFrameLocks noChangeAspect="1"/>
            </wp:cNvGraphicFramePr>
            <a:graphic>
              <a:graphicData uri="http://schemas.openxmlformats.org/drawingml/2006/picture">
                <pic:pic>
                  <pic:nvPicPr>
                    <pic:cNvPr id="0" name="img_rId6.png"/>
                    <pic:cNvPicPr/>
                  </pic:nvPicPr>
                  <pic:blipFill>
                    <a:blip r:embed="rId8"/>
                    <a:stretch>
                      <a:fillRect/>
                    </a:stretch>
                  </pic:blipFill>
                  <pic:spPr>
                    <a:xfrm>
                      <a:off x="0" y="0"/>
                      <a:ext cx="2926080" cy="6498298"/>
                    </a:xfrm>
                    <a:prstGeom prst="rect"/>
                  </pic:spPr>
                </pic:pic>
              </a:graphicData>
            </a:graphic>
          </wp:inline>
        </w:drawing>
      </w:r>
    </w:p>
    <w:p>
      <w:pPr>
        <w:spacing w:before="40" w:after="120"/>
        <w:jc w:val="center"/>
      </w:pPr>
      <w:r>
        <w:rPr>
          <w:rFonts w:ascii="Times New Roman" w:hAnsi="Times New Roman"/>
          <w:i/>
          <w:sz w:val="16"/>
        </w:rPr>
        <w:t>Fig. 1. The NI Dani-based differential drive robot platform with custom superstructure. The ZED Mini stereo camera is mounted at 800 mm height on the front face, tilted 30° downward. The elevated acrylic tray (750 mm) serves as the material transfer payload.</w:t>
      </w:r>
    </w:p>
    <w:p>
      <w:pPr>
        <w:spacing w:after="80"/>
        <w:jc w:val="both"/>
      </w:pPr>
      <w:r>
        <w:rPr>
          <w:rFonts w:ascii="Times New Roman" w:hAnsi="Times New Roman"/>
          <w:sz w:val="20"/>
        </w:rPr>
        <w:t>The experimental platform is based on the NI Dani mobile robot chassis configured for differential drive operation, extended with a custom superstructure: four vertical carbon fiber tubes supporting an elevated acrylic payload tray at 750 mm. The onboard computing unit is an NVIDIA Jetson Nano (4 GB RAM, ARM64) running Ubuntu 22.04 with ROS 2 Humble. The motor driver is a Cytron SmartDuo30 dual-channel brushed DC motor controller. The software stack is containerized using Docker for development consistency across AMD64 and ARM64 platforms.</w:t>
      </w:r>
    </w:p>
    <w:p>
      <w:pPr>
        <w:pStyle w:val="Heading2"/>
      </w:pPr>
      <w:r>
        <w:rPr>
          <w:rFonts w:ascii="Times New Roman" w:hAnsi="Times New Roman"/>
        </w:rPr>
        <w:t>2.2 Sensors and Localization</w:t>
      </w:r>
    </w:p>
    <w:p>
      <w:pPr>
        <w:spacing w:after="80"/>
        <w:jc w:val="both"/>
      </w:pPr>
      <w:r>
        <w:rPr>
          <w:rFonts w:ascii="Times New Roman" w:hAnsi="Times New Roman"/>
          <w:sz w:val="20"/>
        </w:rPr>
        <w:t>The robot is equipped with a single ZED Mini stereo camera (Stereolabs, SDK v4.2.5) as the sole exteroceptive sensor, mounted at 800 mm height on the front face, tilted 30° downward. Localization is performed entirely by the ZED ROS 2 wrapper using visual-inertial odometry with IMU fusion. No external LiDAR, GPS, or additional range sensors are used.</w:t>
      </w:r>
    </w:p>
    <w:p>
      <w:pPr>
        <w:spacing w:after="0"/>
        <w:jc w:val="center"/>
      </w:pPr>
      <w:r>
        <w:drawing>
          <wp:inline>
            <wp:extent cx="2926080" cy="1633852"/>
            <wp:docPr id="2" name="Picture 2"/>
            <wp:cNvGraphicFramePr>
              <a:graphicFrameLocks noChangeAspect="1"/>
            </wp:cNvGraphicFramePr>
            <a:graphic>
              <a:graphicData uri="http://schemas.openxmlformats.org/drawingml/2006/picture">
                <pic:pic>
                  <pic:nvPicPr>
                    <pic:cNvPr id="0" name="img_rId7.png"/>
                    <pic:cNvPicPr/>
                  </pic:nvPicPr>
                  <pic:blipFill>
                    <a:blip r:embed="rId9"/>
                    <a:stretch>
                      <a:fillRect/>
                    </a:stretch>
                  </pic:blipFill>
                  <pic:spPr>
                    <a:xfrm>
                      <a:off x="0" y="0"/>
                      <a:ext cx="2926080" cy="1633852"/>
                    </a:xfrm>
                    <a:prstGeom prst="rect"/>
                  </pic:spPr>
                </pic:pic>
              </a:graphicData>
            </a:graphic>
          </wp:inline>
        </w:drawing>
      </w:r>
    </w:p>
    <w:p>
      <w:pPr>
        <w:spacing w:before="40" w:after="120"/>
        <w:jc w:val="center"/>
      </w:pPr>
      <w:r>
        <w:rPr>
          <w:rFonts w:ascii="Times New Roman" w:hAnsi="Times New Roman"/>
          <w:i/>
          <w:sz w:val="16"/>
        </w:rPr>
        <w:t>Fig. 2. RViz visualization of a tessellated tile loaded during live navigation. The active costmap covers only the current tile region; the remainder of the floor is not represented in memory.</w:t>
      </w:r>
    </w:p>
    <w:p>
      <w:pPr>
        <w:pStyle w:val="Heading2"/>
      </w:pPr>
      <w:r>
        <w:rPr>
          <w:rFonts w:ascii="Times New Roman" w:hAnsi="Times New Roman"/>
        </w:rPr>
        <w:t>2.3 Application and Deployment Environment</w:t>
      </w:r>
    </w:p>
    <w:p>
      <w:pPr>
        <w:spacing w:after="80"/>
        <w:jc w:val="both"/>
      </w:pPr>
      <w:r>
        <w:rPr>
          <w:rFonts w:ascii="Times New Roman" w:hAnsi="Times New Roman"/>
          <w:sz w:val="20"/>
        </w:rPr>
        <w:t>The target environment is a university building corridor network spanning approximately 60 m × 45 m with laboratories, classrooms, and staff rooms. At 0.04 m/cell resolution, the monolithic map spans 1,466,724 cells, of which only 11.7% are navigable—the remaining 88.3% corresponds to walls and room interiors.</w:t>
      </w:r>
    </w:p>
    <w:p>
      <w:pPr>
        <w:pStyle w:val="Heading2"/>
      </w:pPr>
      <w:r>
        <w:rPr>
          <w:rFonts w:ascii="Times New Roman" w:hAnsi="Times New Roman"/>
        </w:rPr>
        <w:t>2.4 System Requirements</w:t>
      </w:r>
    </w:p>
    <w:p>
      <w:pPr>
        <w:spacing w:after="80"/>
        <w:jc w:val="both"/>
      </w:pPr>
      <w:r>
        <w:rPr>
          <w:rFonts w:ascii="Times New Roman" w:hAnsi="Times New Roman"/>
          <w:sz w:val="20"/>
        </w:rPr>
        <w:t>Design requirements: 0.04 m/cell resolution; tile switch latency &lt; 500 ms; 500 ms minimum inter-switch interval; 300 ms post-switch costmap rebuild delay; platform memory constrained by Jetson Nano 4 GB RAM.</w:t>
      </w:r>
    </w:p>
    <w:p>
      <w:pPr>
        <w:pStyle w:val="Heading2"/>
      </w:pPr>
      <w:r>
        <w:rPr>
          <w:rFonts w:ascii="Times New Roman" w:hAnsi="Times New Roman"/>
        </w:rPr>
        <w:t>2.5 Software Libraries and Tools</w:t>
      </w:r>
    </w:p>
    <w:p>
      <w:pPr>
        <w:spacing w:after="40"/>
        <w:jc w:val="center"/>
      </w:pPr>
      <w:r>
        <w:rPr>
          <w:rFonts w:ascii="Times New Roman" w:hAnsi="Times New Roman"/>
          <w:b/>
          <w:sz w:val="16"/>
        </w:rPr>
        <w:t>Table 2. Software libraries and tools used in the system.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74"/>
        <w:gridCol w:w="3374"/>
        <w:gridCol w:w="3374"/>
      </w:tblGrid>
      <w:tr>
        <w:tc>
          <w:tcPr>
            <w:tcW w:type="dxa" w:w="3374"/>
          </w:tcPr>
          <w:p>
            <w:pPr>
              <w:jc w:val="center"/>
            </w:pPr>
            <w:r/>
            <w:r>
              <w:rPr>
                <w:rFonts w:ascii="Times New Roman" w:hAnsi="Times New Roman"/>
                <w:b/>
                <w:sz w:val="16"/>
              </w:rPr>
              <w:t>Library / Tool</w:t>
            </w:r>
          </w:p>
        </w:tc>
        <w:tc>
          <w:tcPr>
            <w:tcW w:type="dxa" w:w="3374"/>
          </w:tcPr>
          <w:p>
            <w:pPr>
              <w:jc w:val="center"/>
            </w:pPr>
            <w:r/>
            <w:r>
              <w:rPr>
                <w:rFonts w:ascii="Times New Roman" w:hAnsi="Times New Roman"/>
                <w:b/>
                <w:sz w:val="16"/>
              </w:rPr>
              <w:t>Version</w:t>
            </w:r>
          </w:p>
        </w:tc>
        <w:tc>
          <w:tcPr>
            <w:tcW w:type="dxa" w:w="3374"/>
          </w:tcPr>
          <w:p>
            <w:pPr>
              <w:jc w:val="center"/>
            </w:pPr>
            <w:r/>
            <w:r>
              <w:rPr>
                <w:rFonts w:ascii="Times New Roman" w:hAnsi="Times New Roman"/>
                <w:b/>
                <w:sz w:val="16"/>
              </w:rPr>
              <w:t>Role</w:t>
            </w:r>
          </w:p>
        </w:tc>
      </w:tr>
      <w:tr>
        <w:tc>
          <w:tcPr>
            <w:tcW w:type="dxa" w:w="3374"/>
          </w:tcPr>
          <w:p>
            <w:r/>
            <w:r>
              <w:rPr>
                <w:rFonts w:ascii="Times New Roman" w:hAnsi="Times New Roman"/>
                <w:sz w:val="16"/>
              </w:rPr>
              <w:t>ROS 2 Humble</w:t>
            </w:r>
          </w:p>
        </w:tc>
        <w:tc>
          <w:tcPr>
            <w:tcW w:type="dxa" w:w="3374"/>
          </w:tcPr>
          <w:p>
            <w:r/>
            <w:r>
              <w:rPr>
                <w:rFonts w:ascii="Times New Roman" w:hAnsi="Times New Roman"/>
                <w:sz w:val="16"/>
              </w:rPr>
              <w:t>Humble</w:t>
            </w:r>
          </w:p>
        </w:tc>
        <w:tc>
          <w:tcPr>
            <w:tcW w:type="dxa" w:w="3374"/>
          </w:tcPr>
          <w:p>
            <w:r/>
            <w:r>
              <w:rPr>
                <w:rFonts w:ascii="Times New Roman" w:hAnsi="Times New Roman"/>
                <w:sz w:val="16"/>
              </w:rPr>
              <w:t>Middleware and navigation</w:t>
            </w:r>
          </w:p>
        </w:tc>
      </w:tr>
      <w:tr>
        <w:tc>
          <w:tcPr>
            <w:tcW w:type="dxa" w:w="3374"/>
          </w:tcPr>
          <w:p>
            <w:r/>
            <w:r>
              <w:rPr>
                <w:rFonts w:ascii="Times New Roman" w:hAnsi="Times New Roman"/>
                <w:sz w:val="16"/>
              </w:rPr>
              <w:t>Nav2</w:t>
            </w:r>
          </w:p>
        </w:tc>
        <w:tc>
          <w:tcPr>
            <w:tcW w:type="dxa" w:w="3374"/>
          </w:tcPr>
          <w:p>
            <w:r/>
            <w:r>
              <w:rPr>
                <w:rFonts w:ascii="Times New Roman" w:hAnsi="Times New Roman"/>
                <w:sz w:val="16"/>
              </w:rPr>
              <w:t>1.1.20</w:t>
            </w:r>
          </w:p>
        </w:tc>
        <w:tc>
          <w:tcPr>
            <w:tcW w:type="dxa" w:w="3374"/>
          </w:tcPr>
          <w:p>
            <w:r/>
            <w:r>
              <w:rPr>
                <w:rFonts w:ascii="Times New Roman" w:hAnsi="Times New Roman"/>
                <w:sz w:val="16"/>
              </w:rPr>
              <w:t>Navigation stack</w:t>
            </w:r>
          </w:p>
        </w:tc>
      </w:tr>
      <w:tr>
        <w:tc>
          <w:tcPr>
            <w:tcW w:type="dxa" w:w="3374"/>
          </w:tcPr>
          <w:p>
            <w:r/>
            <w:r>
              <w:rPr>
                <w:rFonts w:ascii="Times New Roman" w:hAnsi="Times New Roman"/>
                <w:sz w:val="16"/>
              </w:rPr>
              <w:t>BehaviorTree.CPP</w:t>
            </w:r>
          </w:p>
        </w:tc>
        <w:tc>
          <w:tcPr>
            <w:tcW w:type="dxa" w:w="3374"/>
          </w:tcPr>
          <w:p>
            <w:r/>
            <w:r>
              <w:rPr>
                <w:rFonts w:ascii="Times New Roman" w:hAnsi="Times New Roman"/>
                <w:sz w:val="16"/>
              </w:rPr>
              <w:t>3.8.7</w:t>
            </w:r>
          </w:p>
        </w:tc>
        <w:tc>
          <w:tcPr>
            <w:tcW w:type="dxa" w:w="3374"/>
          </w:tcPr>
          <w:p>
            <w:r/>
            <w:r>
              <w:rPr>
                <w:rFonts w:ascii="Times New Roman" w:hAnsi="Times New Roman"/>
                <w:sz w:val="16"/>
              </w:rPr>
              <w:t>BT execution engine</w:t>
            </w:r>
          </w:p>
        </w:tc>
      </w:tr>
      <w:tr>
        <w:tc>
          <w:tcPr>
            <w:tcW w:type="dxa" w:w="3374"/>
          </w:tcPr>
          <w:p>
            <w:r/>
            <w:r>
              <w:rPr>
                <w:rFonts w:ascii="Times New Roman" w:hAnsi="Times New Roman"/>
                <w:sz w:val="16"/>
              </w:rPr>
              <w:t>ZED SDK</w:t>
            </w:r>
          </w:p>
        </w:tc>
        <w:tc>
          <w:tcPr>
            <w:tcW w:type="dxa" w:w="3374"/>
          </w:tcPr>
          <w:p>
            <w:r/>
            <w:r>
              <w:rPr>
                <w:rFonts w:ascii="Times New Roman" w:hAnsi="Times New Roman"/>
                <w:sz w:val="16"/>
              </w:rPr>
              <w:t>4.2.5</w:t>
            </w:r>
          </w:p>
        </w:tc>
        <w:tc>
          <w:tcPr>
            <w:tcW w:type="dxa" w:w="3374"/>
          </w:tcPr>
          <w:p>
            <w:r/>
            <w:r>
              <w:rPr>
                <w:rFonts w:ascii="Times New Roman" w:hAnsi="Times New Roman"/>
                <w:sz w:val="16"/>
              </w:rPr>
              <w:t>Stereo camera, VIO</w:t>
            </w:r>
          </w:p>
        </w:tc>
      </w:tr>
      <w:tr>
        <w:tc>
          <w:tcPr>
            <w:tcW w:type="dxa" w:w="3374"/>
          </w:tcPr>
          <w:p>
            <w:r/>
            <w:r>
              <w:rPr>
                <w:rFonts w:ascii="Times New Roman" w:hAnsi="Times New Roman"/>
                <w:sz w:val="16"/>
              </w:rPr>
              <w:t>CycloneDDS</w:t>
            </w:r>
          </w:p>
        </w:tc>
        <w:tc>
          <w:tcPr>
            <w:tcW w:type="dxa" w:w="3374"/>
          </w:tcPr>
          <w:p>
            <w:r/>
            <w:r>
              <w:rPr>
                <w:rFonts w:ascii="Times New Roman" w:hAnsi="Times New Roman"/>
                <w:sz w:val="16"/>
              </w:rPr>
              <w:t>1.3.4</w:t>
            </w:r>
          </w:p>
        </w:tc>
        <w:tc>
          <w:tcPr>
            <w:tcW w:type="dxa" w:w="3374"/>
          </w:tcPr>
          <w:p>
            <w:r/>
            <w:r>
              <w:rPr>
                <w:rFonts w:ascii="Times New Roman" w:hAnsi="Times New Roman"/>
                <w:sz w:val="16"/>
              </w:rPr>
              <w:t>DDS middleware</w:t>
            </w:r>
          </w:p>
        </w:tc>
      </w:tr>
      <w:tr>
        <w:tc>
          <w:tcPr>
            <w:tcW w:type="dxa" w:w="3374"/>
          </w:tcPr>
          <w:p>
            <w:r/>
            <w:r>
              <w:rPr>
                <w:rFonts w:ascii="Times New Roman" w:hAnsi="Times New Roman"/>
                <w:sz w:val="16"/>
              </w:rPr>
              <w:t>yaml-cpp</w:t>
            </w:r>
          </w:p>
        </w:tc>
        <w:tc>
          <w:tcPr>
            <w:tcW w:type="dxa" w:w="3374"/>
          </w:tcPr>
          <w:p>
            <w:r/>
            <w:r>
              <w:rPr>
                <w:rFonts w:ascii="Times New Roman" w:hAnsi="Times New Roman"/>
                <w:sz w:val="16"/>
              </w:rPr>
              <w:t>8.0.2</w:t>
            </w:r>
          </w:p>
        </w:tc>
        <w:tc>
          <w:tcPr>
            <w:tcW w:type="dxa" w:w="3374"/>
          </w:tcPr>
          <w:p>
            <w:r/>
            <w:r>
              <w:rPr>
                <w:rFonts w:ascii="Times New Roman" w:hAnsi="Times New Roman"/>
                <w:sz w:val="16"/>
              </w:rPr>
              <w:t>Tile config parsing</w:t>
            </w:r>
          </w:p>
        </w:tc>
      </w:tr>
      <w:tr>
        <w:tc>
          <w:tcPr>
            <w:tcW w:type="dxa" w:w="3374"/>
          </w:tcPr>
          <w:p>
            <w:r/>
            <w:r>
              <w:rPr>
                <w:rFonts w:ascii="Times New Roman" w:hAnsi="Times New Roman"/>
                <w:sz w:val="16"/>
              </w:rPr>
              <w:t>tf2</w:t>
            </w:r>
          </w:p>
        </w:tc>
        <w:tc>
          <w:tcPr>
            <w:tcW w:type="dxa" w:w="3374"/>
          </w:tcPr>
          <w:p>
            <w:r/>
            <w:r>
              <w:rPr>
                <w:rFonts w:ascii="Times New Roman" w:hAnsi="Times New Roman"/>
                <w:sz w:val="16"/>
              </w:rPr>
              <w:t>0.25.16</w:t>
            </w:r>
          </w:p>
        </w:tc>
        <w:tc>
          <w:tcPr>
            <w:tcW w:type="dxa" w:w="3374"/>
          </w:tcPr>
          <w:p>
            <w:r/>
            <w:r>
              <w:rPr>
                <w:rFonts w:ascii="Times New Roman" w:hAnsi="Times New Roman"/>
                <w:sz w:val="16"/>
              </w:rPr>
              <w:t>Pose lookup</w:t>
            </w:r>
          </w:p>
        </w:tc>
      </w:tr>
      <w:tr>
        <w:tc>
          <w:tcPr>
            <w:tcW w:type="dxa" w:w="3374"/>
          </w:tcPr>
          <w:p>
            <w:r/>
            <w:r>
              <w:rPr>
                <w:rFonts w:ascii="Times New Roman" w:hAnsi="Times New Roman"/>
                <w:sz w:val="16"/>
              </w:rPr>
              <w:t>Docker</w:t>
            </w:r>
          </w:p>
        </w:tc>
        <w:tc>
          <w:tcPr>
            <w:tcW w:type="dxa" w:w="3374"/>
          </w:tcPr>
          <w:p>
            <w:r/>
            <w:r>
              <w:rPr>
                <w:rFonts w:ascii="Times New Roman" w:hAnsi="Times New Roman"/>
                <w:sz w:val="16"/>
              </w:rPr>
              <w:t>29.3.0</w:t>
            </w:r>
          </w:p>
        </w:tc>
        <w:tc>
          <w:tcPr>
            <w:tcW w:type="dxa" w:w="3374"/>
          </w:tcPr>
          <w:p>
            <w:r/>
            <w:r>
              <w:rPr>
                <w:rFonts w:ascii="Times New Roman" w:hAnsi="Times New Roman"/>
                <w:sz w:val="16"/>
              </w:rPr>
              <w:t>Containerized deployment</w:t>
            </w:r>
          </w:p>
        </w:tc>
      </w:tr>
      <w:tr>
        <w:tc>
          <w:tcPr>
            <w:tcW w:type="dxa" w:w="3374"/>
          </w:tcPr>
          <w:p>
            <w:r/>
            <w:r>
              <w:rPr>
                <w:rFonts w:ascii="Times New Roman" w:hAnsi="Times New Roman"/>
                <w:sz w:val="16"/>
              </w:rPr>
              <w:t>OpenCV</w:t>
            </w:r>
          </w:p>
        </w:tc>
        <w:tc>
          <w:tcPr>
            <w:tcW w:type="dxa" w:w="3374"/>
          </w:tcPr>
          <w:p>
            <w:r/>
            <w:r>
              <w:rPr>
                <w:rFonts w:ascii="Times New Roman" w:hAnsi="Times New Roman"/>
                <w:sz w:val="16"/>
              </w:rPr>
              <w:t>3.2.1</w:t>
            </w:r>
          </w:p>
        </w:tc>
        <w:tc>
          <w:tcPr>
            <w:tcW w:type="dxa" w:w="3374"/>
          </w:tcPr>
          <w:p>
            <w:r/>
            <w:r>
              <w:rPr>
                <w:rFonts w:ascii="Times New Roman" w:hAnsi="Times New Roman"/>
                <w:sz w:val="16"/>
              </w:rPr>
              <w:t>Image processing</w:t>
            </w:r>
          </w:p>
        </w:tc>
      </w:tr>
    </w:tbl>
    <w:p>
      <w:pPr>
        <w:spacing w:after="40"/>
      </w:pPr>
    </w:p>
    <w:p>
      <w:pPr>
        <w:pStyle w:val="Heading1"/>
      </w:pPr>
      <w:r>
        <w:rPr>
          <w:rFonts w:ascii="Times New Roman" w:hAnsi="Times New Roman"/>
        </w:rPr>
        <w:t>3. Map Data Generation Pipeline</w:t>
      </w:r>
    </w:p>
    <w:p>
      <w:pPr>
        <w:spacing w:after="80"/>
        <w:jc w:val="both"/>
      </w:pPr>
      <w:r>
        <w:rPr>
          <w:rFonts w:ascii="Times New Roman" w:hAnsi="Times New Roman"/>
          <w:sz w:val="20"/>
        </w:rPr>
        <w:t>This section describes the end-to-end pipeline for generating tessellated occupancy grid maps through five stages: physical measurement, CAD drawing, DXF export, pixel-to-metric calibration, occupancy annotation, and tessellation.</w:t>
      </w:r>
    </w:p>
    <w:p>
      <w:pPr>
        <w:pStyle w:val="Heading2"/>
      </w:pPr>
      <w:r>
        <w:rPr>
          <w:rFonts w:ascii="Times New Roman" w:hAnsi="Times New Roman"/>
        </w:rPr>
        <w:t>3.1 Physical Measurement</w:t>
      </w:r>
    </w:p>
    <w:p>
      <w:pPr>
        <w:spacing w:after="80"/>
        <w:jc w:val="both"/>
      </w:pPr>
      <w:r>
        <w:rPr>
          <w:rFonts w:ascii="Times New Roman" w:hAnsi="Times New Roman"/>
          <w:sz w:val="20"/>
        </w:rPr>
        <w:t>All corridor widths, room doorway positions, wall offsets, and junction dimensions were measured manually using a surveyor’s tape at floor level. A reference distance of 2.3 m was measured along a straight corridor section for subsequent resolution calibration.</w:t>
      </w:r>
    </w:p>
    <w:p>
      <w:pPr>
        <w:pStyle w:val="Heading2"/>
      </w:pPr>
      <w:r>
        <w:rPr>
          <w:rFonts w:ascii="Times New Roman" w:hAnsi="Times New Roman"/>
        </w:rPr>
        <w:t>3.2 CAD Drawing and DXF Export</w:t>
      </w:r>
    </w:p>
    <w:p>
      <w:pPr>
        <w:spacing w:after="80"/>
        <w:jc w:val="both"/>
      </w:pPr>
      <w:r>
        <w:rPr>
          <w:rFonts w:ascii="Times New Roman" w:hAnsi="Times New Roman"/>
          <w:sz w:val="20"/>
        </w:rPr>
        <w:t>Using the recorded measurements, a 2D sketch was constructed in SolidWorks capturing all navigable corridor regions, wall boundaries, and doorway positions. Room interiors are excluded—only structural boundaries and door openings are modeled.</w:t>
      </w:r>
    </w:p>
    <w:p>
      <w:pPr>
        <w:spacing w:after="0"/>
        <w:jc w:val="center"/>
      </w:pPr>
      <w:r>
        <w:drawing>
          <wp:inline>
            <wp:extent cx="2926080" cy="1662936"/>
            <wp:docPr id="3" name="Picture 3"/>
            <wp:cNvGraphicFramePr>
              <a:graphicFrameLocks noChangeAspect="1"/>
            </wp:cNvGraphicFramePr>
            <a:graphic>
              <a:graphicData uri="http://schemas.openxmlformats.org/drawingml/2006/picture">
                <pic:pic>
                  <pic:nvPicPr>
                    <pic:cNvPr id="0" name="img_rId8.png"/>
                    <pic:cNvPicPr/>
                  </pic:nvPicPr>
                  <pic:blipFill>
                    <a:blip r:embed="rId10"/>
                    <a:stretch>
                      <a:fillRect/>
                    </a:stretch>
                  </pic:blipFill>
                  <pic:spPr>
                    <a:xfrm>
                      <a:off x="0" y="0"/>
                      <a:ext cx="2926080" cy="1662936"/>
                    </a:xfrm>
                    <a:prstGeom prst="rect"/>
                  </pic:spPr>
                </pic:pic>
              </a:graphicData>
            </a:graphic>
          </wp:inline>
        </w:drawing>
      </w:r>
    </w:p>
    <w:p>
      <w:pPr>
        <w:spacing w:before="40" w:after="120"/>
        <w:jc w:val="center"/>
      </w:pPr>
      <w:r>
        <w:rPr>
          <w:rFonts w:ascii="Times New Roman" w:hAnsi="Times New Roman"/>
          <w:i/>
          <w:sz w:val="16"/>
        </w:rPr>
        <w:t>Fig. 3. SolidWorks CAD sketch (DXF export). Corridor outlines, wall boundaries, and room positions (H201–H219) are annotated.</w:t>
      </w:r>
    </w:p>
    <w:p>
      <w:pPr>
        <w:pStyle w:val="Heading2"/>
      </w:pPr>
      <w:r>
        <w:rPr>
          <w:rFonts w:ascii="Times New Roman" w:hAnsi="Times New Roman"/>
        </w:rPr>
        <w:t>3.3 Resolution Calibration</w:t>
      </w:r>
    </w:p>
    <w:p>
      <w:pPr>
        <w:spacing w:after="80"/>
        <w:jc w:val="both"/>
      </w:pPr>
      <w:r>
        <w:rPr>
          <w:rFonts w:ascii="Times New Roman" w:hAnsi="Times New Roman"/>
          <w:sz w:val="20"/>
        </w:rPr>
        <w:t>The map resolution was determined by pixel-to-metric calibration: a known physical distance of 2.3 m corresponds to 55 pixels in the exported PNG, yielding Resolution = 2.3 m / 55 px ≈ 0.04 m/px. This value was adopted uniformly across all five tiles.</w:t>
      </w:r>
    </w:p>
    <w:p>
      <w:pPr>
        <w:pStyle w:val="Heading2"/>
      </w:pPr>
      <w:r>
        <w:rPr>
          <w:rFonts w:ascii="Times New Roman" w:hAnsi="Times New Roman"/>
        </w:rPr>
        <w:t>3.4 Occupancy Annotation</w:t>
      </w:r>
    </w:p>
    <w:p>
      <w:pPr>
        <w:spacing w:after="80"/>
        <w:jc w:val="both"/>
      </w:pPr>
      <w:r>
        <w:rPr>
          <w:rFonts w:ascii="Times New Roman" w:hAnsi="Times New Roman"/>
          <w:sz w:val="20"/>
        </w:rPr>
        <w:t>The grayscale PNG was annotated as a binary occupancy map: navigable regions painted white (free space) and non-navigable regions painted black (occupied). The annotated whole-floor map spans 1,596 × 919 px (63.8 m × 36.8 m at 0.04 m/px).</w:t>
      </w:r>
    </w:p>
    <w:p>
      <w:pPr>
        <w:spacing w:after="0"/>
        <w:jc w:val="center"/>
      </w:pPr>
      <w:r>
        <w:drawing>
          <wp:inline>
            <wp:extent cx="2926080" cy="1683698"/>
            <wp:docPr id="4" name="Picture 4"/>
            <wp:cNvGraphicFramePr>
              <a:graphicFrameLocks noChangeAspect="1"/>
            </wp:cNvGraphicFramePr>
            <a:graphic>
              <a:graphicData uri="http://schemas.openxmlformats.org/drawingml/2006/picture">
                <pic:pic>
                  <pic:nvPicPr>
                    <pic:cNvPr id="0" name="img_rId9.png"/>
                    <pic:cNvPicPr/>
                  </pic:nvPicPr>
                  <pic:blipFill>
                    <a:blip r:embed="rId11"/>
                    <a:stretch>
                      <a:fillRect/>
                    </a:stretch>
                  </pic:blipFill>
                  <pic:spPr>
                    <a:xfrm>
                      <a:off x="0" y="0"/>
                      <a:ext cx="2926080" cy="1683698"/>
                    </a:xfrm>
                    <a:prstGeom prst="rect"/>
                  </pic:spPr>
                </pic:pic>
              </a:graphicData>
            </a:graphic>
          </wp:inline>
        </w:drawing>
      </w:r>
    </w:p>
    <w:p>
      <w:pPr>
        <w:spacing w:before="40" w:after="120"/>
        <w:jc w:val="center"/>
      </w:pPr>
      <w:r>
        <w:rPr>
          <w:rFonts w:ascii="Times New Roman" w:hAnsi="Times New Roman"/>
          <w:i/>
          <w:sz w:val="16"/>
        </w:rPr>
        <w:t>Fig. 4. Full floor occupancy map after annotation. White = navigable corridor; black = occupied/wall. Only 11.7% of cells are navigable, motivating tessellation.</w:t>
      </w:r>
    </w:p>
    <w:p>
      <w:pPr>
        <w:pStyle w:val="Heading2"/>
      </w:pPr>
      <w:r>
        <w:rPr>
          <w:rFonts w:ascii="Times New Roman" w:hAnsi="Times New Roman"/>
        </w:rPr>
        <w:t>3.5 Map Tessellation</w:t>
      </w:r>
    </w:p>
    <w:p>
      <w:pPr>
        <w:spacing w:after="80"/>
        <w:jc w:val="both"/>
      </w:pPr>
      <w:r>
        <w:rPr>
          <w:rFonts w:ascii="Times New Roman" w:hAnsi="Times New Roman"/>
          <w:sz w:val="20"/>
        </w:rPr>
        <w:t>The floor layout was divided into five tiles at natural turning points (T-junctions and L-junctions). At each junction, cut lines are placed with a 40-pixel (1.6 m) overlap offset, creating trigger zones for tile switches. Each tile covers one navigable zone of the corridor network.</w:t>
      </w:r>
    </w:p>
    <w:p>
      <w:pPr>
        <w:spacing w:after="0"/>
        <w:jc w:val="center"/>
      </w:pPr>
      <w:r>
        <w:drawing>
          <wp:inline>
            <wp:extent cx="2926080" cy="923180"/>
            <wp:docPr id="5" name="Picture 5"/>
            <wp:cNvGraphicFramePr>
              <a:graphicFrameLocks noChangeAspect="1"/>
            </wp:cNvGraphicFramePr>
            <a:graphic>
              <a:graphicData uri="http://schemas.openxmlformats.org/drawingml/2006/picture">
                <pic:pic>
                  <pic:nvPicPr>
                    <pic:cNvPr id="0" name="img_rId10.png"/>
                    <pic:cNvPicPr/>
                  </pic:nvPicPr>
                  <pic:blipFill>
                    <a:blip r:embed="rId12"/>
                    <a:stretch>
                      <a:fillRect/>
                    </a:stretch>
                  </pic:blipFill>
                  <pic:spPr>
                    <a:xfrm>
                      <a:off x="0" y="0"/>
                      <a:ext cx="2926080" cy="923180"/>
                    </a:xfrm>
                    <a:prstGeom prst="rect"/>
                  </pic:spPr>
                </pic:pic>
              </a:graphicData>
            </a:graphic>
          </wp:inline>
        </w:drawing>
      </w:r>
    </w:p>
    <w:p>
      <w:pPr>
        <w:spacing w:before="40" w:after="120"/>
        <w:jc w:val="center"/>
      </w:pPr>
      <w:r>
        <w:rPr>
          <w:rFonts w:ascii="Times New Roman" w:hAnsi="Times New Roman"/>
          <w:i/>
          <w:sz w:val="16"/>
        </w:rPr>
        <w:t>Fig. 5. Individual tessellated tile maps (Tile 1–5). Each tile covers one navigable zone. Tiles vary in shape to match corridor topology.</w:t>
      </w:r>
    </w:p>
    <w:p>
      <w:pPr>
        <w:spacing w:after="40"/>
        <w:jc w:val="center"/>
      </w:pPr>
      <w:r>
        <w:rPr>
          <w:rFonts w:ascii="Times New Roman" w:hAnsi="Times New Roman"/>
          <w:b/>
          <w:sz w:val="16"/>
        </w:rPr>
        <w:t>Table 3. Tile dimensions and navigable cell statistics at 0.04 m/px.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24"/>
        <w:gridCol w:w="2024"/>
        <w:gridCol w:w="2024"/>
        <w:gridCol w:w="2024"/>
        <w:gridCol w:w="2024"/>
      </w:tblGrid>
      <w:tr>
        <w:tc>
          <w:tcPr>
            <w:tcW w:type="dxa" w:w="2024"/>
          </w:tcPr>
          <w:p>
            <w:pPr>
              <w:jc w:val="center"/>
            </w:pPr>
            <w:r/>
            <w:r>
              <w:rPr>
                <w:rFonts w:ascii="Times New Roman" w:hAnsi="Times New Roman"/>
                <w:b/>
                <w:sz w:val="16"/>
              </w:rPr>
              <w:t>Tile</w:t>
            </w:r>
          </w:p>
        </w:tc>
        <w:tc>
          <w:tcPr>
            <w:tcW w:type="dxa" w:w="2024"/>
          </w:tcPr>
          <w:p>
            <w:pPr>
              <w:jc w:val="center"/>
            </w:pPr>
            <w:r/>
            <w:r>
              <w:rPr>
                <w:rFonts w:ascii="Times New Roman" w:hAnsi="Times New Roman"/>
                <w:b/>
                <w:sz w:val="16"/>
              </w:rPr>
              <w:t>Width (m)</w:t>
            </w:r>
          </w:p>
        </w:tc>
        <w:tc>
          <w:tcPr>
            <w:tcW w:type="dxa" w:w="2024"/>
          </w:tcPr>
          <w:p>
            <w:pPr>
              <w:jc w:val="center"/>
            </w:pPr>
            <w:r/>
            <w:r>
              <w:rPr>
                <w:rFonts w:ascii="Times New Roman" w:hAnsi="Times New Roman"/>
                <w:b/>
                <w:sz w:val="16"/>
              </w:rPr>
              <w:t>Height (m)</w:t>
            </w:r>
          </w:p>
        </w:tc>
        <w:tc>
          <w:tcPr>
            <w:tcW w:type="dxa" w:w="2024"/>
          </w:tcPr>
          <w:p>
            <w:pPr>
              <w:jc w:val="center"/>
            </w:pPr>
            <w:r/>
            <w:r>
              <w:rPr>
                <w:rFonts w:ascii="Times New Roman" w:hAnsi="Times New Roman"/>
                <w:b/>
                <w:sz w:val="16"/>
              </w:rPr>
              <w:t>Cells (px²)</w:t>
            </w:r>
          </w:p>
        </w:tc>
        <w:tc>
          <w:tcPr>
            <w:tcW w:type="dxa" w:w="2024"/>
          </w:tcPr>
          <w:p>
            <w:pPr>
              <w:jc w:val="center"/>
            </w:pPr>
            <w:r/>
            <w:r>
              <w:rPr>
                <w:rFonts w:ascii="Times New Roman" w:hAnsi="Times New Roman"/>
                <w:b/>
                <w:sz w:val="16"/>
              </w:rPr>
              <w:t>Navigable %</w:t>
            </w:r>
          </w:p>
        </w:tc>
      </w:tr>
      <w:tr>
        <w:tc>
          <w:tcPr>
            <w:tcW w:type="dxa" w:w="2024"/>
          </w:tcPr>
          <w:p>
            <w:r/>
            <w:r>
              <w:rPr>
                <w:rFonts w:ascii="Times New Roman" w:hAnsi="Times New Roman"/>
                <w:sz w:val="16"/>
              </w:rPr>
              <w:t>Tile 1</w:t>
            </w:r>
          </w:p>
        </w:tc>
        <w:tc>
          <w:tcPr>
            <w:tcW w:type="dxa" w:w="2024"/>
          </w:tcPr>
          <w:p>
            <w:r/>
            <w:r>
              <w:rPr>
                <w:rFonts w:ascii="Times New Roman" w:hAnsi="Times New Roman"/>
                <w:sz w:val="16"/>
              </w:rPr>
              <w:t>25.1</w:t>
            </w:r>
          </w:p>
        </w:tc>
        <w:tc>
          <w:tcPr>
            <w:tcW w:type="dxa" w:w="2024"/>
          </w:tcPr>
          <w:p>
            <w:r/>
            <w:r>
              <w:rPr>
                <w:rFonts w:ascii="Times New Roman" w:hAnsi="Times New Roman"/>
                <w:sz w:val="16"/>
              </w:rPr>
              <w:t>36.7</w:t>
            </w:r>
          </w:p>
        </w:tc>
        <w:tc>
          <w:tcPr>
            <w:tcW w:type="dxa" w:w="2024"/>
          </w:tcPr>
          <w:p>
            <w:r/>
            <w:r>
              <w:rPr>
                <w:rFonts w:ascii="Times New Roman" w:hAnsi="Times New Roman"/>
                <w:sz w:val="16"/>
              </w:rPr>
              <w:t>576,153</w:t>
            </w:r>
          </w:p>
        </w:tc>
        <w:tc>
          <w:tcPr>
            <w:tcW w:type="dxa" w:w="2024"/>
          </w:tcPr>
          <w:p>
            <w:r/>
            <w:r>
              <w:rPr>
                <w:rFonts w:ascii="Times New Roman" w:hAnsi="Times New Roman"/>
                <w:sz w:val="16"/>
              </w:rPr>
              <w:t>16.8%</w:t>
            </w:r>
          </w:p>
        </w:tc>
      </w:tr>
      <w:tr>
        <w:tc>
          <w:tcPr>
            <w:tcW w:type="dxa" w:w="2024"/>
          </w:tcPr>
          <w:p>
            <w:r/>
            <w:r>
              <w:rPr>
                <w:rFonts w:ascii="Times New Roman" w:hAnsi="Times New Roman"/>
                <w:sz w:val="16"/>
              </w:rPr>
              <w:t>Tile 2</w:t>
            </w:r>
          </w:p>
        </w:tc>
        <w:tc>
          <w:tcPr>
            <w:tcW w:type="dxa" w:w="2024"/>
          </w:tcPr>
          <w:p>
            <w:r/>
            <w:r>
              <w:rPr>
                <w:rFonts w:ascii="Times New Roman" w:hAnsi="Times New Roman"/>
                <w:sz w:val="16"/>
              </w:rPr>
              <w:t>19.5</w:t>
            </w:r>
          </w:p>
        </w:tc>
        <w:tc>
          <w:tcPr>
            <w:tcW w:type="dxa" w:w="2024"/>
          </w:tcPr>
          <w:p>
            <w:r/>
            <w:r>
              <w:rPr>
                <w:rFonts w:ascii="Times New Roman" w:hAnsi="Times New Roman"/>
                <w:sz w:val="16"/>
              </w:rPr>
              <w:t>28.3</w:t>
            </w:r>
          </w:p>
        </w:tc>
        <w:tc>
          <w:tcPr>
            <w:tcW w:type="dxa" w:w="2024"/>
          </w:tcPr>
          <w:p>
            <w:r/>
            <w:r>
              <w:rPr>
                <w:rFonts w:ascii="Times New Roman" w:hAnsi="Times New Roman"/>
                <w:sz w:val="16"/>
              </w:rPr>
              <w:t>345,272</w:t>
            </w:r>
          </w:p>
        </w:tc>
        <w:tc>
          <w:tcPr>
            <w:tcW w:type="dxa" w:w="2024"/>
          </w:tcPr>
          <w:p>
            <w:r/>
            <w:r>
              <w:rPr>
                <w:rFonts w:ascii="Times New Roman" w:hAnsi="Times New Roman"/>
                <w:sz w:val="16"/>
              </w:rPr>
              <w:t>12.1%</w:t>
            </w:r>
          </w:p>
        </w:tc>
      </w:tr>
      <w:tr>
        <w:tc>
          <w:tcPr>
            <w:tcW w:type="dxa" w:w="2024"/>
          </w:tcPr>
          <w:p>
            <w:r/>
            <w:r>
              <w:rPr>
                <w:rFonts w:ascii="Times New Roman" w:hAnsi="Times New Roman"/>
                <w:sz w:val="16"/>
              </w:rPr>
              <w:t>Tile 3</w:t>
            </w:r>
          </w:p>
        </w:tc>
        <w:tc>
          <w:tcPr>
            <w:tcW w:type="dxa" w:w="2024"/>
          </w:tcPr>
          <w:p>
            <w:r/>
            <w:r>
              <w:rPr>
                <w:rFonts w:ascii="Times New Roman" w:hAnsi="Times New Roman"/>
                <w:sz w:val="16"/>
              </w:rPr>
              <w:t>9.4</w:t>
            </w:r>
          </w:p>
        </w:tc>
        <w:tc>
          <w:tcPr>
            <w:tcW w:type="dxa" w:w="2024"/>
          </w:tcPr>
          <w:p>
            <w:r/>
            <w:r>
              <w:rPr>
                <w:rFonts w:ascii="Times New Roman" w:hAnsi="Times New Roman"/>
                <w:sz w:val="16"/>
              </w:rPr>
              <w:t>28.3</w:t>
            </w:r>
          </w:p>
        </w:tc>
        <w:tc>
          <w:tcPr>
            <w:tcW w:type="dxa" w:w="2024"/>
          </w:tcPr>
          <w:p>
            <w:r/>
            <w:r>
              <w:rPr>
                <w:rFonts w:ascii="Times New Roman" w:hAnsi="Times New Roman"/>
                <w:sz w:val="16"/>
              </w:rPr>
              <w:t>166,433</w:t>
            </w:r>
          </w:p>
        </w:tc>
        <w:tc>
          <w:tcPr>
            <w:tcW w:type="dxa" w:w="2024"/>
          </w:tcPr>
          <w:p>
            <w:r/>
            <w:r>
              <w:rPr>
                <w:rFonts w:ascii="Times New Roman" w:hAnsi="Times New Roman"/>
                <w:sz w:val="16"/>
              </w:rPr>
              <w:t>20.3%</w:t>
            </w:r>
          </w:p>
        </w:tc>
      </w:tr>
      <w:tr>
        <w:tc>
          <w:tcPr>
            <w:tcW w:type="dxa" w:w="2024"/>
          </w:tcPr>
          <w:p>
            <w:r/>
            <w:r>
              <w:rPr>
                <w:rFonts w:ascii="Times New Roman" w:hAnsi="Times New Roman"/>
                <w:sz w:val="16"/>
              </w:rPr>
              <w:t>Tile 4</w:t>
            </w:r>
          </w:p>
        </w:tc>
        <w:tc>
          <w:tcPr>
            <w:tcW w:type="dxa" w:w="2024"/>
          </w:tcPr>
          <w:p>
            <w:r/>
            <w:r>
              <w:rPr>
                <w:rFonts w:ascii="Times New Roman" w:hAnsi="Times New Roman"/>
                <w:sz w:val="16"/>
              </w:rPr>
              <w:t>9.4</w:t>
            </w:r>
          </w:p>
        </w:tc>
        <w:tc>
          <w:tcPr>
            <w:tcW w:type="dxa" w:w="2024"/>
          </w:tcPr>
          <w:p>
            <w:r/>
            <w:r>
              <w:rPr>
                <w:rFonts w:ascii="Times New Roman" w:hAnsi="Times New Roman"/>
                <w:sz w:val="16"/>
              </w:rPr>
              <w:t>20.5</w:t>
            </w:r>
          </w:p>
        </w:tc>
        <w:tc>
          <w:tcPr>
            <w:tcW w:type="dxa" w:w="2024"/>
          </w:tcPr>
          <w:p>
            <w:r/>
            <w:r>
              <w:rPr>
                <w:rFonts w:ascii="Times New Roman" w:hAnsi="Times New Roman"/>
                <w:sz w:val="16"/>
              </w:rPr>
              <w:t>120,797</w:t>
            </w:r>
          </w:p>
        </w:tc>
        <w:tc>
          <w:tcPr>
            <w:tcW w:type="dxa" w:w="2024"/>
          </w:tcPr>
          <w:p>
            <w:r/>
            <w:r>
              <w:rPr>
                <w:rFonts w:ascii="Times New Roman" w:hAnsi="Times New Roman"/>
                <w:sz w:val="16"/>
              </w:rPr>
              <w:t>18.7%</w:t>
            </w:r>
          </w:p>
        </w:tc>
      </w:tr>
      <w:tr>
        <w:tc>
          <w:tcPr>
            <w:tcW w:type="dxa" w:w="2024"/>
          </w:tcPr>
          <w:p>
            <w:r/>
            <w:r>
              <w:rPr>
                <w:rFonts w:ascii="Times New Roman" w:hAnsi="Times New Roman"/>
                <w:sz w:val="16"/>
              </w:rPr>
              <w:t>Tile 5</w:t>
            </w:r>
          </w:p>
        </w:tc>
        <w:tc>
          <w:tcPr>
            <w:tcW w:type="dxa" w:w="2024"/>
          </w:tcPr>
          <w:p>
            <w:r/>
            <w:r>
              <w:rPr>
                <w:rFonts w:ascii="Times New Roman" w:hAnsi="Times New Roman"/>
                <w:sz w:val="16"/>
              </w:rPr>
              <w:t>19.5</w:t>
            </w:r>
          </w:p>
        </w:tc>
        <w:tc>
          <w:tcPr>
            <w:tcW w:type="dxa" w:w="2024"/>
          </w:tcPr>
          <w:p>
            <w:r/>
            <w:r>
              <w:rPr>
                <w:rFonts w:ascii="Times New Roman" w:hAnsi="Times New Roman"/>
                <w:sz w:val="16"/>
              </w:rPr>
              <w:t>16.6</w:t>
            </w:r>
          </w:p>
        </w:tc>
        <w:tc>
          <w:tcPr>
            <w:tcW w:type="dxa" w:w="2024"/>
          </w:tcPr>
          <w:p>
            <w:r/>
            <w:r>
              <w:rPr>
                <w:rFonts w:ascii="Times New Roman" w:hAnsi="Times New Roman"/>
                <w:sz w:val="16"/>
              </w:rPr>
              <w:t>202,890</w:t>
            </w:r>
          </w:p>
        </w:tc>
        <w:tc>
          <w:tcPr>
            <w:tcW w:type="dxa" w:w="2024"/>
          </w:tcPr>
          <w:p>
            <w:r/>
            <w:r>
              <w:rPr>
                <w:rFonts w:ascii="Times New Roman" w:hAnsi="Times New Roman"/>
                <w:sz w:val="16"/>
              </w:rPr>
              <w:t>14.5%</w:t>
            </w:r>
          </w:p>
        </w:tc>
      </w:tr>
    </w:tbl>
    <w:p>
      <w:pPr>
        <w:spacing w:after="40"/>
      </w:pPr>
    </w:p>
    <w:p>
      <w:pPr>
        <w:spacing w:after="0"/>
        <w:jc w:val="center"/>
      </w:pPr>
      <w:r>
        <w:drawing>
          <wp:inline>
            <wp:extent cx="2926080" cy="2041753"/>
            <wp:docPr id="6" name="Picture 6"/>
            <wp:cNvGraphicFramePr>
              <a:graphicFrameLocks noChangeAspect="1"/>
            </wp:cNvGraphicFramePr>
            <a:graphic>
              <a:graphicData uri="http://schemas.openxmlformats.org/drawingml/2006/picture">
                <pic:pic>
                  <pic:nvPicPr>
                    <pic:cNvPr id="0" name="img_rId11.png"/>
                    <pic:cNvPicPr/>
                  </pic:nvPicPr>
                  <pic:blipFill>
                    <a:blip r:embed="rId13"/>
                    <a:stretch>
                      <a:fillRect/>
                    </a:stretch>
                  </pic:blipFill>
                  <pic:spPr>
                    <a:xfrm>
                      <a:off x="0" y="0"/>
                      <a:ext cx="2926080" cy="2041753"/>
                    </a:xfrm>
                    <a:prstGeom prst="rect"/>
                  </pic:spPr>
                </pic:pic>
              </a:graphicData>
            </a:graphic>
          </wp:inline>
        </w:drawing>
      </w:r>
    </w:p>
    <w:p>
      <w:pPr>
        <w:spacing w:before="40" w:after="120"/>
        <w:jc w:val="center"/>
      </w:pPr>
      <w:r>
        <w:rPr>
          <w:rFonts w:ascii="Times New Roman" w:hAnsi="Times New Roman"/>
          <w:i/>
          <w:sz w:val="16"/>
        </w:rPr>
        <w:t>Fig. 6. Tessellated map tile layout with overlap regions. Colored bounding boxes indicate tile extents; red rectangles mark trigger zones for tile switches between adjacent pairs (1↔2, 2↔3, 3↔4, 4↔5).</w:t>
      </w:r>
    </w:p>
    <w:p>
      <w:pPr>
        <w:pStyle w:val="Heading1"/>
      </w:pPr>
      <w:r>
        <w:rPr>
          <w:rFonts w:ascii="Times New Roman" w:hAnsi="Times New Roman"/>
        </w:rPr>
        <w:t>4. Map Switching Algorithm</w:t>
      </w:r>
    </w:p>
    <w:p>
      <w:pPr>
        <w:spacing w:after="80"/>
        <w:jc w:val="both"/>
      </w:pPr>
      <w:r>
        <w:rPr>
          <w:rFonts w:ascii="Times New Roman" w:hAnsi="Times New Roman"/>
          <w:sz w:val="20"/>
        </w:rPr>
        <w:t>The map switching algorithm is the primary contribution of this work. It enables a Nav2-based robot to navigate across a tessellated environment by dynamically loading and unloading map tiles at runtime without interrupting the navigation pipeline.</w:t>
      </w:r>
    </w:p>
    <w:p>
      <w:pPr>
        <w:pStyle w:val="Heading2"/>
      </w:pPr>
      <w:r>
        <w:rPr>
          <w:rFonts w:ascii="Times New Roman" w:hAnsi="Times New Roman"/>
        </w:rPr>
        <w:t>4.1 Integration with the Nav2 Behavior Tree</w:t>
      </w:r>
    </w:p>
    <w:p>
      <w:pPr>
        <w:spacing w:after="80"/>
        <w:jc w:val="both"/>
      </w:pPr>
      <w:r>
        <w:rPr>
          <w:rFonts w:ascii="Times New Roman" w:hAnsi="Times New Roman"/>
          <w:sz w:val="20"/>
        </w:rPr>
        <w:t>TileCheckAction is implemented as a custom Behavior Tree action node (nav2_behavior_tree plugin) inserted into the standard Nav2 ReactiveSequence alongside FollowPath. It is ticked on every BT cycle and returns SUCCESS immediately to allow navigation to proceed concurrently with tile switching.</w:t>
      </w:r>
    </w:p>
    <w:p>
      <w:pPr>
        <w:pStyle w:val="Heading2"/>
      </w:pPr>
      <w:r>
        <w:rPr>
          <w:rFonts w:ascii="Times New Roman" w:hAnsi="Times New Roman"/>
        </w:rPr>
        <w:t>4.2 Tile Configuration</w:t>
      </w:r>
    </w:p>
    <w:p>
      <w:pPr>
        <w:spacing w:after="80"/>
        <w:jc w:val="both"/>
      </w:pPr>
      <w:r>
        <w:rPr>
          <w:rFonts w:ascii="Times New Roman" w:hAnsi="Times New Roman"/>
          <w:sz w:val="20"/>
        </w:rPr>
        <w:t>All tile definitions, spatial bounds, neighbour relationships, and trigger zone coordinates are specified in a centralized YAML configuration file (tiles_config.yaml) with three sections: settings (global parameters), tiles (per-tile definitions), and connections (adjacent tile pairs with trigger zones).</w:t>
      </w:r>
    </w:p>
    <w:p>
      <w:pPr>
        <w:spacing w:after="40"/>
        <w:jc w:val="center"/>
      </w:pPr>
      <w:r>
        <w:rPr>
          <w:rFonts w:ascii="Times New Roman" w:hAnsi="Times New Roman"/>
          <w:b/>
          <w:sz w:val="16"/>
        </w:rPr>
        <w:t>Table 4. Tile switching algorithm configuration parameters.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74"/>
        <w:gridCol w:w="3374"/>
        <w:gridCol w:w="3374"/>
      </w:tblGrid>
      <w:tr>
        <w:tc>
          <w:tcPr>
            <w:tcW w:type="dxa" w:w="3374"/>
          </w:tcPr>
          <w:p>
            <w:pPr>
              <w:jc w:val="center"/>
            </w:pPr>
            <w:r/>
            <w:r>
              <w:rPr>
                <w:rFonts w:ascii="Times New Roman" w:hAnsi="Times New Roman"/>
                <w:b/>
                <w:sz w:val="16"/>
              </w:rPr>
              <w:t>Parameter</w:t>
            </w:r>
          </w:p>
        </w:tc>
        <w:tc>
          <w:tcPr>
            <w:tcW w:type="dxa" w:w="3374"/>
          </w:tcPr>
          <w:p>
            <w:pPr>
              <w:jc w:val="center"/>
            </w:pPr>
            <w:r/>
            <w:r>
              <w:rPr>
                <w:rFonts w:ascii="Times New Roman" w:hAnsi="Times New Roman"/>
                <w:b/>
                <w:sz w:val="16"/>
              </w:rPr>
              <w:t>Value</w:t>
            </w:r>
          </w:p>
        </w:tc>
        <w:tc>
          <w:tcPr>
            <w:tcW w:type="dxa" w:w="3374"/>
          </w:tcPr>
          <w:p>
            <w:pPr>
              <w:jc w:val="center"/>
            </w:pPr>
            <w:r/>
            <w:r>
              <w:rPr>
                <w:rFonts w:ascii="Times New Roman" w:hAnsi="Times New Roman"/>
                <w:b/>
                <w:sz w:val="16"/>
              </w:rPr>
              <w:t>Description</w:t>
            </w:r>
          </w:p>
        </w:tc>
      </w:tr>
      <w:tr>
        <w:tc>
          <w:tcPr>
            <w:tcW w:type="dxa" w:w="3374"/>
          </w:tcPr>
          <w:p>
            <w:r/>
            <w:r>
              <w:rPr>
                <w:rFonts w:ascii="Times New Roman" w:hAnsi="Times New Roman"/>
                <w:sz w:val="16"/>
              </w:rPr>
              <w:t>Update rate</w:t>
            </w:r>
          </w:p>
        </w:tc>
        <w:tc>
          <w:tcPr>
            <w:tcW w:type="dxa" w:w="3374"/>
          </w:tcPr>
          <w:p>
            <w:r/>
            <w:r>
              <w:rPr>
                <w:rFonts w:ascii="Times New Roman" w:hAnsi="Times New Roman"/>
                <w:sz w:val="16"/>
              </w:rPr>
              <w:t>10 Hz</w:t>
            </w:r>
          </w:p>
        </w:tc>
        <w:tc>
          <w:tcPr>
            <w:tcW w:type="dxa" w:w="3374"/>
          </w:tcPr>
          <w:p>
            <w:r/>
            <w:r>
              <w:rPr>
                <w:rFonts w:ascii="Times New Roman" w:hAnsi="Times New Roman"/>
                <w:sz w:val="16"/>
              </w:rPr>
              <w:t>Tile check frequency (BT tick rate)</w:t>
            </w:r>
          </w:p>
        </w:tc>
      </w:tr>
      <w:tr>
        <w:tc>
          <w:tcPr>
            <w:tcW w:type="dxa" w:w="3374"/>
          </w:tcPr>
          <w:p>
            <w:r/>
            <w:r>
              <w:rPr>
                <w:rFonts w:ascii="Times New Roman" w:hAnsi="Times New Roman"/>
                <w:sz w:val="16"/>
              </w:rPr>
              <w:t>Overlap offset</w:t>
            </w:r>
          </w:p>
        </w:tc>
        <w:tc>
          <w:tcPr>
            <w:tcW w:type="dxa" w:w="3374"/>
          </w:tcPr>
          <w:p>
            <w:r/>
            <w:r>
              <w:rPr>
                <w:rFonts w:ascii="Times New Roman" w:hAnsi="Times New Roman"/>
                <w:sz w:val="16"/>
              </w:rPr>
              <w:t>40 px (1.6 m)</w:t>
            </w:r>
          </w:p>
        </w:tc>
        <w:tc>
          <w:tcPr>
            <w:tcW w:type="dxa" w:w="3374"/>
          </w:tcPr>
          <w:p>
            <w:r/>
            <w:r>
              <w:rPr>
                <w:rFonts w:ascii="Times New Roman" w:hAnsi="Times New Roman"/>
                <w:sz w:val="16"/>
              </w:rPr>
              <w:t>Trigger zone width at tile boundaries</w:t>
            </w:r>
          </w:p>
        </w:tc>
      </w:tr>
      <w:tr>
        <w:tc>
          <w:tcPr>
            <w:tcW w:type="dxa" w:w="3374"/>
          </w:tcPr>
          <w:p>
            <w:r/>
            <w:r>
              <w:rPr>
                <w:rFonts w:ascii="Times New Roman" w:hAnsi="Times New Roman"/>
                <w:sz w:val="16"/>
              </w:rPr>
              <w:t>Switch cooldown</w:t>
            </w:r>
          </w:p>
        </w:tc>
        <w:tc>
          <w:tcPr>
            <w:tcW w:type="dxa" w:w="3374"/>
          </w:tcPr>
          <w:p>
            <w:r/>
            <w:r>
              <w:rPr>
                <w:rFonts w:ascii="Times New Roman" w:hAnsi="Times New Roman"/>
                <w:sz w:val="16"/>
              </w:rPr>
              <w:t>500 ms</w:t>
            </w:r>
          </w:p>
        </w:tc>
        <w:tc>
          <w:tcPr>
            <w:tcW w:type="dxa" w:w="3374"/>
          </w:tcPr>
          <w:p>
            <w:r/>
            <w:r>
              <w:rPr>
                <w:rFonts w:ascii="Times New Roman" w:hAnsi="Times New Roman"/>
                <w:sz w:val="16"/>
              </w:rPr>
              <w:t>Minimum interval between switches</w:t>
            </w:r>
          </w:p>
        </w:tc>
      </w:tr>
      <w:tr>
        <w:tc>
          <w:tcPr>
            <w:tcW w:type="dxa" w:w="3374"/>
          </w:tcPr>
          <w:p>
            <w:r/>
            <w:r>
              <w:rPr>
                <w:rFonts w:ascii="Times New Roman" w:hAnsi="Times New Roman"/>
                <w:sz w:val="16"/>
              </w:rPr>
              <w:t>Post-switch delay</w:t>
            </w:r>
          </w:p>
        </w:tc>
        <w:tc>
          <w:tcPr>
            <w:tcW w:type="dxa" w:w="3374"/>
          </w:tcPr>
          <w:p>
            <w:r/>
            <w:r>
              <w:rPr>
                <w:rFonts w:ascii="Times New Roman" w:hAnsi="Times New Roman"/>
                <w:sz w:val="16"/>
              </w:rPr>
              <w:t>300 ms</w:t>
            </w:r>
          </w:p>
        </w:tc>
        <w:tc>
          <w:tcPr>
            <w:tcW w:type="dxa" w:w="3374"/>
          </w:tcPr>
          <w:p>
            <w:r/>
            <w:r>
              <w:rPr>
                <w:rFonts w:ascii="Times New Roman" w:hAnsi="Times New Roman"/>
                <w:sz w:val="16"/>
              </w:rPr>
              <w:t>Wait for costmap rebuild</w:t>
            </w:r>
          </w:p>
        </w:tc>
      </w:tr>
      <w:tr>
        <w:tc>
          <w:tcPr>
            <w:tcW w:type="dxa" w:w="3374"/>
          </w:tcPr>
          <w:p>
            <w:r/>
            <w:r>
              <w:rPr>
                <w:rFonts w:ascii="Times New Roman" w:hAnsi="Times New Roman"/>
                <w:sz w:val="16"/>
              </w:rPr>
              <w:t>Async timeout</w:t>
            </w:r>
          </w:p>
        </w:tc>
        <w:tc>
          <w:tcPr>
            <w:tcW w:type="dxa" w:w="3374"/>
          </w:tcPr>
          <w:p>
            <w:r/>
            <w:r>
              <w:rPr>
                <w:rFonts w:ascii="Times New Roman" w:hAnsi="Times New Roman"/>
                <w:sz w:val="16"/>
              </w:rPr>
              <w:t>1.0 s</w:t>
            </w:r>
          </w:p>
        </w:tc>
        <w:tc>
          <w:tcPr>
            <w:tcW w:type="dxa" w:w="3374"/>
          </w:tcPr>
          <w:p>
            <w:r/>
            <w:r>
              <w:rPr>
                <w:rFonts w:ascii="Times New Roman" w:hAnsi="Times New Roman"/>
                <w:sz w:val="16"/>
              </w:rPr>
              <w:t>Timeout for LoadMap service call</w:t>
            </w:r>
          </w:p>
        </w:tc>
      </w:tr>
      <w:tr>
        <w:tc>
          <w:tcPr>
            <w:tcW w:type="dxa" w:w="3374"/>
          </w:tcPr>
          <w:p>
            <w:r/>
            <w:r>
              <w:rPr>
                <w:rFonts w:ascii="Times New Roman" w:hAnsi="Times New Roman"/>
                <w:sz w:val="16"/>
              </w:rPr>
              <w:t>Heading threshold</w:t>
            </w:r>
          </w:p>
        </w:tc>
        <w:tc>
          <w:tcPr>
            <w:tcW w:type="dxa" w:w="3374"/>
          </w:tcPr>
          <w:p>
            <w:r/>
            <w:r>
              <w:rPr>
                <w:rFonts w:ascii="Times New Roman" w:hAnsi="Times New Roman"/>
                <w:sz w:val="16"/>
              </w:rPr>
              <w:t>±90°</w:t>
            </w:r>
          </w:p>
        </w:tc>
        <w:tc>
          <w:tcPr>
            <w:tcW w:type="dxa" w:w="3374"/>
          </w:tcPr>
          <w:p>
            <w:r/>
            <w:r>
              <w:rPr>
                <w:rFonts w:ascii="Times New Roman" w:hAnsi="Times New Roman"/>
                <w:sz w:val="16"/>
              </w:rPr>
              <w:t>Angle tolerance for direction disambiguation</w:t>
            </w:r>
          </w:p>
        </w:tc>
      </w:tr>
    </w:tbl>
    <w:p>
      <w:pPr>
        <w:spacing w:after="40"/>
      </w:pPr>
    </w:p>
    <w:p>
      <w:pPr>
        <w:pStyle w:val="Heading2"/>
      </w:pPr>
      <w:r>
        <w:rPr>
          <w:rFonts w:ascii="Times New Roman" w:hAnsi="Times New Roman"/>
        </w:rPr>
        <w:t>4.3 Switching Cues: Position and Heading</w:t>
      </w:r>
    </w:p>
    <w:p>
      <w:pPr>
        <w:pStyle w:val="Heading3"/>
      </w:pPr>
      <w:r>
        <w:rPr>
          <w:rFonts w:ascii="Times New Roman" w:hAnsi="Times New Roman"/>
        </w:rPr>
        <w:t>4.3.1 Spatial Containment</w:t>
      </w:r>
    </w:p>
    <w:p>
      <w:pPr>
        <w:spacing w:after="80"/>
        <w:jc w:val="both"/>
      </w:pPr>
      <w:r>
        <w:rPr>
          <w:rFonts w:ascii="Times New Roman" w:hAnsi="Times New Roman"/>
          <w:sz w:val="20"/>
        </w:rPr>
        <w:t>The robot’s current position (x, y) is obtained via tf2 lookup of the map→base_link transform. A trigger zone is an axis-aligned bounding box defined in world coordinates. When the robot’s position falls within a trigger zone, the algorithm proceeds to heading verification.</w:t>
      </w:r>
    </w:p>
    <w:p>
      <w:pPr>
        <w:pStyle w:val="Heading3"/>
      </w:pPr>
      <w:r>
        <w:rPr>
          <w:rFonts w:ascii="Times New Roman" w:hAnsi="Times New Roman"/>
        </w:rPr>
        <w:t>4.3.2 Heading-Based Directional Disambiguation</w:t>
      </w:r>
    </w:p>
    <w:p>
      <w:pPr>
        <w:spacing w:after="80"/>
        <w:jc w:val="both"/>
      </w:pPr>
      <w:r>
        <w:rPr>
          <w:rFonts w:ascii="Times New Roman" w:hAnsi="Times New Roman"/>
          <w:sz w:val="20"/>
        </w:rPr>
        <w:t>Spatial containment alone is insufficient: an overlap region is shared by exactly two tiles, and without heading information the algorithm cannot distinguish a robot transitioning from Tile A to Tile B from one transitioning from B to A. The robot’s orientation (yaw) is compared against the expected travel direction stored in the tile connection definition. A switch is triggered only if the heading is within ±90° of the expected direction.</w:t>
      </w:r>
    </w:p>
    <w:p>
      <w:pPr>
        <w:pStyle w:val="Heading2"/>
      </w:pPr>
      <w:r>
        <w:rPr>
          <w:rFonts w:ascii="Times New Roman" w:hAnsi="Times New Roman"/>
        </w:rPr>
        <w:t>4.4 Asynchronous Switch State Machine</w:t>
      </w:r>
    </w:p>
    <w:p>
      <w:pPr>
        <w:spacing w:after="80"/>
        <w:jc w:val="both"/>
      </w:pPr>
      <w:r>
        <w:rPr>
          <w:rFonts w:ascii="Times New Roman" w:hAnsi="Times New Roman"/>
          <w:sz w:val="20"/>
        </w:rPr>
        <w:t>Once a valid trigger is detected, the algorithm initiates a tile switch through a four-state asynchronous state machine shown in Fig. 7. Asynchronous (non-blocking) service calls are critical: a blocking call would stall the Behavior Tree and halt navigation. The states are: IDLE (normal monitoring), LOADING_MAP (async LoadMap request to map_server), CLEARING (async costmap clear via ClearEntireCostmap), and POST_DELAY (300 ms wait for costmap rebuild). Navigation continues uninterrupted throughout all states.</w:t>
      </w:r>
    </w:p>
    <w:p>
      <w:pPr>
        <w:spacing w:after="0"/>
        <w:jc w:val="center"/>
      </w:pPr>
      <w:r>
        <w:drawing>
          <wp:inline>
            <wp:extent cx="2926080" cy="3095357"/>
            <wp:docPr id="7" name="Picture 7"/>
            <wp:cNvGraphicFramePr>
              <a:graphicFrameLocks noChangeAspect="1"/>
            </wp:cNvGraphicFramePr>
            <a:graphic>
              <a:graphicData uri="http://schemas.openxmlformats.org/drawingml/2006/picture">
                <pic:pic>
                  <pic:nvPicPr>
                    <pic:cNvPr id="0" name="img_rId12.png"/>
                    <pic:cNvPicPr/>
                  </pic:nvPicPr>
                  <pic:blipFill>
                    <a:blip r:embed="rId14"/>
                    <a:stretch>
                      <a:fillRect/>
                    </a:stretch>
                  </pic:blipFill>
                  <pic:spPr>
                    <a:xfrm>
                      <a:off x="0" y="0"/>
                      <a:ext cx="2926080" cy="3095357"/>
                    </a:xfrm>
                    <a:prstGeom prst="rect"/>
                  </pic:spPr>
                </pic:pic>
              </a:graphicData>
            </a:graphic>
          </wp:inline>
        </w:drawing>
      </w:r>
    </w:p>
    <w:p>
      <w:pPr>
        <w:spacing w:before="40" w:after="120"/>
        <w:jc w:val="center"/>
      </w:pPr>
      <w:r>
        <w:rPr>
          <w:rFonts w:ascii="Times New Roman" w:hAnsi="Times New Roman"/>
          <w:i/>
          <w:sz w:val="16"/>
        </w:rPr>
        <w:t>Fig. 7. Asynchronous tile switch state machine. States: IDLE (normal monitoring), LOADING_MAP (async LoadMap request), CLEARING (async costmap clear), POST_DELAY (wait for costmap rebuild). Navigation continues throughout all states.</w:t>
      </w:r>
    </w:p>
    <w:p>
      <w:pPr>
        <w:pStyle w:val="Heading2"/>
      </w:pPr>
      <w:r>
        <w:rPr>
          <w:rFonts w:ascii="Times New Roman" w:hAnsi="Times New Roman"/>
        </w:rPr>
        <w:t>4.5 Switching Artifacts and Mitigation</w:t>
      </w:r>
    </w:p>
    <w:p>
      <w:pPr>
        <w:spacing w:after="80"/>
        <w:jc w:val="both"/>
      </w:pPr>
      <w:r>
        <w:rPr>
          <w:rFonts w:ascii="Times New Roman" w:hAnsi="Times New Roman"/>
          <w:sz w:val="20"/>
        </w:rPr>
        <w:t>A known artifact is that the robot operates briefly on a stale costmap during the ~100–300 ms switch window, as TileCheckAction always returns SUCCESS and FollowPath continues execution. In practice, this is benign because the robot remains within the overlap region—which is valid on both tiles—during the entire transition.</w:t>
      </w:r>
    </w:p>
    <w:p>
      <w:pPr>
        <w:pStyle w:val="Heading2"/>
      </w:pPr>
      <w:r>
        <w:rPr>
          <w:rFonts w:ascii="Times New Roman" w:hAnsi="Times New Roman"/>
        </w:rPr>
        <w:t>4.6 Demonstration</w:t>
      </w:r>
    </w:p>
    <w:p>
      <w:pPr>
        <w:spacing w:after="120"/>
        <w:jc w:val="both"/>
      </w:pPr>
      <w:r>
        <w:rPr>
          <w:rFonts w:ascii="Times New Roman" w:hAnsi="Times New Roman"/>
          <w:sz w:val="20"/>
        </w:rPr>
        <w:t>A video demonstration of the tile switching system operating in the live corridor environment is available as supplementary material [video link to be added after review]. The video shows the robot traversing across multiple tiles with seamless transitions.</w:t>
      </w:r>
    </w:p>
    <w:p>
      <w:pPr>
        <w:pStyle w:val="Heading1"/>
      </w:pPr>
      <w:r>
        <w:rPr>
          <w:rFonts w:ascii="Times New Roman" w:hAnsi="Times New Roman"/>
        </w:rPr>
        <w:t>5. Results and Discussion</w:t>
      </w:r>
    </w:p>
    <w:p>
      <w:pPr>
        <w:spacing w:after="80"/>
        <w:jc w:val="both"/>
      </w:pPr>
      <w:r>
        <w:rPr>
          <w:rFonts w:ascii="Times New Roman" w:hAnsi="Times New Roman"/>
          <w:sz w:val="20"/>
        </w:rPr>
        <w:t>This section presents a quantitative comparison of monolithic and tessellated approaches across costmap size, Nav2 process memory, and CPU utilization. Benchmarks were conducted over a 120-second navigation run on an AMD64 platform.</w:t>
      </w:r>
    </w:p>
    <w:p>
      <w:pPr>
        <w:pStyle w:val="Heading2"/>
      </w:pPr>
      <w:r>
        <w:rPr>
          <w:rFonts w:ascii="Times New Roman" w:hAnsi="Times New Roman"/>
        </w:rPr>
        <w:t>5.1 Active Costmap Size</w:t>
      </w:r>
    </w:p>
    <w:p>
      <w:pPr>
        <w:spacing w:after="80"/>
        <w:jc w:val="both"/>
      </w:pPr>
      <w:r>
        <w:rPr>
          <w:rFonts w:ascii="Times New Roman" w:hAnsi="Times New Roman"/>
          <w:sz w:val="20"/>
        </w:rPr>
        <w:t>The most significant reduction is in active costmap cell count. The monolithic map maintains a fixed costmap of 1,466,724 cells. The tessellated approach reduces this to a mean of 91,594 cells (93.8% reduction). Peak tile size occurs at Tile 1 (96,741 cells, 16.8% navigable), still 93.4% smaller than the monolithic map.</w:t>
      </w:r>
    </w:p>
    <w:p>
      <w:pPr>
        <w:pStyle w:val="Heading2"/>
      </w:pPr>
      <w:r>
        <w:rPr>
          <w:rFonts w:ascii="Times New Roman" w:hAnsi="Times New Roman"/>
        </w:rPr>
        <w:t>5.2 Process-Level Memory Consumption</w:t>
      </w:r>
    </w:p>
    <w:p>
      <w:pPr>
        <w:spacing w:after="40"/>
        <w:jc w:val="center"/>
      </w:pPr>
      <w:r>
        <w:rPr>
          <w:rFonts w:ascii="Times New Roman" w:hAnsi="Times New Roman"/>
          <w:b/>
          <w:sz w:val="16"/>
        </w:rPr>
        <w:t>Table 5. Per-process memory consumption: monolithic vs. tessellated approach (120 s run).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jc w:val="center"/>
            </w:pPr>
            <w:r/>
            <w:r>
              <w:rPr>
                <w:rFonts w:ascii="Times New Roman" w:hAnsi="Times New Roman"/>
                <w:b/>
                <w:sz w:val="16"/>
              </w:rPr>
              <w:t>Process</w:t>
            </w:r>
          </w:p>
        </w:tc>
        <w:tc>
          <w:tcPr>
            <w:tcW w:type="dxa" w:w="2530"/>
          </w:tcPr>
          <w:p>
            <w:pPr>
              <w:jc w:val="center"/>
            </w:pPr>
            <w:r/>
            <w:r>
              <w:rPr>
                <w:rFonts w:ascii="Times New Roman" w:hAnsi="Times New Roman"/>
                <w:b/>
                <w:sz w:val="16"/>
              </w:rPr>
              <w:t>Monolithic (MB)</w:t>
            </w:r>
          </w:p>
        </w:tc>
        <w:tc>
          <w:tcPr>
            <w:tcW w:type="dxa" w:w="2530"/>
          </w:tcPr>
          <w:p>
            <w:pPr>
              <w:jc w:val="center"/>
            </w:pPr>
            <w:r/>
            <w:r>
              <w:rPr>
                <w:rFonts w:ascii="Times New Roman" w:hAnsi="Times New Roman"/>
                <w:b/>
                <w:sz w:val="16"/>
              </w:rPr>
              <w:t>Tessellated (MB)</w:t>
            </w:r>
          </w:p>
        </w:tc>
        <w:tc>
          <w:tcPr>
            <w:tcW w:type="dxa" w:w="2530"/>
          </w:tcPr>
          <w:p>
            <w:pPr>
              <w:jc w:val="center"/>
            </w:pPr>
            <w:r/>
            <w:r>
              <w:rPr>
                <w:rFonts w:ascii="Times New Roman" w:hAnsi="Times New Roman"/>
                <w:b/>
                <w:sz w:val="16"/>
              </w:rPr>
              <w:t>Reduction</w:t>
            </w:r>
          </w:p>
        </w:tc>
      </w:tr>
      <w:tr>
        <w:tc>
          <w:tcPr>
            <w:tcW w:type="dxa" w:w="2530"/>
          </w:tcPr>
          <w:p>
            <w:r/>
            <w:r>
              <w:rPr>
                <w:rFonts w:ascii="Times New Roman" w:hAnsi="Times New Roman"/>
                <w:sz w:val="16"/>
              </w:rPr>
              <w:t>Nav2 Planner Server</w:t>
            </w:r>
          </w:p>
        </w:tc>
        <w:tc>
          <w:tcPr>
            <w:tcW w:type="dxa" w:w="2530"/>
          </w:tcPr>
          <w:p>
            <w:r/>
            <w:r>
              <w:rPr>
                <w:rFonts w:ascii="Times New Roman" w:hAnsi="Times New Roman"/>
                <w:sz w:val="16"/>
              </w:rPr>
              <w:t>154.5</w:t>
            </w:r>
          </w:p>
        </w:tc>
        <w:tc>
          <w:tcPr>
            <w:tcW w:type="dxa" w:w="2530"/>
          </w:tcPr>
          <w:p>
            <w:r/>
            <w:r>
              <w:rPr>
                <w:rFonts w:ascii="Times New Roman" w:hAnsi="Times New Roman"/>
                <w:sz w:val="16"/>
              </w:rPr>
              <w:t>34.6</w:t>
            </w:r>
          </w:p>
        </w:tc>
        <w:tc>
          <w:tcPr>
            <w:tcW w:type="dxa" w:w="2530"/>
          </w:tcPr>
          <w:p>
            <w:r/>
            <w:r>
              <w:rPr>
                <w:rFonts w:ascii="Times New Roman" w:hAnsi="Times New Roman"/>
                <w:sz w:val="16"/>
              </w:rPr>
              <w:t>77.6%</w:t>
            </w:r>
          </w:p>
        </w:tc>
      </w:tr>
      <w:tr>
        <w:tc>
          <w:tcPr>
            <w:tcW w:type="dxa" w:w="2530"/>
          </w:tcPr>
          <w:p>
            <w:r/>
            <w:r>
              <w:rPr>
                <w:rFonts w:ascii="Times New Roman" w:hAnsi="Times New Roman"/>
                <w:sz w:val="16"/>
              </w:rPr>
              <w:t>Map Server</w:t>
            </w:r>
          </w:p>
        </w:tc>
        <w:tc>
          <w:tcPr>
            <w:tcW w:type="dxa" w:w="2530"/>
          </w:tcPr>
          <w:p>
            <w:r/>
            <w:r>
              <w:rPr>
                <w:rFonts w:ascii="Times New Roman" w:hAnsi="Times New Roman"/>
                <w:sz w:val="16"/>
              </w:rPr>
              <w:t>12.8</w:t>
            </w:r>
          </w:p>
        </w:tc>
        <w:tc>
          <w:tcPr>
            <w:tcW w:type="dxa" w:w="2530"/>
          </w:tcPr>
          <w:p>
            <w:r/>
            <w:r>
              <w:rPr>
                <w:rFonts w:ascii="Times New Roman" w:hAnsi="Times New Roman"/>
                <w:sz w:val="16"/>
              </w:rPr>
              <w:t>2.6</w:t>
            </w:r>
          </w:p>
        </w:tc>
        <w:tc>
          <w:tcPr>
            <w:tcW w:type="dxa" w:w="2530"/>
          </w:tcPr>
          <w:p>
            <w:r/>
            <w:r>
              <w:rPr>
                <w:rFonts w:ascii="Times New Roman" w:hAnsi="Times New Roman"/>
                <w:sz w:val="16"/>
              </w:rPr>
              <w:t>79.7%</w:t>
            </w:r>
          </w:p>
        </w:tc>
      </w:tr>
      <w:tr>
        <w:tc>
          <w:tcPr>
            <w:tcW w:type="dxa" w:w="2530"/>
          </w:tcPr>
          <w:p>
            <w:r/>
            <w:r>
              <w:rPr>
                <w:rFonts w:ascii="Times New Roman" w:hAnsi="Times New Roman"/>
                <w:sz w:val="16"/>
              </w:rPr>
              <w:t>Nav2 Navigator</w:t>
            </w:r>
          </w:p>
        </w:tc>
        <w:tc>
          <w:tcPr>
            <w:tcW w:type="dxa" w:w="2530"/>
          </w:tcPr>
          <w:p>
            <w:r/>
            <w:r>
              <w:rPr>
                <w:rFonts w:ascii="Times New Roman" w:hAnsi="Times New Roman"/>
                <w:sz w:val="16"/>
              </w:rPr>
              <w:t>8.3</w:t>
            </w:r>
          </w:p>
        </w:tc>
        <w:tc>
          <w:tcPr>
            <w:tcW w:type="dxa" w:w="2530"/>
          </w:tcPr>
          <w:p>
            <w:r/>
            <w:r>
              <w:rPr>
                <w:rFonts w:ascii="Times New Roman" w:hAnsi="Times New Roman"/>
                <w:sz w:val="16"/>
              </w:rPr>
              <w:t>6.1</w:t>
            </w:r>
          </w:p>
        </w:tc>
        <w:tc>
          <w:tcPr>
            <w:tcW w:type="dxa" w:w="2530"/>
          </w:tcPr>
          <w:p>
            <w:r/>
            <w:r>
              <w:rPr>
                <w:rFonts w:ascii="Times New Roman" w:hAnsi="Times New Roman"/>
                <w:sz w:val="16"/>
              </w:rPr>
              <w:t>26.5%</w:t>
            </w:r>
          </w:p>
        </w:tc>
      </w:tr>
      <w:tr>
        <w:tc>
          <w:tcPr>
            <w:tcW w:type="dxa" w:w="2530"/>
          </w:tcPr>
          <w:p>
            <w:r/>
            <w:r>
              <w:rPr>
                <w:rFonts w:ascii="Times New Roman" w:hAnsi="Times New Roman"/>
                <w:sz w:val="16"/>
              </w:rPr>
              <w:t>Nav2 Controller</w:t>
            </w:r>
          </w:p>
        </w:tc>
        <w:tc>
          <w:tcPr>
            <w:tcW w:type="dxa" w:w="2530"/>
          </w:tcPr>
          <w:p>
            <w:r/>
            <w:r>
              <w:rPr>
                <w:rFonts w:ascii="Times New Roman" w:hAnsi="Times New Roman"/>
                <w:sz w:val="16"/>
              </w:rPr>
              <w:t>1.8</w:t>
            </w:r>
          </w:p>
        </w:tc>
        <w:tc>
          <w:tcPr>
            <w:tcW w:type="dxa" w:w="2530"/>
          </w:tcPr>
          <w:p>
            <w:r/>
            <w:r>
              <w:rPr>
                <w:rFonts w:ascii="Times New Roman" w:hAnsi="Times New Roman"/>
                <w:sz w:val="16"/>
              </w:rPr>
              <w:t>1.7</w:t>
            </w:r>
          </w:p>
        </w:tc>
        <w:tc>
          <w:tcPr>
            <w:tcW w:type="dxa" w:w="2530"/>
          </w:tcPr>
          <w:p>
            <w:r/>
            <w:r>
              <w:rPr>
                <w:rFonts w:ascii="Times New Roman" w:hAnsi="Times New Roman"/>
                <w:sz w:val="16"/>
              </w:rPr>
              <w:t>5.6%</w:t>
            </w:r>
          </w:p>
        </w:tc>
      </w:tr>
      <w:tr>
        <w:tc>
          <w:tcPr>
            <w:tcW w:type="dxa" w:w="2530"/>
          </w:tcPr>
          <w:p>
            <w:r/>
            <w:r>
              <w:rPr>
                <w:rFonts w:ascii="Times New Roman" w:hAnsi="Times New Roman"/>
                <w:sz w:val="16"/>
              </w:rPr>
              <w:t>Total (Nav2)</w:t>
            </w:r>
          </w:p>
        </w:tc>
        <w:tc>
          <w:tcPr>
            <w:tcW w:type="dxa" w:w="2530"/>
          </w:tcPr>
          <w:p>
            <w:r/>
            <w:r>
              <w:rPr>
                <w:rFonts w:ascii="Times New Roman" w:hAnsi="Times New Roman"/>
                <w:sz w:val="16"/>
              </w:rPr>
              <w:t>177.4</w:t>
            </w:r>
          </w:p>
        </w:tc>
        <w:tc>
          <w:tcPr>
            <w:tcW w:type="dxa" w:w="2530"/>
          </w:tcPr>
          <w:p>
            <w:r/>
            <w:r>
              <w:rPr>
                <w:rFonts w:ascii="Times New Roman" w:hAnsi="Times New Roman"/>
                <w:sz w:val="16"/>
              </w:rPr>
              <w:t>45.0</w:t>
            </w:r>
          </w:p>
        </w:tc>
        <w:tc>
          <w:tcPr>
            <w:tcW w:type="dxa" w:w="2530"/>
          </w:tcPr>
          <w:p>
            <w:r/>
            <w:r>
              <w:rPr>
                <w:rFonts w:ascii="Times New Roman" w:hAnsi="Times New Roman"/>
                <w:sz w:val="16"/>
              </w:rPr>
              <w:t>74.6%</w:t>
            </w:r>
          </w:p>
        </w:tc>
      </w:tr>
    </w:tbl>
    <w:p>
      <w:pPr>
        <w:spacing w:after="40"/>
      </w:pPr>
    </w:p>
    <w:p>
      <w:pPr>
        <w:spacing w:after="80"/>
        <w:jc w:val="both"/>
      </w:pPr>
      <w:r>
        <w:rPr>
          <w:rFonts w:ascii="Times New Roman" w:hAnsi="Times New Roman"/>
          <w:sz w:val="20"/>
        </w:rPr>
        <w:t>The dominant contributor is the Nav2 Planner Server, dropping from 154.5 MB to 34.6 MB (77.6% reduction), consistent with the planner allocating data structures proportional to costmap size.</w:t>
      </w:r>
    </w:p>
    <w:p>
      <w:pPr>
        <w:pStyle w:val="Heading2"/>
      </w:pPr>
      <w:r>
        <w:rPr>
          <w:rFonts w:ascii="Times New Roman" w:hAnsi="Times New Roman"/>
        </w:rPr>
        <w:t>5.3 CPU Utilization</w:t>
      </w:r>
    </w:p>
    <w:p>
      <w:pPr>
        <w:spacing w:after="80"/>
        <w:jc w:val="both"/>
      </w:pPr>
      <w:r>
        <w:rPr>
          <w:rFonts w:ascii="Times New Roman" w:hAnsi="Times New Roman"/>
          <w:sz w:val="20"/>
        </w:rPr>
        <w:t>Mean CPU utilization was 32.8% (monolithic) versus 44.7% (tessellated), with peaks of 65.7% and 91.3% respectively. The higher CPU usage is attributed to tile switch events, confirming the memory-for-CPU tradeoff inherent in dynamic map management.</w:t>
      </w:r>
    </w:p>
    <w:p>
      <w:pPr>
        <w:spacing w:after="0"/>
        <w:jc w:val="center"/>
      </w:pPr>
      <w:r>
        <w:drawing>
          <wp:inline>
            <wp:extent cx="2926080" cy="1671117"/>
            <wp:docPr id="8" name="Picture 8"/>
            <wp:cNvGraphicFramePr>
              <a:graphicFrameLocks noChangeAspect="1"/>
            </wp:cNvGraphicFramePr>
            <a:graphic>
              <a:graphicData uri="http://schemas.openxmlformats.org/drawingml/2006/picture">
                <pic:pic>
                  <pic:nvPicPr>
                    <pic:cNvPr id="0" name="img_rId13.png"/>
                    <pic:cNvPicPr/>
                  </pic:nvPicPr>
                  <pic:blipFill>
                    <a:blip r:embed="rId15"/>
                    <a:stretch>
                      <a:fillRect/>
                    </a:stretch>
                  </pic:blipFill>
                  <pic:spPr>
                    <a:xfrm>
                      <a:off x="0" y="0"/>
                      <a:ext cx="2926080" cy="1671117"/>
                    </a:xfrm>
                    <a:prstGeom prst="rect"/>
                  </pic:spPr>
                </pic:pic>
              </a:graphicData>
            </a:graphic>
          </wp:inline>
        </w:drawing>
      </w:r>
    </w:p>
    <w:p>
      <w:pPr>
        <w:spacing w:before="40" w:after="120"/>
        <w:jc w:val="center"/>
      </w:pPr>
      <w:r>
        <w:rPr>
          <w:rFonts w:ascii="Times New Roman" w:hAnsi="Times New Roman"/>
          <w:i/>
          <w:sz w:val="16"/>
        </w:rPr>
        <w:t>Fig. 8. Navigation benchmark: Whole Map vs. Tile-Based. Top row: CPU usage and Nav2 total memory over time. Middle row: Map Server and Planner Server memory. Bottom row: Costmap cell count and summary bar chart. Vertical yellow dashed lines indicate tile switch events.</w:t>
      </w:r>
    </w:p>
    <w:p>
      <w:pPr>
        <w:pStyle w:val="Heading2"/>
      </w:pPr>
      <w:r>
        <w:rPr>
          <w:rFonts w:ascii="Times New Roman" w:hAnsi="Times New Roman"/>
        </w:rPr>
        <w:t>5.4 Summary</w:t>
      </w:r>
    </w:p>
    <w:p>
      <w:pPr>
        <w:spacing w:after="40"/>
        <w:jc w:val="center"/>
      </w:pPr>
      <w:r>
        <w:rPr>
          <w:rFonts w:ascii="Times New Roman" w:hAnsi="Times New Roman"/>
          <w:b/>
          <w:sz w:val="16"/>
        </w:rPr>
        <w:t>Table 6. Summary comparison of monolithic and tessellated approaches.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jc w:val="center"/>
            </w:pPr>
            <w:r/>
            <w:r>
              <w:rPr>
                <w:rFonts w:ascii="Times New Roman" w:hAnsi="Times New Roman"/>
                <w:b/>
                <w:sz w:val="16"/>
              </w:rPr>
              <w:t>Metric</w:t>
            </w:r>
          </w:p>
        </w:tc>
        <w:tc>
          <w:tcPr>
            <w:tcW w:type="dxa" w:w="2530"/>
          </w:tcPr>
          <w:p>
            <w:pPr>
              <w:jc w:val="center"/>
            </w:pPr>
            <w:r/>
            <w:r>
              <w:rPr>
                <w:rFonts w:ascii="Times New Roman" w:hAnsi="Times New Roman"/>
                <w:b/>
                <w:sz w:val="16"/>
              </w:rPr>
              <w:t>Monolithic</w:t>
            </w:r>
          </w:p>
        </w:tc>
        <w:tc>
          <w:tcPr>
            <w:tcW w:type="dxa" w:w="2530"/>
          </w:tcPr>
          <w:p>
            <w:pPr>
              <w:jc w:val="center"/>
            </w:pPr>
            <w:r/>
            <w:r>
              <w:rPr>
                <w:rFonts w:ascii="Times New Roman" w:hAnsi="Times New Roman"/>
                <w:b/>
                <w:sz w:val="16"/>
              </w:rPr>
              <w:t>Tessellated</w:t>
            </w:r>
          </w:p>
        </w:tc>
        <w:tc>
          <w:tcPr>
            <w:tcW w:type="dxa" w:w="2530"/>
          </w:tcPr>
          <w:p>
            <w:pPr>
              <w:jc w:val="center"/>
            </w:pPr>
            <w:r/>
            <w:r>
              <w:rPr>
                <w:rFonts w:ascii="Times New Roman" w:hAnsi="Times New Roman"/>
                <w:b/>
                <w:sz w:val="16"/>
              </w:rPr>
              <w:t>Change</w:t>
            </w:r>
          </w:p>
        </w:tc>
      </w:tr>
      <w:tr>
        <w:tc>
          <w:tcPr>
            <w:tcW w:type="dxa" w:w="2530"/>
          </w:tcPr>
          <w:p>
            <w:r/>
            <w:r>
              <w:rPr>
                <w:rFonts w:ascii="Times New Roman" w:hAnsi="Times New Roman"/>
                <w:sz w:val="16"/>
              </w:rPr>
              <w:t>Active costmap cells</w:t>
            </w:r>
          </w:p>
        </w:tc>
        <w:tc>
          <w:tcPr>
            <w:tcW w:type="dxa" w:w="2530"/>
          </w:tcPr>
          <w:p>
            <w:r/>
            <w:r>
              <w:rPr>
                <w:rFonts w:ascii="Times New Roman" w:hAnsi="Times New Roman"/>
                <w:sz w:val="16"/>
              </w:rPr>
              <w:t>1,466,724</w:t>
            </w:r>
          </w:p>
        </w:tc>
        <w:tc>
          <w:tcPr>
            <w:tcW w:type="dxa" w:w="2530"/>
          </w:tcPr>
          <w:p>
            <w:r/>
            <w:r>
              <w:rPr>
                <w:rFonts w:ascii="Times New Roman" w:hAnsi="Times New Roman"/>
                <w:sz w:val="16"/>
              </w:rPr>
              <w:t>91,594 (mean)</w:t>
            </w:r>
          </w:p>
        </w:tc>
        <w:tc>
          <w:tcPr>
            <w:tcW w:type="dxa" w:w="2530"/>
          </w:tcPr>
          <w:p>
            <w:r/>
            <w:r>
              <w:rPr>
                <w:rFonts w:ascii="Times New Roman" w:hAnsi="Times New Roman"/>
                <w:sz w:val="16"/>
              </w:rPr>
              <w:t>−93.8%</w:t>
            </w:r>
          </w:p>
        </w:tc>
      </w:tr>
      <w:tr>
        <w:tc>
          <w:tcPr>
            <w:tcW w:type="dxa" w:w="2530"/>
          </w:tcPr>
          <w:p>
            <w:r/>
            <w:r>
              <w:rPr>
                <w:rFonts w:ascii="Times New Roman" w:hAnsi="Times New Roman"/>
                <w:sz w:val="16"/>
              </w:rPr>
              <w:t>Nav2 Planner memory</w:t>
            </w:r>
          </w:p>
        </w:tc>
        <w:tc>
          <w:tcPr>
            <w:tcW w:type="dxa" w:w="2530"/>
          </w:tcPr>
          <w:p>
            <w:r/>
            <w:r>
              <w:rPr>
                <w:rFonts w:ascii="Times New Roman" w:hAnsi="Times New Roman"/>
                <w:sz w:val="16"/>
              </w:rPr>
              <w:t>154.5 MB</w:t>
            </w:r>
          </w:p>
        </w:tc>
        <w:tc>
          <w:tcPr>
            <w:tcW w:type="dxa" w:w="2530"/>
          </w:tcPr>
          <w:p>
            <w:r/>
            <w:r>
              <w:rPr>
                <w:rFonts w:ascii="Times New Roman" w:hAnsi="Times New Roman"/>
                <w:sz w:val="16"/>
              </w:rPr>
              <w:t>34.6 MB</w:t>
            </w:r>
          </w:p>
        </w:tc>
        <w:tc>
          <w:tcPr>
            <w:tcW w:type="dxa" w:w="2530"/>
          </w:tcPr>
          <w:p>
            <w:r/>
            <w:r>
              <w:rPr>
                <w:rFonts w:ascii="Times New Roman" w:hAnsi="Times New Roman"/>
                <w:sz w:val="16"/>
              </w:rPr>
              <w:t>−77.6%</w:t>
            </w:r>
          </w:p>
        </w:tc>
      </w:tr>
      <w:tr>
        <w:tc>
          <w:tcPr>
            <w:tcW w:type="dxa" w:w="2530"/>
          </w:tcPr>
          <w:p>
            <w:r/>
            <w:r>
              <w:rPr>
                <w:rFonts w:ascii="Times New Roman" w:hAnsi="Times New Roman"/>
                <w:sz w:val="16"/>
              </w:rPr>
              <w:t>Map Server memory</w:t>
            </w:r>
          </w:p>
        </w:tc>
        <w:tc>
          <w:tcPr>
            <w:tcW w:type="dxa" w:w="2530"/>
          </w:tcPr>
          <w:p>
            <w:r/>
            <w:r>
              <w:rPr>
                <w:rFonts w:ascii="Times New Roman" w:hAnsi="Times New Roman"/>
                <w:sz w:val="16"/>
              </w:rPr>
              <w:t>12.8 MB</w:t>
            </w:r>
          </w:p>
        </w:tc>
        <w:tc>
          <w:tcPr>
            <w:tcW w:type="dxa" w:w="2530"/>
          </w:tcPr>
          <w:p>
            <w:r/>
            <w:r>
              <w:rPr>
                <w:rFonts w:ascii="Times New Roman" w:hAnsi="Times New Roman"/>
                <w:sz w:val="16"/>
              </w:rPr>
              <w:t>2.6 MB</w:t>
            </w:r>
          </w:p>
        </w:tc>
        <w:tc>
          <w:tcPr>
            <w:tcW w:type="dxa" w:w="2530"/>
          </w:tcPr>
          <w:p>
            <w:r/>
            <w:r>
              <w:rPr>
                <w:rFonts w:ascii="Times New Roman" w:hAnsi="Times New Roman"/>
                <w:sz w:val="16"/>
              </w:rPr>
              <w:t>−79.7%</w:t>
            </w:r>
          </w:p>
        </w:tc>
      </w:tr>
      <w:tr>
        <w:tc>
          <w:tcPr>
            <w:tcW w:type="dxa" w:w="2530"/>
          </w:tcPr>
          <w:p>
            <w:r/>
            <w:r>
              <w:rPr>
                <w:rFonts w:ascii="Times New Roman" w:hAnsi="Times New Roman"/>
                <w:sz w:val="16"/>
              </w:rPr>
              <w:t>Total Nav2 memory</w:t>
            </w:r>
          </w:p>
        </w:tc>
        <w:tc>
          <w:tcPr>
            <w:tcW w:type="dxa" w:w="2530"/>
          </w:tcPr>
          <w:p>
            <w:r/>
            <w:r>
              <w:rPr>
                <w:rFonts w:ascii="Times New Roman" w:hAnsi="Times New Roman"/>
                <w:sz w:val="16"/>
              </w:rPr>
              <w:t>177.4 MB</w:t>
            </w:r>
          </w:p>
        </w:tc>
        <w:tc>
          <w:tcPr>
            <w:tcW w:type="dxa" w:w="2530"/>
          </w:tcPr>
          <w:p>
            <w:r/>
            <w:r>
              <w:rPr>
                <w:rFonts w:ascii="Times New Roman" w:hAnsi="Times New Roman"/>
                <w:sz w:val="16"/>
              </w:rPr>
              <w:t>45.0 MB</w:t>
            </w:r>
          </w:p>
        </w:tc>
        <w:tc>
          <w:tcPr>
            <w:tcW w:type="dxa" w:w="2530"/>
          </w:tcPr>
          <w:p>
            <w:r/>
            <w:r>
              <w:rPr>
                <w:rFonts w:ascii="Times New Roman" w:hAnsi="Times New Roman"/>
                <w:sz w:val="16"/>
              </w:rPr>
              <w:t>−74.6%</w:t>
            </w:r>
          </w:p>
        </w:tc>
      </w:tr>
      <w:tr>
        <w:tc>
          <w:tcPr>
            <w:tcW w:type="dxa" w:w="2530"/>
          </w:tcPr>
          <w:p>
            <w:r/>
            <w:r>
              <w:rPr>
                <w:rFonts w:ascii="Times New Roman" w:hAnsi="Times New Roman"/>
                <w:sz w:val="16"/>
              </w:rPr>
              <w:t>Mean CPU utilization</w:t>
            </w:r>
          </w:p>
        </w:tc>
        <w:tc>
          <w:tcPr>
            <w:tcW w:type="dxa" w:w="2530"/>
          </w:tcPr>
          <w:p>
            <w:r/>
            <w:r>
              <w:rPr>
                <w:rFonts w:ascii="Times New Roman" w:hAnsi="Times New Roman"/>
                <w:sz w:val="16"/>
              </w:rPr>
              <w:t>32.8%</w:t>
            </w:r>
          </w:p>
        </w:tc>
        <w:tc>
          <w:tcPr>
            <w:tcW w:type="dxa" w:w="2530"/>
          </w:tcPr>
          <w:p>
            <w:r/>
            <w:r>
              <w:rPr>
                <w:rFonts w:ascii="Times New Roman" w:hAnsi="Times New Roman"/>
                <w:sz w:val="16"/>
              </w:rPr>
              <w:t>44.7%</w:t>
            </w:r>
          </w:p>
        </w:tc>
        <w:tc>
          <w:tcPr>
            <w:tcW w:type="dxa" w:w="2530"/>
          </w:tcPr>
          <w:p>
            <w:r/>
            <w:r>
              <w:rPr>
                <w:rFonts w:ascii="Times New Roman" w:hAnsi="Times New Roman"/>
                <w:sz w:val="16"/>
              </w:rPr>
              <w:t>+11.9 pp</w:t>
            </w:r>
          </w:p>
        </w:tc>
      </w:tr>
      <w:tr>
        <w:tc>
          <w:tcPr>
            <w:tcW w:type="dxa" w:w="2530"/>
          </w:tcPr>
          <w:p>
            <w:r/>
            <w:r>
              <w:rPr>
                <w:rFonts w:ascii="Times New Roman" w:hAnsi="Times New Roman"/>
                <w:sz w:val="16"/>
              </w:rPr>
              <w:t>Peak CPU utilization</w:t>
            </w:r>
          </w:p>
        </w:tc>
        <w:tc>
          <w:tcPr>
            <w:tcW w:type="dxa" w:w="2530"/>
          </w:tcPr>
          <w:p>
            <w:r/>
            <w:r>
              <w:rPr>
                <w:rFonts w:ascii="Times New Roman" w:hAnsi="Times New Roman"/>
                <w:sz w:val="16"/>
              </w:rPr>
              <w:t>65.7%</w:t>
            </w:r>
          </w:p>
        </w:tc>
        <w:tc>
          <w:tcPr>
            <w:tcW w:type="dxa" w:w="2530"/>
          </w:tcPr>
          <w:p>
            <w:r/>
            <w:r>
              <w:rPr>
                <w:rFonts w:ascii="Times New Roman" w:hAnsi="Times New Roman"/>
                <w:sz w:val="16"/>
              </w:rPr>
              <w:t>91.3%</w:t>
            </w:r>
          </w:p>
        </w:tc>
        <w:tc>
          <w:tcPr>
            <w:tcW w:type="dxa" w:w="2530"/>
          </w:tcPr>
          <w:p>
            <w:r/>
            <w:r>
              <w:rPr>
                <w:rFonts w:ascii="Times New Roman" w:hAnsi="Times New Roman"/>
                <w:sz w:val="16"/>
              </w:rPr>
              <w:t>+25.6 pp</w:t>
            </w:r>
          </w:p>
        </w:tc>
      </w:tr>
    </w:tbl>
    <w:p>
      <w:pPr>
        <w:spacing w:after="40"/>
      </w:pPr>
    </w:p>
    <w:p>
      <w:pPr>
        <w:spacing w:after="120"/>
        <w:jc w:val="both"/>
      </w:pPr>
      <w:r>
        <w:rPr>
          <w:rFonts w:ascii="Times New Roman" w:hAnsi="Times New Roman"/>
          <w:sz w:val="20"/>
        </w:rPr>
        <w:t>The tessellated approach achieves substantial reductions in active costmap size and Nav2 planner memory, at the cost of moderate CPU overhead concentrated at tile switch events. The modular tile structure enables straightforward extension to additional floor zones.</w:t>
      </w:r>
    </w:p>
    <w:p>
      <w:pPr>
        <w:pStyle w:val="Heading1"/>
      </w:pPr>
      <w:r>
        <w:rPr>
          <w:rFonts w:ascii="Times New Roman" w:hAnsi="Times New Roman"/>
        </w:rPr>
        <w:t>6. Conclusion</w:t>
      </w:r>
    </w:p>
    <w:p>
      <w:pPr>
        <w:spacing w:after="80"/>
        <w:jc w:val="both"/>
      </w:pPr>
      <w:r>
        <w:rPr>
          <w:rFonts w:ascii="Times New Roman" w:hAnsi="Times New Roman"/>
          <w:sz w:val="20"/>
        </w:rPr>
        <w:t>This paper presented a tile-based map switching system for autonomous mobile robot navigation in large indoor environments using the ROS 2 and Nav2 stack. The proposed approach decomposes a pre-built 2D occupancy grid into spatially overlapping tiles and dynamically loads only the active tile at runtime. A custom Behavior Tree action node with heading-aware trigger zone mechanism and four-state asynchronous state machine enables seamless tile transitions without interrupting navigation.</w:t>
      </w:r>
    </w:p>
    <w:p>
      <w:pPr>
        <w:spacing w:after="80"/>
        <w:jc w:val="both"/>
      </w:pPr>
      <w:r>
        <w:rPr>
          <w:rFonts w:ascii="Times New Roman" w:hAnsi="Times New Roman"/>
          <w:sz w:val="20"/>
        </w:rPr>
        <w:t>Benchmarks demonstrate a 93.8% reduction in active costmap cells and 77.6% reduction in Nav2 Planner Server memory, validating the approach for resource-constrained embedded platforms. The YAML-based tile configuration enables modular extension to additional zones without stack modification.</w:t>
      </w:r>
    </w:p>
    <w:p>
      <w:pPr>
        <w:spacing w:after="120"/>
        <w:jc w:val="both"/>
      </w:pPr>
      <w:r>
        <w:rPr>
          <w:rFonts w:ascii="Times New Roman" w:hAnsi="Times New Roman"/>
          <w:sz w:val="20"/>
        </w:rPr>
        <w:t>Future work includes: (1) automating the map generation pipeline to derive tessellation boundaries directly from CAD data; (2) adaptive trigger zone sizing based on robot velocity; (3) dynamic tile loading in multiple directions for multi-floor environments; and (4) tile-specific inflation layers for varying obstacle clearance requirements across zones.</w:t>
      </w:r>
    </w:p>
    <w:p>
      <w:pPr>
        <w:pStyle w:val="Heading1"/>
      </w:pPr>
      <w:r>
        <w:rPr>
          <w:rFonts w:ascii="Times New Roman" w:hAnsi="Times New Roman"/>
        </w:rPr>
        <w:t>References</w:t>
      </w:r>
    </w:p>
    <w:p>
      <w:pPr>
        <w:spacing w:after="40"/>
        <w:jc w:val="both"/>
      </w:pPr>
      <w:r>
        <w:rPr>
          <w:rFonts w:ascii="Times New Roman" w:hAnsi="Times New Roman"/>
          <w:sz w:val="18"/>
        </w:rPr>
        <w:t>[1]</w:t>
        <w:tab/>
        <w:t>A. Fisher, R. Cannizzaro, M. Cochrane, C. Nagahawatte, and J. L. Palmer, “ColMap: A memory-efficient occupancy grid mapping framework,” Robotics and Autonomous Systems, vol. 142, p. 103755, 2021.</w:t>
      </w:r>
    </w:p>
    <w:p>
      <w:pPr>
        <w:spacing w:after="40"/>
        <w:jc w:val="both"/>
      </w:pPr>
      <w:r>
        <w:rPr>
          <w:rFonts w:ascii="Times New Roman" w:hAnsi="Times New Roman"/>
          <w:sz w:val="18"/>
        </w:rPr>
        <w:t>[2]</w:t>
        <w:tab/>
        <w:t>A. Hornung, K. M. Wurm, M. Bennewitz, C. Stachniss, and W. Burgard, “OctoMap: An efficient probabilistic 3D mapping framework based on octrees,” Autonomous Robots, vol. 34, pp. 189–206, 2013.</w:t>
      </w:r>
    </w:p>
    <w:p>
      <w:pPr>
        <w:spacing w:after="40"/>
        <w:jc w:val="both"/>
      </w:pPr>
      <w:r>
        <w:rPr>
          <w:rFonts w:ascii="Times New Roman" w:hAnsi="Times New Roman"/>
          <w:sz w:val="18"/>
        </w:rPr>
        <w:t>[3]</w:t>
        <w:tab/>
        <w:t>D. Gonzalez-Arjona, A. Sanchez, F. López-Colino, A. de Castro, and J. Garrido, “Simplified occupancy grid indoor mapping optimized for low-cost robots,” ISPRS Int. J. Geo-Information, vol. 12, no. 3, p. 96, 2023.</w:t>
      </w:r>
    </w:p>
    <w:p>
      <w:pPr>
        <w:spacing w:after="40"/>
        <w:jc w:val="both"/>
      </w:pPr>
      <w:r>
        <w:rPr>
          <w:rFonts w:ascii="Times New Roman" w:hAnsi="Times New Roman"/>
          <w:sz w:val="18"/>
        </w:rPr>
        <w:t>[4]</w:t>
        <w:tab/>
        <w:t>R. B. Sousa, H. M. Sobreira, and A. P. Moreira, “A systematic literature review on long-term localization and mapping for mobile robots,” Journal of Field Robotics, vol. 40, pp. 1245–1322, 2023.</w:t>
      </w:r>
    </w:p>
    <w:p>
      <w:pPr>
        <w:spacing w:after="40"/>
        <w:jc w:val="both"/>
      </w:pPr>
      <w:r>
        <w:rPr>
          <w:rFonts w:ascii="Times New Roman" w:hAnsi="Times New Roman"/>
          <w:sz w:val="18"/>
        </w:rPr>
        <w:t>[5]</w:t>
        <w:tab/>
        <w:t>A. Schaefer, D. Büscher, J. Vertens, L. Luft, and W. Burgard, “Long-term vehicle localization in urban environments based on pole landmarks extracted from 3-D LiDAR scans,” Robotics and Autonomous Systems, vol. 143, p. 103810, 2021.</w:t>
      </w:r>
    </w:p>
    <w:p>
      <w:pPr>
        <w:spacing w:after="40"/>
        <w:jc w:val="both"/>
      </w:pPr>
      <w:r>
        <w:rPr>
          <w:rFonts w:ascii="Times New Roman" w:hAnsi="Times New Roman"/>
          <w:sz w:val="18"/>
        </w:rPr>
        <w:t>[6]</w:t>
        <w:tab/>
        <w:t>T. Horelican, “Utilizability of Navigation2/ROS2 in highly automated and distributed multi-robotic systems for industrial facilities,” IFAC PapersOnLine, vol. 55-4, pp. 109–114, 2022.</w:t>
      </w:r>
    </w:p>
    <w:p>
      <w:pPr>
        <w:spacing w:after="40"/>
        <w:jc w:val="both"/>
      </w:pPr>
      <w:r>
        <w:rPr>
          <w:rFonts w:ascii="Times New Roman" w:hAnsi="Times New Roman"/>
          <w:sz w:val="18"/>
        </w:rPr>
        <w:t>[7]</w:t>
        <w:tab/>
        <w:t>M. A. Vega-Torres, A. Braun, and A. Borrmann, “SLAM2REF: Advancing long-term mapping with 3D LiDAR and reference map integration for precise 6-DoF trajectory estimation and map extension,” Construction Robotics, vol. 8, p. 6, 2024.</w:t>
      </w:r>
    </w:p>
    <w:p>
      <w:pPr>
        <w:spacing w:after="40"/>
        <w:jc w:val="both"/>
      </w:pPr>
      <w:r>
        <w:rPr>
          <w:rFonts w:ascii="Times New Roman" w:hAnsi="Times New Roman"/>
          <w:sz w:val="18"/>
        </w:rPr>
        <w:t>[8]</w:t>
        <w:tab/>
        <w:t>Y. Baek and J. K. Park, “Fast path generation algorithm for mobile robot navigation using hybrid map,” Applied Sciences, vol. 15, p. 2414, 2025.</w:t>
      </w:r>
    </w:p>
    <w:p>
      <w:pPr>
        <w:spacing w:after="40"/>
        <w:jc w:val="both"/>
      </w:pPr>
      <w:r>
        <w:rPr>
          <w:rFonts w:ascii="Times New Roman" w:hAnsi="Times New Roman"/>
          <w:sz w:val="18"/>
        </w:rPr>
        <w:t>[9]</w:t>
        <w:tab/>
        <w:t>H. Yun and S. Yoo, “Semantic zone based 3D map management for mobile robot,” arXiv preprint arXiv:2512.12228, Dec. 2025.</w:t>
      </w:r>
    </w:p>
    <w:p>
      <w:pPr>
        <w:spacing w:after="40"/>
        <w:jc w:val="both"/>
      </w:pPr>
      <w:r>
        <w:rPr>
          <w:rFonts w:ascii="Times New Roman" w:hAnsi="Times New Roman"/>
          <w:sz w:val="18"/>
        </w:rPr>
        <w:t>[10]</w:t>
        <w:tab/>
        <w:t>Y. Wang, L. Zhao, and S. Huang, “Grid-based submap joining: An efficient algorithm for simultaneously optimizing global occupancy map and local submap frames,” arXiv preprint arXiv:2501.12764, Jan. 2025.</w:t>
      </w:r>
    </w:p>
    <w:sectPr>
      <w:type w:val="continuous"/>
      <w:pgSz w:h="16839" w:w="11907"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2026 10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International Conference on Mechatronics Engineering (ICOM)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8"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