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senthamilselvi 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Senthamilselvi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BCA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GIRL'S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KADATHUR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GOVERNMENT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GIRL'S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KADATHUR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No-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4/119C,Maiylapur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 xml:space="preserve">Kadathur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Dharmapuri-635303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322</Words>
  <Pages>5</Pages>
  <Characters>2567</Characters>
  <Application>WPS Office</Application>
  <DocSecurity>0</DocSecurity>
  <Paragraphs>213</Paragraphs>
  <ScaleCrop>false</ScaleCrop>
  <LinksUpToDate>false</LinksUpToDate>
  <CharactersWithSpaces>3580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2025-03-18T06:50:00Z</dcterms:created>
  <dc:creator>GASC3</dc:creator>
  <lastModifiedBy>V2111</lastModifiedBy>
  <dcterms:modified xsi:type="dcterms:W3CDTF">2025-03-19T05:00:03Z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935556a1eed34a60bd97ef259b840617</vt:lpwstr>
  </property>
</Properties>
</file>