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Arial" w:cs="Arial" w:eastAsia="Arial" w:hAnsi="Arial"/>
          <w:b/>
          <w:bCs/>
          <w:color w:val="1B3A6B"/>
          <w:sz w:val="64"/>
          <w:szCs w:val="64"/>
        </w:rPr>
        <w:t xml:space="preserve">PRE-MARKET SAAS PRODUCT</w:t>
      </w:r>
    </w:p>
    <w:p>
      <w:pPr>
        <w:spacing w:after="160" w:before="0"/>
        <w:jc w:val="center"/>
      </w:pPr>
      <w:r>
        <w:rPr>
          <w:rFonts w:ascii="Arial" w:cs="Arial" w:eastAsia="Arial" w:hAnsi="Arial"/>
          <w:b/>
          <w:bCs/>
          <w:color w:val="2563EB"/>
          <w:sz w:val="64"/>
          <w:szCs w:val="64"/>
        </w:rPr>
        <w:t xml:space="preserve">EVALUATION FRAMEWORK</w:t>
      </w:r>
    </w:p>
    <w:p>
      <w:pPr>
        <w:pBdr>
          <w:bottom w:val="single" w:color="3B82F6" w:sz="6" w:space="1"/>
        </w:pBdr>
        <w:spacing w:after="80" w:before="0"/>
        <w:jc w:val="center"/>
      </w:pPr>
    </w:p>
    <w:p>
      <w:r>
        <w:t xml:space="preserve"/>
      </w:r>
    </w:p>
    <w:p>
      <w:pPr>
        <w:spacing w:after="40" w:before="80"/>
        <w:jc w:val="center"/>
      </w:pPr>
      <w:r>
        <w:rPr>
          <w:rFonts w:ascii="Arial" w:cs="Arial" w:eastAsia="Arial" w:hAnsi="Arial"/>
          <w:i/>
          <w:iCs/>
          <w:color w:val="6B7280"/>
          <w:sz w:val="28"/>
          <w:szCs w:val="28"/>
        </w:rPr>
        <w:t xml:space="preserve">A Comprehensive Go-to-Market Readiness Assessment</w:t>
      </w:r>
    </w:p>
    <w:p>
      <w:pPr>
        <w:spacing w:after="0" w:before="40"/>
        <w:jc w:val="center"/>
      </w:pPr>
      <w:r>
        <w:rPr>
          <w:rFonts w:ascii="Arial" w:cs="Arial" w:eastAsia="Arial" w:hAnsi="Arial"/>
          <w:color w:val="3B82F6"/>
          <w:sz w:val="24"/>
          <w:szCs w:val="24"/>
        </w:rPr>
        <w:t xml:space="preserve">Covering 18 Core Evaluation Domains</w:t>
      </w:r>
    </w:p>
    <w:p>
      <w:r>
        <w:t xml:space="preserve"/>
      </w:r>
    </w:p>
    <w:p>
      <w:r>
        <w:t xml:space="preserve"/>
      </w:r>
    </w:p>
    <w:p>
      <w:r>
        <w:t xml:space="preserve"/>
      </w:r>
    </w:p>
    <w:p>
      <w:r>
        <w:t xml:space="preserve"/>
      </w:r>
    </w:p>
    <w:p>
      <w:r>
        <w:t xml:space="preserve"/>
      </w:r>
    </w:p>
    <w:p>
      <w:pPr>
        <w:jc w:val="center"/>
      </w:pPr>
      <w:r>
        <w:rPr>
          <w:rFonts w:ascii="Arial" w:cs="Arial" w:eastAsia="Arial" w:hAnsi="Arial"/>
          <w:color w:val="6B7280"/>
          <w:sz w:val="20"/>
          <w:szCs w:val="20"/>
        </w:rPr>
        <w:t xml:space="preserve">Version 1.0  |  March 4, 2026</w:t>
      </w:r>
    </w:p>
    <w:p>
      <w:r>
        <w:br w:type="page"/>
      </w:r>
    </w:p>
    <w:p>
      <w:pPr>
        <w:shd w:fill="1B3A6B" w:val="clear"/>
        <w:spacing w:after="80" w:before="0"/>
        <w:jc w:val="center"/>
      </w:pPr>
      <w:r>
        <w:rPr>
          <w:rFonts w:ascii="Arial" w:cs="Arial" w:eastAsia="Arial" w:hAnsi="Arial"/>
          <w:b/>
          <w:bCs/>
          <w:color w:val="FFFFFF"/>
          <w:sz w:val="32"/>
          <w:szCs w:val="32"/>
        </w:rPr>
        <w:t xml:space="preserve">PART 1: CORE EVALUATION DOMAINS</w:t>
      </w:r>
    </w:p>
    <w:p>
      <w:r>
        <w:t xml:space="preserve"/>
      </w:r>
    </w:p>
    <w:p>
      <w:pPr>
        <w:pStyle w:val="Heading1"/>
        <w:spacing w:after="160" w:before="400"/>
      </w:pPr>
      <w:r>
        <w:rPr>
          <w:rFonts w:ascii="Arial" w:cs="Arial" w:eastAsia="Arial" w:hAnsi="Arial"/>
          <w:b/>
          <w:bCs/>
          <w:color w:val="1B3A6B"/>
          <w:sz w:val="36"/>
          <w:szCs w:val="36"/>
        </w:rPr>
        <w:t xml:space="preserve">1. Product &amp; Technical Readiness</w:t>
      </w:r>
    </w:p>
    <w:p>
      <w:pPr>
        <w:spacing w:after="60" w:before="60"/>
      </w:pPr>
      <w:r>
        <w:rPr>
          <w:rFonts w:ascii="Arial" w:cs="Arial" w:eastAsia="Arial" w:hAnsi="Arial"/>
          <w:color w:val="1F2937"/>
          <w:sz w:val="20"/>
          <w:szCs w:val="20"/>
        </w:rPr>
        <w:t xml:space="preserve">All functional, performance, and infrastructure components must be validated before exposing the product to paying customers. Technical failure at launch is recoverable; reputational damage from a botched launch is not.</w:t>
      </w:r>
    </w:p>
    <w:p>
      <w:r>
        <w:t xml:space="preserve"/>
      </w:r>
    </w:p>
    <w:p>
      <w:pPr>
        <w:pStyle w:val="Heading3"/>
        <w:spacing w:after="80" w:before="240"/>
      </w:pPr>
      <w:r>
        <w:rPr>
          <w:rFonts w:ascii="Arial" w:cs="Arial" w:eastAsia="Arial" w:hAnsi="Arial"/>
          <w:b/>
          <w:bCs/>
          <w:color w:val="3B82F6"/>
          <w:sz w:val="24"/>
          <w:szCs w:val="24"/>
        </w:rPr>
        <w:t xml:space="preserve">1.1 Functional Completeness</w:t>
      </w:r>
    </w:p>
    <w:p>
      <w:pPr>
        <w:pStyle w:val="ListParagraph"/>
        <w:numPr>
          <w:ilvl w:val="0"/>
          <w:numId w:val="2"/>
        </w:numPr>
        <w:spacing w:after="40" w:before="40"/>
      </w:pPr>
      <w:r>
        <w:rPr>
          <w:rFonts w:ascii="Arial" w:cs="Arial" w:eastAsia="Arial" w:hAnsi="Arial"/>
          <w:color w:val="374151"/>
          <w:sz w:val="20"/>
          <w:szCs w:val="20"/>
        </w:rPr>
        <w:t xml:space="preserve">All core features (MVP or full) are built, tested, and working as designed</w:t>
      </w:r>
    </w:p>
    <w:p>
      <w:pPr>
        <w:pStyle w:val="ListParagraph"/>
        <w:numPr>
          <w:ilvl w:val="0"/>
          <w:numId w:val="2"/>
        </w:numPr>
        <w:spacing w:after="40" w:before="40"/>
      </w:pPr>
      <w:r>
        <w:rPr>
          <w:rFonts w:ascii="Arial" w:cs="Arial" w:eastAsia="Arial" w:hAnsi="Arial"/>
          <w:color w:val="374151"/>
          <w:sz w:val="20"/>
          <w:szCs w:val="20"/>
        </w:rPr>
        <w:t xml:space="preserve">Edge cases and error states are handled gracefully across all user flows</w:t>
      </w:r>
    </w:p>
    <w:p>
      <w:pPr>
        <w:pStyle w:val="ListParagraph"/>
        <w:numPr>
          <w:ilvl w:val="0"/>
          <w:numId w:val="2"/>
        </w:numPr>
        <w:spacing w:after="40" w:before="40"/>
      </w:pPr>
      <w:r>
        <w:rPr>
          <w:rFonts w:ascii="Arial" w:cs="Arial" w:eastAsia="Arial" w:hAnsi="Arial"/>
          <w:color w:val="374151"/>
          <w:sz w:val="20"/>
          <w:szCs w:val="20"/>
        </w:rPr>
        <w:t xml:space="preserve">Feature parity confirmed across supported browsers, devices, and OS versions</w:t>
      </w:r>
    </w:p>
    <w:p>
      <w:pPr>
        <w:pStyle w:val="ListParagraph"/>
        <w:numPr>
          <w:ilvl w:val="0"/>
          <w:numId w:val="2"/>
        </w:numPr>
        <w:spacing w:after="40" w:before="40"/>
      </w:pPr>
      <w:r>
        <w:rPr>
          <w:rFonts w:ascii="Arial" w:cs="Arial" w:eastAsia="Arial" w:hAnsi="Arial"/>
          <w:color w:val="374151"/>
          <w:sz w:val="20"/>
          <w:szCs w:val="20"/>
        </w:rPr>
        <w:t xml:space="preserve">No P0 or P1 bugs open; P2 backlog documented and prioritized for post-launch</w:t>
      </w:r>
    </w:p>
    <w:p>
      <w:pPr>
        <w:pStyle w:val="ListParagraph"/>
        <w:numPr>
          <w:ilvl w:val="0"/>
          <w:numId w:val="2"/>
        </w:numPr>
        <w:spacing w:after="40" w:before="40"/>
      </w:pPr>
      <w:r>
        <w:rPr>
          <w:rFonts w:ascii="Arial" w:cs="Arial" w:eastAsia="Arial" w:hAnsi="Arial"/>
          <w:color w:val="374151"/>
          <w:sz w:val="20"/>
          <w:szCs w:val="20"/>
        </w:rPr>
        <w:t xml:space="preserve">Regression test suite covers all critical user journeys</w:t>
      </w:r>
    </w:p>
    <w:p>
      <w:r>
        <w:t xml:space="preserve"/>
      </w:r>
    </w:p>
    <w:p>
      <w:pPr>
        <w:pStyle w:val="Heading3"/>
        <w:spacing w:after="80" w:before="240"/>
      </w:pPr>
      <w:r>
        <w:rPr>
          <w:rFonts w:ascii="Arial" w:cs="Arial" w:eastAsia="Arial" w:hAnsi="Arial"/>
          <w:b/>
          <w:bCs/>
          <w:color w:val="3B82F6"/>
          <w:sz w:val="24"/>
          <w:szCs w:val="24"/>
        </w:rPr>
        <w:t xml:space="preserve">1.2 Performance &amp; Scalability</w:t>
      </w:r>
    </w:p>
    <w:p>
      <w:pPr>
        <w:pStyle w:val="ListParagraph"/>
        <w:numPr>
          <w:ilvl w:val="0"/>
          <w:numId w:val="2"/>
        </w:numPr>
        <w:spacing w:after="40" w:before="40"/>
      </w:pPr>
      <w:r>
        <w:rPr>
          <w:rFonts w:ascii="Arial" w:cs="Arial" w:eastAsia="Arial" w:hAnsi="Arial"/>
          <w:color w:val="374151"/>
          <w:sz w:val="20"/>
          <w:szCs w:val="20"/>
        </w:rPr>
        <w:t xml:space="preserve">Load testing completed at 2–5x expected launch traffic (k6, Locust, or JMeter)</w:t>
      </w:r>
    </w:p>
    <w:p>
      <w:pPr>
        <w:pStyle w:val="ListParagraph"/>
        <w:numPr>
          <w:ilvl w:val="0"/>
          <w:numId w:val="2"/>
        </w:numPr>
        <w:spacing w:after="40" w:before="40"/>
      </w:pPr>
      <w:r>
        <w:rPr>
          <w:rFonts w:ascii="Arial" w:cs="Arial" w:eastAsia="Arial" w:hAnsi="Arial"/>
          <w:color w:val="374151"/>
          <w:sz w:val="20"/>
          <w:szCs w:val="20"/>
        </w:rPr>
        <w:t xml:space="preserve">Database query optimization and indexing reviewed and validated</w:t>
      </w:r>
    </w:p>
    <w:p>
      <w:pPr>
        <w:pStyle w:val="ListParagraph"/>
        <w:numPr>
          <w:ilvl w:val="0"/>
          <w:numId w:val="2"/>
        </w:numPr>
        <w:spacing w:after="40" w:before="40"/>
      </w:pPr>
      <w:r>
        <w:rPr>
          <w:rFonts w:ascii="Arial" w:cs="Arial" w:eastAsia="Arial" w:hAnsi="Arial"/>
          <w:color w:val="374151"/>
          <w:sz w:val="20"/>
          <w:szCs w:val="20"/>
        </w:rPr>
        <w:t xml:space="preserve">Response time SLAs defined and met (e.g., p95 &lt; 500ms for all API calls)</w:t>
      </w:r>
    </w:p>
    <w:p>
      <w:pPr>
        <w:pStyle w:val="ListParagraph"/>
        <w:numPr>
          <w:ilvl w:val="0"/>
          <w:numId w:val="2"/>
        </w:numPr>
        <w:spacing w:after="40" w:before="40"/>
      </w:pPr>
      <w:r>
        <w:rPr>
          <w:rFonts w:ascii="Arial" w:cs="Arial" w:eastAsia="Arial" w:hAnsi="Arial"/>
          <w:color w:val="374151"/>
          <w:sz w:val="20"/>
          <w:szCs w:val="20"/>
        </w:rPr>
        <w:t xml:space="preserve">Auto-scaling policies configured, tested, and documented</w:t>
      </w:r>
    </w:p>
    <w:p>
      <w:pPr>
        <w:pStyle w:val="ListParagraph"/>
        <w:numPr>
          <w:ilvl w:val="0"/>
          <w:numId w:val="2"/>
        </w:numPr>
        <w:spacing w:after="40" w:before="40"/>
      </w:pPr>
      <w:r>
        <w:rPr>
          <w:rFonts w:ascii="Arial" w:cs="Arial" w:eastAsia="Arial" w:hAnsi="Arial"/>
          <w:color w:val="374151"/>
          <w:sz w:val="20"/>
          <w:szCs w:val="20"/>
        </w:rPr>
        <w:t xml:space="preserve">CDN, caching layers, and rate limiting implemented and verified</w:t>
      </w:r>
    </w:p>
    <w:p>
      <w:pPr>
        <w:pStyle w:val="ListParagraph"/>
        <w:numPr>
          <w:ilvl w:val="0"/>
          <w:numId w:val="2"/>
        </w:numPr>
        <w:spacing w:after="40" w:before="40"/>
      </w:pPr>
      <w:r>
        <w:rPr>
          <w:rFonts w:ascii="Arial" w:cs="Arial" w:eastAsia="Arial" w:hAnsi="Arial"/>
          <w:color w:val="374151"/>
          <w:sz w:val="20"/>
          <w:szCs w:val="20"/>
        </w:rPr>
        <w:t xml:space="preserve">Memory leak and long-running session testing completed</w:t>
      </w:r>
    </w:p>
    <w:p>
      <w:r>
        <w:t xml:space="preserve"/>
      </w:r>
    </w:p>
    <w:p>
      <w:pPr>
        <w:pStyle w:val="Heading3"/>
        <w:spacing w:after="80" w:before="240"/>
      </w:pPr>
      <w:r>
        <w:rPr>
          <w:rFonts w:ascii="Arial" w:cs="Arial" w:eastAsia="Arial" w:hAnsi="Arial"/>
          <w:b/>
          <w:bCs/>
          <w:color w:val="3B82F6"/>
          <w:sz w:val="24"/>
          <w:szCs w:val="24"/>
        </w:rPr>
        <w:t xml:space="preserve">1.3 Architecture &amp; Code Quality</w:t>
      </w:r>
    </w:p>
    <w:p>
      <w:pPr>
        <w:pStyle w:val="ListParagraph"/>
        <w:numPr>
          <w:ilvl w:val="0"/>
          <w:numId w:val="2"/>
        </w:numPr>
        <w:spacing w:after="40" w:before="40"/>
      </w:pPr>
      <w:r>
        <w:rPr>
          <w:rFonts w:ascii="Arial" w:cs="Arial" w:eastAsia="Arial" w:hAnsi="Arial"/>
          <w:color w:val="374151"/>
          <w:sz w:val="20"/>
          <w:szCs w:val="20"/>
        </w:rPr>
        <w:t xml:space="preserve">Code reviews and static analysis completed (ESLint, SonarQube, or equivalent)</w:t>
      </w:r>
    </w:p>
    <w:p>
      <w:pPr>
        <w:pStyle w:val="ListParagraph"/>
        <w:numPr>
          <w:ilvl w:val="0"/>
          <w:numId w:val="2"/>
        </w:numPr>
        <w:spacing w:after="40" w:before="40"/>
      </w:pPr>
      <w:r>
        <w:rPr>
          <w:rFonts w:ascii="Arial" w:cs="Arial" w:eastAsia="Arial" w:hAnsi="Arial"/>
          <w:color w:val="374151"/>
          <w:sz w:val="20"/>
          <w:szCs w:val="20"/>
        </w:rPr>
        <w:t xml:space="preserve">Technical debt documented and risk-assessed with owner assigned to each item</w:t>
      </w:r>
    </w:p>
    <w:p>
      <w:pPr>
        <w:pStyle w:val="ListParagraph"/>
        <w:numPr>
          <w:ilvl w:val="0"/>
          <w:numId w:val="2"/>
        </w:numPr>
        <w:spacing w:after="40" w:before="40"/>
      </w:pPr>
      <w:r>
        <w:rPr>
          <w:rFonts w:ascii="Arial" w:cs="Arial" w:eastAsia="Arial" w:hAnsi="Arial"/>
          <w:color w:val="374151"/>
          <w:sz w:val="20"/>
          <w:szCs w:val="20"/>
        </w:rPr>
        <w:t xml:space="preserve">Dependency audit complete — no critically vulnerable or deprecated packages</w:t>
      </w:r>
    </w:p>
    <w:p>
      <w:pPr>
        <w:pStyle w:val="ListParagraph"/>
        <w:numPr>
          <w:ilvl w:val="0"/>
          <w:numId w:val="2"/>
        </w:numPr>
        <w:spacing w:after="40" w:before="40"/>
      </w:pPr>
      <w:r>
        <w:rPr>
          <w:rFonts w:ascii="Arial" w:cs="Arial" w:eastAsia="Arial" w:hAnsi="Arial"/>
          <w:color w:val="374151"/>
          <w:sz w:val="20"/>
          <w:szCs w:val="20"/>
        </w:rPr>
        <w:t xml:space="preserve">API contracts versioned and documented (OpenAPI / Swagger)</w:t>
      </w:r>
    </w:p>
    <w:p>
      <w:pPr>
        <w:pStyle w:val="ListParagraph"/>
        <w:numPr>
          <w:ilvl w:val="0"/>
          <w:numId w:val="2"/>
        </w:numPr>
        <w:spacing w:after="40" w:before="40"/>
      </w:pPr>
      <w:r>
        <w:rPr>
          <w:rFonts w:ascii="Arial" w:cs="Arial" w:eastAsia="Arial" w:hAnsi="Arial"/>
          <w:color w:val="374151"/>
          <w:sz w:val="20"/>
          <w:szCs w:val="20"/>
        </w:rPr>
        <w:t xml:space="preserve">Logging, observability, and distributed tracing in place (Datadog, Sentry, etc.)</w:t>
      </w:r>
    </w:p>
    <w:p>
      <w:pPr>
        <w:pStyle w:val="ListParagraph"/>
        <w:numPr>
          <w:ilvl w:val="0"/>
          <w:numId w:val="2"/>
        </w:numPr>
        <w:spacing w:after="40" w:before="40"/>
      </w:pPr>
      <w:r>
        <w:rPr>
          <w:rFonts w:ascii="Arial" w:cs="Arial" w:eastAsia="Arial" w:hAnsi="Arial"/>
          <w:color w:val="374151"/>
          <w:sz w:val="20"/>
          <w:szCs w:val="20"/>
        </w:rPr>
        <w:t xml:space="preserve">No hardcoded secrets, credentials, or environment-specific config in codebase</w:t>
      </w:r>
    </w:p>
    <w:p>
      <w:r>
        <w:t xml:space="preserve"/>
      </w:r>
    </w:p>
    <w:p>
      <w:pPr>
        <w:pStyle w:val="Heading3"/>
        <w:spacing w:after="80" w:before="240"/>
      </w:pPr>
      <w:r>
        <w:rPr>
          <w:rFonts w:ascii="Arial" w:cs="Arial" w:eastAsia="Arial" w:hAnsi="Arial"/>
          <w:b/>
          <w:bCs/>
          <w:color w:val="3B82F6"/>
          <w:sz w:val="24"/>
          <w:szCs w:val="24"/>
        </w:rPr>
        <w:t xml:space="preserve">1.4 Infrastructure &amp; DevOps</w:t>
      </w:r>
    </w:p>
    <w:p>
      <w:pPr>
        <w:pStyle w:val="ListParagraph"/>
        <w:numPr>
          <w:ilvl w:val="0"/>
          <w:numId w:val="2"/>
        </w:numPr>
        <w:spacing w:after="40" w:before="40"/>
      </w:pPr>
      <w:r>
        <w:rPr>
          <w:rFonts w:ascii="Arial" w:cs="Arial" w:eastAsia="Arial" w:hAnsi="Arial"/>
          <w:color w:val="374151"/>
          <w:sz w:val="20"/>
          <w:szCs w:val="20"/>
        </w:rPr>
        <w:t xml:space="preserve">Infrastructure as Code (Terraform, Pulumi) validated and version-controlled</w:t>
      </w:r>
    </w:p>
    <w:p>
      <w:pPr>
        <w:pStyle w:val="ListParagraph"/>
        <w:numPr>
          <w:ilvl w:val="0"/>
          <w:numId w:val="2"/>
        </w:numPr>
        <w:spacing w:after="40" w:before="40"/>
      </w:pPr>
      <w:r>
        <w:rPr>
          <w:rFonts w:ascii="Arial" w:cs="Arial" w:eastAsia="Arial" w:hAnsi="Arial"/>
          <w:color w:val="374151"/>
          <w:sz w:val="20"/>
          <w:szCs w:val="20"/>
        </w:rPr>
        <w:t xml:space="preserve">CI/CD pipelines tested for build, test, and deployment to all environments</w:t>
      </w:r>
    </w:p>
    <w:p>
      <w:pPr>
        <w:pStyle w:val="ListParagraph"/>
        <w:numPr>
          <w:ilvl w:val="0"/>
          <w:numId w:val="2"/>
        </w:numPr>
        <w:spacing w:after="40" w:before="40"/>
      </w:pPr>
      <w:r>
        <w:rPr>
          <w:rFonts w:ascii="Arial" w:cs="Arial" w:eastAsia="Arial" w:hAnsi="Arial"/>
          <w:color w:val="374151"/>
          <w:sz w:val="20"/>
          <w:szCs w:val="20"/>
        </w:rPr>
        <w:t xml:space="preserve">Blue-green or canary deployment strategy defined and rehearsed</w:t>
      </w:r>
    </w:p>
    <w:p>
      <w:pPr>
        <w:pStyle w:val="ListParagraph"/>
        <w:numPr>
          <w:ilvl w:val="0"/>
          <w:numId w:val="2"/>
        </w:numPr>
        <w:spacing w:after="40" w:before="40"/>
      </w:pPr>
      <w:r>
        <w:rPr>
          <w:rFonts w:ascii="Arial" w:cs="Arial" w:eastAsia="Arial" w:hAnsi="Arial"/>
          <w:color w:val="374151"/>
          <w:sz w:val="20"/>
          <w:szCs w:val="20"/>
        </w:rPr>
        <w:t xml:space="preserve">Rollback plan documented and tested — recovery time confirmed acceptable</w:t>
      </w:r>
    </w:p>
    <w:p>
      <w:pPr>
        <w:pStyle w:val="ListParagraph"/>
        <w:numPr>
          <w:ilvl w:val="0"/>
          <w:numId w:val="2"/>
        </w:numPr>
        <w:spacing w:after="40" w:before="40"/>
      </w:pPr>
      <w:r>
        <w:rPr>
          <w:rFonts w:ascii="Arial" w:cs="Arial" w:eastAsia="Arial" w:hAnsi="Arial"/>
          <w:color w:val="374151"/>
          <w:sz w:val="20"/>
          <w:szCs w:val="20"/>
        </w:rPr>
        <w:t xml:space="preserve">Multi-region or failover strategy defined if uptime SLA requires it</w:t>
      </w:r>
    </w:p>
    <w:p>
      <w:pPr>
        <w:pStyle w:val="ListParagraph"/>
        <w:numPr>
          <w:ilvl w:val="0"/>
          <w:numId w:val="2"/>
        </w:numPr>
        <w:spacing w:after="40" w:before="40"/>
      </w:pPr>
      <w:r>
        <w:rPr>
          <w:rFonts w:ascii="Arial" w:cs="Arial" w:eastAsia="Arial" w:hAnsi="Arial"/>
          <w:color w:val="374151"/>
          <w:sz w:val="20"/>
          <w:szCs w:val="20"/>
        </w:rPr>
        <w:t xml:space="preserve">Full environment parity confirmed: dev → staging → prod</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2. Security &amp; Compliance</w:t>
      </w:r>
    </w:p>
    <w:p>
      <w:pPr>
        <w:spacing w:after="60" w:before="60"/>
      </w:pPr>
      <w:r>
        <w:rPr>
          <w:rFonts w:ascii="Arial" w:cs="Arial" w:eastAsia="Arial" w:hAnsi="Arial"/>
          <w:color w:val="1F2937"/>
          <w:sz w:val="20"/>
          <w:szCs w:val="20"/>
        </w:rPr>
        <w:t xml:space="preserve">Security vulnerabilities discovered post-launch carry regulatory, legal, and reputational consequences that can be existential for an early-stage SaaS. Security must be evaluated before — not after — customers trust you with their data.</w:t>
      </w:r>
    </w:p>
    <w:p>
      <w:r>
        <w:t xml:space="preserve"/>
      </w:r>
    </w:p>
    <w:p>
      <w:pPr>
        <w:pStyle w:val="Heading3"/>
        <w:spacing w:after="80" w:before="240"/>
      </w:pPr>
      <w:r>
        <w:rPr>
          <w:rFonts w:ascii="Arial" w:cs="Arial" w:eastAsia="Arial" w:hAnsi="Arial"/>
          <w:b/>
          <w:bCs/>
          <w:color w:val="3B82F6"/>
          <w:sz w:val="24"/>
          <w:szCs w:val="24"/>
        </w:rPr>
        <w:t xml:space="preserve">2.1 Application Security</w:t>
      </w:r>
    </w:p>
    <w:p>
      <w:pPr>
        <w:pStyle w:val="ListParagraph"/>
        <w:numPr>
          <w:ilvl w:val="0"/>
          <w:numId w:val="2"/>
        </w:numPr>
        <w:spacing w:after="40" w:before="40"/>
      </w:pPr>
      <w:r>
        <w:rPr>
          <w:rFonts w:ascii="Arial" w:cs="Arial" w:eastAsia="Arial" w:hAnsi="Arial"/>
          <w:color w:val="374151"/>
          <w:sz w:val="20"/>
          <w:szCs w:val="20"/>
        </w:rPr>
        <w:t xml:space="preserve">OWASP Top 10 vulnerabilities assessed and mitigated across all endpoints</w:t>
      </w:r>
    </w:p>
    <w:p>
      <w:pPr>
        <w:pStyle w:val="ListParagraph"/>
        <w:numPr>
          <w:ilvl w:val="0"/>
          <w:numId w:val="2"/>
        </w:numPr>
        <w:spacing w:after="40" w:before="40"/>
      </w:pPr>
      <w:r>
        <w:rPr>
          <w:rFonts w:ascii="Arial" w:cs="Arial" w:eastAsia="Arial" w:hAnsi="Arial"/>
          <w:color w:val="374151"/>
          <w:sz w:val="20"/>
          <w:szCs w:val="20"/>
        </w:rPr>
        <w:t xml:space="preserve">Penetration testing completed (internal red team or third-party firm)</w:t>
      </w:r>
    </w:p>
    <w:p>
      <w:pPr>
        <w:pStyle w:val="ListParagraph"/>
        <w:numPr>
          <w:ilvl w:val="0"/>
          <w:numId w:val="2"/>
        </w:numPr>
        <w:spacing w:after="40" w:before="40"/>
      </w:pPr>
      <w:r>
        <w:rPr>
          <w:rFonts w:ascii="Arial" w:cs="Arial" w:eastAsia="Arial" w:hAnsi="Arial"/>
          <w:color w:val="374151"/>
          <w:sz w:val="20"/>
          <w:szCs w:val="20"/>
        </w:rPr>
        <w:t xml:space="preserve">Dependency vulnerability scanning automated in CI pipeline (Snyk, Dependabot)</w:t>
      </w:r>
    </w:p>
    <w:p>
      <w:pPr>
        <w:pStyle w:val="ListParagraph"/>
        <w:numPr>
          <w:ilvl w:val="0"/>
          <w:numId w:val="2"/>
        </w:numPr>
        <w:spacing w:after="40" w:before="40"/>
      </w:pPr>
      <w:r>
        <w:rPr>
          <w:rFonts w:ascii="Arial" w:cs="Arial" w:eastAsia="Arial" w:hAnsi="Arial"/>
          <w:color w:val="374151"/>
          <w:sz w:val="20"/>
          <w:szCs w:val="20"/>
        </w:rPr>
        <w:t xml:space="preserve">Input validation, output encoding, and injection prevention verified</w:t>
      </w:r>
    </w:p>
    <w:p>
      <w:pPr>
        <w:pStyle w:val="ListParagraph"/>
        <w:numPr>
          <w:ilvl w:val="0"/>
          <w:numId w:val="2"/>
        </w:numPr>
        <w:spacing w:after="40" w:before="40"/>
      </w:pPr>
      <w:r>
        <w:rPr>
          <w:rFonts w:ascii="Arial" w:cs="Arial" w:eastAsia="Arial" w:hAnsi="Arial"/>
          <w:color w:val="374151"/>
          <w:sz w:val="20"/>
          <w:szCs w:val="20"/>
        </w:rPr>
        <w:t xml:space="preserve">Authentication hardened: MFA available, secure session management, token expiry enforced</w:t>
      </w:r>
    </w:p>
    <w:p>
      <w:pPr>
        <w:pStyle w:val="ListParagraph"/>
        <w:numPr>
          <w:ilvl w:val="0"/>
          <w:numId w:val="2"/>
        </w:numPr>
        <w:spacing w:after="40" w:before="40"/>
      </w:pPr>
      <w:r>
        <w:rPr>
          <w:rFonts w:ascii="Arial" w:cs="Arial" w:eastAsia="Arial" w:hAnsi="Arial"/>
          <w:color w:val="374151"/>
          <w:sz w:val="20"/>
          <w:szCs w:val="20"/>
        </w:rPr>
        <w:t xml:space="preserve">Secrets management implemented (no hardcoded keys; Vault, AWS Secrets Manager, etc.)</w:t>
      </w:r>
    </w:p>
    <w:p>
      <w:r>
        <w:t xml:space="preserve"/>
      </w:r>
    </w:p>
    <w:p>
      <w:pPr>
        <w:pStyle w:val="Heading3"/>
        <w:spacing w:after="80" w:before="240"/>
      </w:pPr>
      <w:r>
        <w:rPr>
          <w:rFonts w:ascii="Arial" w:cs="Arial" w:eastAsia="Arial" w:hAnsi="Arial"/>
          <w:b/>
          <w:bCs/>
          <w:color w:val="3B82F6"/>
          <w:sz w:val="24"/>
          <w:szCs w:val="24"/>
        </w:rPr>
        <w:t xml:space="preserve">2.2 Data Security</w:t>
      </w:r>
    </w:p>
    <w:p>
      <w:pPr>
        <w:pStyle w:val="ListParagraph"/>
        <w:numPr>
          <w:ilvl w:val="0"/>
          <w:numId w:val="2"/>
        </w:numPr>
        <w:spacing w:after="40" w:before="40"/>
      </w:pPr>
      <w:r>
        <w:rPr>
          <w:rFonts w:ascii="Arial" w:cs="Arial" w:eastAsia="Arial" w:hAnsi="Arial"/>
          <w:color w:val="374151"/>
          <w:sz w:val="20"/>
          <w:szCs w:val="20"/>
        </w:rPr>
        <w:t xml:space="preserve">Data encryption at rest (AES-256) and in transit (TLS 1.2+ minimum)</w:t>
      </w:r>
    </w:p>
    <w:p>
      <w:pPr>
        <w:pStyle w:val="ListParagraph"/>
        <w:numPr>
          <w:ilvl w:val="0"/>
          <w:numId w:val="2"/>
        </w:numPr>
        <w:spacing w:after="40" w:before="40"/>
      </w:pPr>
      <w:r>
        <w:rPr>
          <w:rFonts w:ascii="Arial" w:cs="Arial" w:eastAsia="Arial" w:hAnsi="Arial"/>
          <w:color w:val="374151"/>
          <w:sz w:val="20"/>
          <w:szCs w:val="20"/>
        </w:rPr>
        <w:t xml:space="preserve">PII and sensitive data classified, documented, and access-controlled</w:t>
      </w:r>
    </w:p>
    <w:p>
      <w:pPr>
        <w:pStyle w:val="ListParagraph"/>
        <w:numPr>
          <w:ilvl w:val="0"/>
          <w:numId w:val="2"/>
        </w:numPr>
        <w:spacing w:after="40" w:before="40"/>
      </w:pPr>
      <w:r>
        <w:rPr>
          <w:rFonts w:ascii="Arial" w:cs="Arial" w:eastAsia="Arial" w:hAnsi="Arial"/>
          <w:color w:val="374151"/>
          <w:sz w:val="20"/>
          <w:szCs w:val="20"/>
        </w:rPr>
        <w:t xml:space="preserve">Database access controls and least-privilege principles enforced across all roles</w:t>
      </w:r>
    </w:p>
    <w:p>
      <w:pPr>
        <w:pStyle w:val="ListParagraph"/>
        <w:numPr>
          <w:ilvl w:val="0"/>
          <w:numId w:val="2"/>
        </w:numPr>
        <w:spacing w:after="40" w:before="40"/>
      </w:pPr>
      <w:r>
        <w:rPr>
          <w:rFonts w:ascii="Arial" w:cs="Arial" w:eastAsia="Arial" w:hAnsi="Arial"/>
          <w:color w:val="374151"/>
          <w:sz w:val="20"/>
          <w:szCs w:val="20"/>
        </w:rPr>
        <w:t xml:space="preserve">Data masking or anonymization applied in all non-production environments</w:t>
      </w:r>
    </w:p>
    <w:p>
      <w:r>
        <w:t xml:space="preserve"/>
      </w:r>
    </w:p>
    <w:p>
      <w:pPr>
        <w:pStyle w:val="Heading3"/>
        <w:spacing w:after="80" w:before="240"/>
      </w:pPr>
      <w:r>
        <w:rPr>
          <w:rFonts w:ascii="Arial" w:cs="Arial" w:eastAsia="Arial" w:hAnsi="Arial"/>
          <w:b/>
          <w:bCs/>
          <w:color w:val="3B82F6"/>
          <w:sz w:val="24"/>
          <w:szCs w:val="24"/>
        </w:rPr>
        <w:t xml:space="preserve">2.3 Regulatory Compliance</w:t>
      </w:r>
    </w:p>
    <w:p>
      <w:pPr>
        <w:pStyle w:val="ListParagraph"/>
        <w:numPr>
          <w:ilvl w:val="0"/>
          <w:numId w:val="2"/>
        </w:numPr>
        <w:spacing w:after="40" w:before="40"/>
      </w:pPr>
      <w:r>
        <w:rPr>
          <w:rFonts w:ascii="Arial" w:cs="Arial" w:eastAsia="Arial" w:hAnsi="Arial"/>
          <w:color w:val="374151"/>
          <w:sz w:val="20"/>
          <w:szCs w:val="20"/>
        </w:rPr>
        <w:t xml:space="preserve">GDPR: consent management, right to erasure, DPA agreements with all data processors</w:t>
      </w:r>
    </w:p>
    <w:p>
      <w:pPr>
        <w:pStyle w:val="ListParagraph"/>
        <w:numPr>
          <w:ilvl w:val="0"/>
          <w:numId w:val="2"/>
        </w:numPr>
        <w:spacing w:after="40" w:before="40"/>
      </w:pPr>
      <w:r>
        <w:rPr>
          <w:rFonts w:ascii="Arial" w:cs="Arial" w:eastAsia="Arial" w:hAnsi="Arial"/>
          <w:color w:val="374151"/>
          <w:sz w:val="20"/>
          <w:szCs w:val="20"/>
        </w:rPr>
        <w:t xml:space="preserve">CCPA: privacy policy published, opt-out mechanisms functional</w:t>
      </w:r>
    </w:p>
    <w:p>
      <w:pPr>
        <w:pStyle w:val="ListParagraph"/>
        <w:numPr>
          <w:ilvl w:val="0"/>
          <w:numId w:val="2"/>
        </w:numPr>
        <w:spacing w:after="40" w:before="40"/>
      </w:pPr>
      <w:r>
        <w:rPr>
          <w:rFonts w:ascii="Arial" w:cs="Arial" w:eastAsia="Arial" w:hAnsi="Arial"/>
          <w:color w:val="374151"/>
          <w:sz w:val="20"/>
          <w:szCs w:val="20"/>
        </w:rPr>
        <w:t xml:space="preserve">SOC 2 Type I: controls documented; Type II scoped if enterprise sales are a target</w:t>
      </w:r>
    </w:p>
    <w:p>
      <w:pPr>
        <w:pStyle w:val="ListParagraph"/>
        <w:numPr>
          <w:ilvl w:val="0"/>
          <w:numId w:val="2"/>
        </w:numPr>
        <w:spacing w:after="40" w:before="40"/>
      </w:pPr>
      <w:r>
        <w:rPr>
          <w:rFonts w:ascii="Arial" w:cs="Arial" w:eastAsia="Arial" w:hAnsi="Arial"/>
          <w:color w:val="374151"/>
          <w:sz w:val="20"/>
          <w:szCs w:val="20"/>
        </w:rPr>
        <w:t xml:space="preserve">HIPAA: BAAs signed, PHI handling validated — if healthcare data is processed</w:t>
      </w:r>
    </w:p>
    <w:p>
      <w:pPr>
        <w:pStyle w:val="ListParagraph"/>
        <w:numPr>
          <w:ilvl w:val="0"/>
          <w:numId w:val="2"/>
        </w:numPr>
        <w:spacing w:after="40" w:before="40"/>
      </w:pPr>
      <w:r>
        <w:rPr>
          <w:rFonts w:ascii="Arial" w:cs="Arial" w:eastAsia="Arial" w:hAnsi="Arial"/>
          <w:color w:val="374151"/>
          <w:sz w:val="20"/>
          <w:szCs w:val="20"/>
        </w:rPr>
        <w:t xml:space="preserve">PCI-DSS: scope defined and controls in place if payment card data is stored or processed</w:t>
      </w:r>
    </w:p>
    <w:p>
      <w:pPr>
        <w:pStyle w:val="ListParagraph"/>
        <w:numPr>
          <w:ilvl w:val="0"/>
          <w:numId w:val="2"/>
        </w:numPr>
        <w:spacing w:after="40" w:before="40"/>
      </w:pPr>
      <w:r>
        <w:rPr>
          <w:rFonts w:ascii="Arial" w:cs="Arial" w:eastAsia="Arial" w:hAnsi="Arial"/>
          <w:color w:val="374151"/>
          <w:sz w:val="20"/>
          <w:szCs w:val="20"/>
        </w:rPr>
        <w:t xml:space="preserve">ISO 27001: assessed if required by target markets or procurement requirements</w:t>
      </w:r>
    </w:p>
    <w:p>
      <w:pPr>
        <w:pStyle w:val="ListParagraph"/>
        <w:numPr>
          <w:ilvl w:val="0"/>
          <w:numId w:val="2"/>
        </w:numPr>
        <w:spacing w:after="40" w:before="40"/>
      </w:pPr>
      <w:r>
        <w:rPr>
          <w:rFonts w:ascii="Arial" w:cs="Arial" w:eastAsia="Arial" w:hAnsi="Arial"/>
          <w:color w:val="374151"/>
          <w:sz w:val="20"/>
          <w:szCs w:val="20"/>
        </w:rPr>
        <w:t xml:space="preserve">Cookie consent banner implemented; privacy policy legally reviewed by counsel</w:t>
      </w:r>
    </w:p>
    <w:p>
      <w:r>
        <w:t xml:space="preserve"/>
      </w:r>
    </w:p>
    <w:p>
      <w:pPr>
        <w:pStyle w:val="Heading3"/>
        <w:spacing w:after="80" w:before="240"/>
      </w:pPr>
      <w:r>
        <w:rPr>
          <w:rFonts w:ascii="Arial" w:cs="Arial" w:eastAsia="Arial" w:hAnsi="Arial"/>
          <w:b/>
          <w:bCs/>
          <w:color w:val="3B82F6"/>
          <w:sz w:val="24"/>
          <w:szCs w:val="24"/>
        </w:rPr>
        <w:t xml:space="preserve">2.4 Identity &amp; Access Management</w:t>
      </w:r>
    </w:p>
    <w:p>
      <w:pPr>
        <w:pStyle w:val="ListParagraph"/>
        <w:numPr>
          <w:ilvl w:val="0"/>
          <w:numId w:val="2"/>
        </w:numPr>
        <w:spacing w:after="40" w:before="40"/>
      </w:pPr>
      <w:r>
        <w:rPr>
          <w:rFonts w:ascii="Arial" w:cs="Arial" w:eastAsia="Arial" w:hAnsi="Arial"/>
          <w:color w:val="374151"/>
          <w:sz w:val="20"/>
          <w:szCs w:val="20"/>
        </w:rPr>
        <w:t xml:space="preserve">RBAC (Role-Based Access Control) fully implemented across all product surfaces</w:t>
      </w:r>
    </w:p>
    <w:p>
      <w:pPr>
        <w:pStyle w:val="ListParagraph"/>
        <w:numPr>
          <w:ilvl w:val="0"/>
          <w:numId w:val="2"/>
        </w:numPr>
        <w:spacing w:after="40" w:before="40"/>
      </w:pPr>
      <w:r>
        <w:rPr>
          <w:rFonts w:ascii="Arial" w:cs="Arial" w:eastAsia="Arial" w:hAnsi="Arial"/>
          <w:color w:val="374151"/>
          <w:sz w:val="20"/>
          <w:szCs w:val="20"/>
        </w:rPr>
        <w:t xml:space="preserve">SSO / SAML / OAuth 2.0 integration tested across supported identity providers</w:t>
      </w:r>
    </w:p>
    <w:p>
      <w:pPr>
        <w:pStyle w:val="ListParagraph"/>
        <w:numPr>
          <w:ilvl w:val="0"/>
          <w:numId w:val="2"/>
        </w:numPr>
        <w:spacing w:after="40" w:before="40"/>
      </w:pPr>
      <w:r>
        <w:rPr>
          <w:rFonts w:ascii="Arial" w:cs="Arial" w:eastAsia="Arial" w:hAnsi="Arial"/>
          <w:color w:val="374151"/>
          <w:sz w:val="20"/>
          <w:szCs w:val="20"/>
        </w:rPr>
        <w:t xml:space="preserve">Comprehensive audit logs maintained for all privileged and administrative actions</w:t>
      </w:r>
    </w:p>
    <w:p>
      <w:pPr>
        <w:pStyle w:val="ListParagraph"/>
        <w:numPr>
          <w:ilvl w:val="0"/>
          <w:numId w:val="2"/>
        </w:numPr>
        <w:spacing w:after="40" w:before="40"/>
      </w:pPr>
      <w:r>
        <w:rPr>
          <w:rFonts w:ascii="Arial" w:cs="Arial" w:eastAsia="Arial" w:hAnsi="Arial"/>
          <w:color w:val="374151"/>
          <w:sz w:val="20"/>
          <w:szCs w:val="20"/>
        </w:rPr>
        <w:t xml:space="preserve">Account recovery and credential reset flows verified secure and abuse-resistant</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3. Reliability &amp; Operations</w:t>
      </w:r>
    </w:p>
    <w:p>
      <w:pPr>
        <w:spacing w:after="60" w:before="60"/>
      </w:pPr>
      <w:r>
        <w:rPr>
          <w:rFonts w:ascii="Arial" w:cs="Arial" w:eastAsia="Arial" w:hAnsi="Arial"/>
          <w:color w:val="1F2937"/>
          <w:sz w:val="20"/>
          <w:szCs w:val="20"/>
        </w:rPr>
        <w:t xml:space="preserve">Reliability failures become trust failures instantly. Operational readiness must be validated before the product is under real load, not discovered during an incident in week one.</w:t>
      </w:r>
    </w:p>
    <w:p>
      <w:r>
        <w:t xml:space="preserve"/>
      </w:r>
    </w:p>
    <w:p>
      <w:pPr>
        <w:pStyle w:val="Heading3"/>
        <w:spacing w:after="80" w:before="240"/>
      </w:pPr>
      <w:r>
        <w:rPr>
          <w:rFonts w:ascii="Arial" w:cs="Arial" w:eastAsia="Arial" w:hAnsi="Arial"/>
          <w:b/>
          <w:bCs/>
          <w:color w:val="3B82F6"/>
          <w:sz w:val="24"/>
          <w:szCs w:val="24"/>
        </w:rPr>
        <w:t xml:space="preserve">3.1 Availability &amp; SLAs</w:t>
      </w:r>
    </w:p>
    <w:p>
      <w:pPr>
        <w:pStyle w:val="ListParagraph"/>
        <w:numPr>
          <w:ilvl w:val="0"/>
          <w:numId w:val="2"/>
        </w:numPr>
        <w:spacing w:after="40" w:before="40"/>
      </w:pPr>
      <w:r>
        <w:rPr>
          <w:rFonts w:ascii="Arial" w:cs="Arial" w:eastAsia="Arial" w:hAnsi="Arial"/>
          <w:color w:val="374151"/>
          <w:sz w:val="20"/>
          <w:szCs w:val="20"/>
        </w:rPr>
        <w:t xml:space="preserve">Uptime target defined per pricing tier (e.g., 99.9% = ~8.7 hours downtime/year)</w:t>
      </w:r>
    </w:p>
    <w:p>
      <w:pPr>
        <w:pStyle w:val="ListParagraph"/>
        <w:numPr>
          <w:ilvl w:val="0"/>
          <w:numId w:val="2"/>
        </w:numPr>
        <w:spacing w:after="40" w:before="40"/>
      </w:pPr>
      <w:r>
        <w:rPr>
          <w:rFonts w:ascii="Arial" w:cs="Arial" w:eastAsia="Arial" w:hAnsi="Arial"/>
          <w:color w:val="374151"/>
          <w:sz w:val="20"/>
          <w:szCs w:val="20"/>
        </w:rPr>
        <w:t xml:space="preserve">SLA commitments documented and legally reviewed in terms of service</w:t>
      </w:r>
    </w:p>
    <w:p>
      <w:pPr>
        <w:pStyle w:val="ListParagraph"/>
        <w:numPr>
          <w:ilvl w:val="0"/>
          <w:numId w:val="2"/>
        </w:numPr>
        <w:spacing w:after="40" w:before="40"/>
      </w:pPr>
      <w:r>
        <w:rPr>
          <w:rFonts w:ascii="Arial" w:cs="Arial" w:eastAsia="Arial" w:hAnsi="Arial"/>
          <w:color w:val="374151"/>
          <w:sz w:val="20"/>
          <w:szCs w:val="20"/>
        </w:rPr>
        <w:t xml:space="preserve">Status page configured and publicly accessible (Statuspage.io, Betterstack)</w:t>
      </w:r>
    </w:p>
    <w:p>
      <w:r>
        <w:t xml:space="preserve"/>
      </w:r>
    </w:p>
    <w:p>
      <w:pPr>
        <w:pStyle w:val="Heading3"/>
        <w:spacing w:after="80" w:before="240"/>
      </w:pPr>
      <w:r>
        <w:rPr>
          <w:rFonts w:ascii="Arial" w:cs="Arial" w:eastAsia="Arial" w:hAnsi="Arial"/>
          <w:b/>
          <w:bCs/>
          <w:color w:val="3B82F6"/>
          <w:sz w:val="24"/>
          <w:szCs w:val="24"/>
        </w:rPr>
        <w:t xml:space="preserve">3.2 Incident Management</w:t>
      </w:r>
    </w:p>
    <w:p>
      <w:pPr>
        <w:pStyle w:val="ListParagraph"/>
        <w:numPr>
          <w:ilvl w:val="0"/>
          <w:numId w:val="2"/>
        </w:numPr>
        <w:spacing w:after="40" w:before="40"/>
      </w:pPr>
      <w:r>
        <w:rPr>
          <w:rFonts w:ascii="Arial" w:cs="Arial" w:eastAsia="Arial" w:hAnsi="Arial"/>
          <w:color w:val="374151"/>
          <w:sz w:val="20"/>
          <w:szCs w:val="20"/>
        </w:rPr>
        <w:t xml:space="preserve">On-call rotation and escalation policies defined (PagerDuty, OpsGenie)</w:t>
      </w:r>
    </w:p>
    <w:p>
      <w:pPr>
        <w:pStyle w:val="ListParagraph"/>
        <w:numPr>
          <w:ilvl w:val="0"/>
          <w:numId w:val="2"/>
        </w:numPr>
        <w:spacing w:after="40" w:before="40"/>
      </w:pPr>
      <w:r>
        <w:rPr>
          <w:rFonts w:ascii="Arial" w:cs="Arial" w:eastAsia="Arial" w:hAnsi="Arial"/>
          <w:color w:val="374151"/>
          <w:sz w:val="20"/>
          <w:szCs w:val="20"/>
        </w:rPr>
        <w:t xml:space="preserve">Runbooks written for the top 10 most likely failure scenarios</w:t>
      </w:r>
    </w:p>
    <w:p>
      <w:pPr>
        <w:pStyle w:val="ListParagraph"/>
        <w:numPr>
          <w:ilvl w:val="0"/>
          <w:numId w:val="2"/>
        </w:numPr>
        <w:spacing w:after="40" w:before="40"/>
      </w:pPr>
      <w:r>
        <w:rPr>
          <w:rFonts w:ascii="Arial" w:cs="Arial" w:eastAsia="Arial" w:hAnsi="Arial"/>
          <w:color w:val="374151"/>
          <w:sz w:val="20"/>
          <w:szCs w:val="20"/>
        </w:rPr>
        <w:t xml:space="preserve">MTTD (Mean Time to Detect) and MTTR (Mean Time to Resolve) baselines established</w:t>
      </w:r>
    </w:p>
    <w:p>
      <w:pPr>
        <w:pStyle w:val="ListParagraph"/>
        <w:numPr>
          <w:ilvl w:val="0"/>
          <w:numId w:val="2"/>
        </w:numPr>
        <w:spacing w:after="40" w:before="40"/>
      </w:pPr>
      <w:r>
        <w:rPr>
          <w:rFonts w:ascii="Arial" w:cs="Arial" w:eastAsia="Arial" w:hAnsi="Arial"/>
          <w:color w:val="374151"/>
          <w:sz w:val="20"/>
          <w:szCs w:val="20"/>
        </w:rPr>
        <w:t xml:space="preserve">Post-mortem process defined with blameless culture documentation</w:t>
      </w:r>
    </w:p>
    <w:p>
      <w:pPr>
        <w:pStyle w:val="ListParagraph"/>
        <w:numPr>
          <w:ilvl w:val="0"/>
          <w:numId w:val="2"/>
        </w:numPr>
        <w:spacing w:after="40" w:before="40"/>
      </w:pPr>
      <w:r>
        <w:rPr>
          <w:rFonts w:ascii="Arial" w:cs="Arial" w:eastAsia="Arial" w:hAnsi="Arial"/>
          <w:color w:val="374151"/>
          <w:sz w:val="20"/>
          <w:szCs w:val="20"/>
        </w:rPr>
        <w:t xml:space="preserve">Communication templates prepared for customer-facing incident announcements</w:t>
      </w:r>
    </w:p>
    <w:p>
      <w:r>
        <w:t xml:space="preserve"/>
      </w:r>
    </w:p>
    <w:p>
      <w:pPr>
        <w:pStyle w:val="Heading3"/>
        <w:spacing w:after="80" w:before="240"/>
      </w:pPr>
      <w:r>
        <w:rPr>
          <w:rFonts w:ascii="Arial" w:cs="Arial" w:eastAsia="Arial" w:hAnsi="Arial"/>
          <w:b/>
          <w:bCs/>
          <w:color w:val="3B82F6"/>
          <w:sz w:val="24"/>
          <w:szCs w:val="24"/>
        </w:rPr>
        <w:t xml:space="preserve">3.3 Backup &amp; Disaster Recovery</w:t>
      </w:r>
    </w:p>
    <w:p>
      <w:pPr>
        <w:pStyle w:val="ListParagraph"/>
        <w:numPr>
          <w:ilvl w:val="0"/>
          <w:numId w:val="2"/>
        </w:numPr>
        <w:spacing w:after="40" w:before="40"/>
      </w:pPr>
      <w:r>
        <w:rPr>
          <w:rFonts w:ascii="Arial" w:cs="Arial" w:eastAsia="Arial" w:hAnsi="Arial"/>
          <w:color w:val="374151"/>
          <w:sz w:val="20"/>
          <w:szCs w:val="20"/>
        </w:rPr>
        <w:t xml:space="preserve">Automated database backups configured with documented and tested restore procedures</w:t>
      </w:r>
    </w:p>
    <w:p>
      <w:pPr>
        <w:pStyle w:val="ListParagraph"/>
        <w:numPr>
          <w:ilvl w:val="0"/>
          <w:numId w:val="2"/>
        </w:numPr>
        <w:spacing w:after="40" w:before="40"/>
      </w:pPr>
      <w:r>
        <w:rPr>
          <w:rFonts w:ascii="Arial" w:cs="Arial" w:eastAsia="Arial" w:hAnsi="Arial"/>
          <w:color w:val="374151"/>
          <w:sz w:val="20"/>
          <w:szCs w:val="20"/>
        </w:rPr>
        <w:t xml:space="preserve">RTO (Recovery Time Objective) and RPO (Recovery Point Objective) defined and validated</w:t>
      </w:r>
    </w:p>
    <w:p>
      <w:pPr>
        <w:pStyle w:val="ListParagraph"/>
        <w:numPr>
          <w:ilvl w:val="0"/>
          <w:numId w:val="2"/>
        </w:numPr>
        <w:spacing w:after="40" w:before="40"/>
      </w:pPr>
      <w:r>
        <w:rPr>
          <w:rFonts w:ascii="Arial" w:cs="Arial" w:eastAsia="Arial" w:hAnsi="Arial"/>
          <w:color w:val="374151"/>
          <w:sz w:val="20"/>
          <w:szCs w:val="20"/>
        </w:rPr>
        <w:t xml:space="preserve">DR environment tested end-to-end at least once before launch</w:t>
      </w:r>
    </w:p>
    <w:p>
      <w:r>
        <w:t xml:space="preserve"/>
      </w:r>
    </w:p>
    <w:p>
      <w:pPr>
        <w:pStyle w:val="Heading3"/>
        <w:spacing w:after="80" w:before="240"/>
      </w:pPr>
      <w:r>
        <w:rPr>
          <w:rFonts w:ascii="Arial" w:cs="Arial" w:eastAsia="Arial" w:hAnsi="Arial"/>
          <w:b/>
          <w:bCs/>
          <w:color w:val="3B82F6"/>
          <w:sz w:val="24"/>
          <w:szCs w:val="24"/>
        </w:rPr>
        <w:t xml:space="preserve">3.4 Monitoring &amp; Alerting</w:t>
      </w:r>
    </w:p>
    <w:p>
      <w:pPr>
        <w:pStyle w:val="ListParagraph"/>
        <w:numPr>
          <w:ilvl w:val="0"/>
          <w:numId w:val="2"/>
        </w:numPr>
        <w:spacing w:after="40" w:before="40"/>
      </w:pPr>
      <w:r>
        <w:rPr>
          <w:rFonts w:ascii="Arial" w:cs="Arial" w:eastAsia="Arial" w:hAnsi="Arial"/>
          <w:color w:val="374151"/>
          <w:sz w:val="20"/>
          <w:szCs w:val="20"/>
        </w:rPr>
        <w:t xml:space="preserve">Infrastructure metrics monitored: CPU, memory, disk I/O, and network throughput</w:t>
      </w:r>
    </w:p>
    <w:p>
      <w:pPr>
        <w:pStyle w:val="ListParagraph"/>
        <w:numPr>
          <w:ilvl w:val="0"/>
          <w:numId w:val="2"/>
        </w:numPr>
        <w:spacing w:after="40" w:before="40"/>
      </w:pPr>
      <w:r>
        <w:rPr>
          <w:rFonts w:ascii="Arial" w:cs="Arial" w:eastAsia="Arial" w:hAnsi="Arial"/>
          <w:color w:val="374151"/>
          <w:sz w:val="20"/>
          <w:szCs w:val="20"/>
        </w:rPr>
        <w:t xml:space="preserve">Application-level metrics tracked: error rate, latency percentiles, request throughput</w:t>
      </w:r>
    </w:p>
    <w:p>
      <w:pPr>
        <w:pStyle w:val="ListParagraph"/>
        <w:numPr>
          <w:ilvl w:val="0"/>
          <w:numId w:val="2"/>
        </w:numPr>
        <w:spacing w:after="40" w:before="40"/>
      </w:pPr>
      <w:r>
        <w:rPr>
          <w:rFonts w:ascii="Arial" w:cs="Arial" w:eastAsia="Arial" w:hAnsi="Arial"/>
          <w:color w:val="374151"/>
          <w:sz w:val="20"/>
          <w:szCs w:val="20"/>
        </w:rPr>
        <w:t xml:space="preserve">Business-level metrics configured: active users, conversion events, churn signals</w:t>
      </w:r>
    </w:p>
    <w:p>
      <w:pPr>
        <w:pStyle w:val="ListParagraph"/>
        <w:numPr>
          <w:ilvl w:val="0"/>
          <w:numId w:val="2"/>
        </w:numPr>
        <w:spacing w:after="40" w:before="40"/>
      </w:pPr>
      <w:r>
        <w:rPr>
          <w:rFonts w:ascii="Arial" w:cs="Arial" w:eastAsia="Arial" w:hAnsi="Arial"/>
          <w:color w:val="374151"/>
          <w:sz w:val="20"/>
          <w:szCs w:val="20"/>
        </w:rPr>
        <w:t xml:space="preserve">Alert thresholds set with appropriate sensitivity; notification channels tested</w:t>
      </w:r>
    </w:p>
    <w:p>
      <w:pPr>
        <w:pStyle w:val="ListParagraph"/>
        <w:numPr>
          <w:ilvl w:val="0"/>
          <w:numId w:val="2"/>
        </w:numPr>
        <w:spacing w:after="40" w:before="40"/>
      </w:pPr>
      <w:r>
        <w:rPr>
          <w:rFonts w:ascii="Arial" w:cs="Arial" w:eastAsia="Arial" w:hAnsi="Arial"/>
          <w:color w:val="374151"/>
          <w:sz w:val="20"/>
          <w:szCs w:val="20"/>
        </w:rPr>
        <w:t xml:space="preserve">Synthetic monitoring or uptime checks configured for all public endpoints</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4. User Experience &amp; Product Validation</w:t>
      </w:r>
    </w:p>
    <w:p>
      <w:pPr>
        <w:spacing w:after="60" w:before="60"/>
      </w:pPr>
      <w:r>
        <w:rPr>
          <w:rFonts w:ascii="Arial" w:cs="Arial" w:eastAsia="Arial" w:hAnsi="Arial"/>
          <w:color w:val="1F2937"/>
          <w:sz w:val="20"/>
          <w:szCs w:val="20"/>
        </w:rPr>
        <w:t xml:space="preserve">A technically sound product that confuses or frustrates users will still fail. Product-market fit and usability must be validated with real users before public launch.</w:t>
      </w:r>
    </w:p>
    <w:p>
      <w:r>
        <w:t xml:space="preserve"/>
      </w:r>
    </w:p>
    <w:p>
      <w:pPr>
        <w:pStyle w:val="Heading3"/>
        <w:spacing w:after="80" w:before="240"/>
      </w:pPr>
      <w:r>
        <w:rPr>
          <w:rFonts w:ascii="Arial" w:cs="Arial" w:eastAsia="Arial" w:hAnsi="Arial"/>
          <w:b/>
          <w:bCs/>
          <w:color w:val="3B82F6"/>
          <w:sz w:val="24"/>
          <w:szCs w:val="24"/>
        </w:rPr>
        <w:t xml:space="preserve">4.1 UX Research &amp; Usability</w:t>
      </w:r>
    </w:p>
    <w:p>
      <w:pPr>
        <w:pStyle w:val="ListParagraph"/>
        <w:numPr>
          <w:ilvl w:val="0"/>
          <w:numId w:val="2"/>
        </w:numPr>
        <w:spacing w:after="40" w:before="40"/>
      </w:pPr>
      <w:r>
        <w:rPr>
          <w:rFonts w:ascii="Arial" w:cs="Arial" w:eastAsia="Arial" w:hAnsi="Arial"/>
          <w:color w:val="374151"/>
          <w:sz w:val="20"/>
          <w:szCs w:val="20"/>
        </w:rPr>
        <w:t xml:space="preserve">Usability testing conducted with 5–10 representative users per key persona</w:t>
      </w:r>
    </w:p>
    <w:p>
      <w:pPr>
        <w:pStyle w:val="ListParagraph"/>
        <w:numPr>
          <w:ilvl w:val="0"/>
          <w:numId w:val="2"/>
        </w:numPr>
        <w:spacing w:after="40" w:before="40"/>
      </w:pPr>
      <w:r>
        <w:rPr>
          <w:rFonts w:ascii="Arial" w:cs="Arial" w:eastAsia="Arial" w:hAnsi="Arial"/>
          <w:color w:val="374151"/>
          <w:sz w:val="20"/>
          <w:szCs w:val="20"/>
        </w:rPr>
        <w:t xml:space="preserve">Task completion rates and time-on-task benchmarked against targets</w:t>
      </w:r>
    </w:p>
    <w:p>
      <w:pPr>
        <w:pStyle w:val="ListParagraph"/>
        <w:numPr>
          <w:ilvl w:val="0"/>
          <w:numId w:val="2"/>
        </w:numPr>
        <w:spacing w:after="40" w:before="40"/>
      </w:pPr>
      <w:r>
        <w:rPr>
          <w:rFonts w:ascii="Arial" w:cs="Arial" w:eastAsia="Arial" w:hAnsi="Arial"/>
          <w:color w:val="374151"/>
          <w:sz w:val="20"/>
          <w:szCs w:val="20"/>
        </w:rPr>
        <w:t xml:space="preserve">WCAG 2.1 AA accessibility audit complete: screen readers, color contrast, keyboard navigation</w:t>
      </w:r>
    </w:p>
    <w:p>
      <w:pPr>
        <w:pStyle w:val="ListParagraph"/>
        <w:numPr>
          <w:ilvl w:val="0"/>
          <w:numId w:val="2"/>
        </w:numPr>
        <w:spacing w:after="40" w:before="40"/>
      </w:pPr>
      <w:r>
        <w:rPr>
          <w:rFonts w:ascii="Arial" w:cs="Arial" w:eastAsia="Arial" w:hAnsi="Arial"/>
          <w:color w:val="374151"/>
          <w:sz w:val="20"/>
          <w:szCs w:val="20"/>
        </w:rPr>
        <w:t xml:space="preserve">Mobile responsiveness validated across all supported breakpoints and devices</w:t>
      </w:r>
    </w:p>
    <w:p>
      <w:r>
        <w:t xml:space="preserve"/>
      </w:r>
    </w:p>
    <w:p>
      <w:pPr>
        <w:pStyle w:val="Heading3"/>
        <w:spacing w:after="80" w:before="240"/>
      </w:pPr>
      <w:r>
        <w:rPr>
          <w:rFonts w:ascii="Arial" w:cs="Arial" w:eastAsia="Arial" w:hAnsi="Arial"/>
          <w:b/>
          <w:bCs/>
          <w:color w:val="3B82F6"/>
          <w:sz w:val="24"/>
          <w:szCs w:val="24"/>
        </w:rPr>
        <w:t xml:space="preserve">4.2 Onboarding Flow</w:t>
      </w:r>
    </w:p>
    <w:p>
      <w:pPr>
        <w:pStyle w:val="ListParagraph"/>
        <w:numPr>
          <w:ilvl w:val="0"/>
          <w:numId w:val="2"/>
        </w:numPr>
        <w:spacing w:after="40" w:before="40"/>
      </w:pPr>
      <w:r>
        <w:rPr>
          <w:rFonts w:ascii="Arial" w:cs="Arial" w:eastAsia="Arial" w:hAnsi="Arial"/>
          <w:color w:val="374151"/>
          <w:sz w:val="20"/>
          <w:szCs w:val="20"/>
        </w:rPr>
        <w:t xml:space="preserve">First-run experience (FRE) tested for time-to-value against defined target</w:t>
      </w:r>
    </w:p>
    <w:p>
      <w:pPr>
        <w:pStyle w:val="ListParagraph"/>
        <w:numPr>
          <w:ilvl w:val="0"/>
          <w:numId w:val="2"/>
        </w:numPr>
        <w:spacing w:after="40" w:before="40"/>
      </w:pPr>
      <w:r>
        <w:rPr>
          <w:rFonts w:ascii="Arial" w:cs="Arial" w:eastAsia="Arial" w:hAnsi="Arial"/>
          <w:color w:val="374151"/>
          <w:sz w:val="20"/>
          <w:szCs w:val="20"/>
        </w:rPr>
        <w:t xml:space="preserve">Onboarding checklist, contextual tooltips, and empty states implemented</w:t>
      </w:r>
    </w:p>
    <w:p>
      <w:pPr>
        <w:pStyle w:val="ListParagraph"/>
        <w:numPr>
          <w:ilvl w:val="0"/>
          <w:numId w:val="2"/>
        </w:numPr>
        <w:spacing w:after="40" w:before="40"/>
      </w:pPr>
      <w:r>
        <w:rPr>
          <w:rFonts w:ascii="Arial" w:cs="Arial" w:eastAsia="Arial" w:hAnsi="Arial"/>
          <w:color w:val="374151"/>
          <w:sz w:val="20"/>
          <w:szCs w:val="20"/>
        </w:rPr>
        <w:t xml:space="preserve">Activation metric defined and instrumented (the quantified 'aha moment')</w:t>
      </w:r>
    </w:p>
    <w:p>
      <w:pPr>
        <w:pStyle w:val="ListParagraph"/>
        <w:numPr>
          <w:ilvl w:val="0"/>
          <w:numId w:val="2"/>
        </w:numPr>
        <w:spacing w:after="40" w:before="40"/>
      </w:pPr>
      <w:r>
        <w:rPr>
          <w:rFonts w:ascii="Arial" w:cs="Arial" w:eastAsia="Arial" w:hAnsi="Arial"/>
          <w:color w:val="374151"/>
          <w:sz w:val="20"/>
          <w:szCs w:val="20"/>
        </w:rPr>
        <w:t xml:space="preserve">Onboarding funnel drop-off points identified and addressed</w:t>
      </w:r>
    </w:p>
    <w:p>
      <w:r>
        <w:t xml:space="preserve"/>
      </w:r>
    </w:p>
    <w:p>
      <w:pPr>
        <w:pStyle w:val="Heading3"/>
        <w:spacing w:after="80" w:before="240"/>
      </w:pPr>
      <w:r>
        <w:rPr>
          <w:rFonts w:ascii="Arial" w:cs="Arial" w:eastAsia="Arial" w:hAnsi="Arial"/>
          <w:b/>
          <w:bCs/>
          <w:color w:val="3B82F6"/>
          <w:sz w:val="24"/>
          <w:szCs w:val="24"/>
        </w:rPr>
        <w:t xml:space="preserve">4.3 Beta / Pilot Testing</w:t>
      </w:r>
    </w:p>
    <w:p>
      <w:pPr>
        <w:pStyle w:val="ListParagraph"/>
        <w:numPr>
          <w:ilvl w:val="0"/>
          <w:numId w:val="2"/>
        </w:numPr>
        <w:spacing w:after="40" w:before="40"/>
      </w:pPr>
      <w:r>
        <w:rPr>
          <w:rFonts w:ascii="Arial" w:cs="Arial" w:eastAsia="Arial" w:hAnsi="Arial"/>
          <w:color w:val="374151"/>
          <w:sz w:val="20"/>
          <w:szCs w:val="20"/>
        </w:rPr>
        <w:t xml:space="preserve">Closed beta completed with 20–100 representative target users</w:t>
      </w:r>
    </w:p>
    <w:p>
      <w:pPr>
        <w:pStyle w:val="ListParagraph"/>
        <w:numPr>
          <w:ilvl w:val="0"/>
          <w:numId w:val="2"/>
        </w:numPr>
        <w:spacing w:after="40" w:before="40"/>
      </w:pPr>
      <w:r>
        <w:rPr>
          <w:rFonts w:ascii="Arial" w:cs="Arial" w:eastAsia="Arial" w:hAnsi="Arial"/>
          <w:color w:val="374151"/>
          <w:sz w:val="20"/>
          <w:szCs w:val="20"/>
        </w:rPr>
        <w:t xml:space="preserve">NPS or CSAT collected from beta participants; scores documented</w:t>
      </w:r>
    </w:p>
    <w:p>
      <w:pPr>
        <w:pStyle w:val="ListParagraph"/>
        <w:numPr>
          <w:ilvl w:val="0"/>
          <w:numId w:val="2"/>
        </w:numPr>
        <w:spacing w:after="40" w:before="40"/>
      </w:pPr>
      <w:r>
        <w:rPr>
          <w:rFonts w:ascii="Arial" w:cs="Arial" w:eastAsia="Arial" w:hAnsi="Arial"/>
          <w:color w:val="374151"/>
          <w:sz w:val="20"/>
          <w:szCs w:val="20"/>
        </w:rPr>
        <w:t xml:space="preserve">Product-market fit signal assessed using Sean Ellis test (&gt;40% 'very disappointed' target)</w:t>
      </w:r>
    </w:p>
    <w:p>
      <w:pPr>
        <w:pStyle w:val="ListParagraph"/>
        <w:numPr>
          <w:ilvl w:val="0"/>
          <w:numId w:val="2"/>
        </w:numPr>
        <w:spacing w:after="40" w:before="40"/>
      </w:pPr>
      <w:r>
        <w:rPr>
          <w:rFonts w:ascii="Arial" w:cs="Arial" w:eastAsia="Arial" w:hAnsi="Arial"/>
          <w:color w:val="374151"/>
          <w:sz w:val="20"/>
          <w:szCs w:val="20"/>
        </w:rPr>
        <w:t xml:space="preserve">Feature requests and pain points triaged into post-launch roadmap</w:t>
      </w:r>
    </w:p>
    <w:p>
      <w:r>
        <w:t xml:space="preserve"/>
      </w:r>
    </w:p>
    <w:p>
      <w:pPr>
        <w:pStyle w:val="Heading3"/>
        <w:spacing w:after="80" w:before="240"/>
      </w:pPr>
      <w:r>
        <w:rPr>
          <w:rFonts w:ascii="Arial" w:cs="Arial" w:eastAsia="Arial" w:hAnsi="Arial"/>
          <w:b/>
          <w:bCs/>
          <w:color w:val="3B82F6"/>
          <w:sz w:val="24"/>
          <w:szCs w:val="24"/>
        </w:rPr>
        <w:t xml:space="preserve">4.4 Analytics &amp; Instrumentation</w:t>
      </w:r>
    </w:p>
    <w:p>
      <w:pPr>
        <w:pStyle w:val="ListParagraph"/>
        <w:numPr>
          <w:ilvl w:val="0"/>
          <w:numId w:val="2"/>
        </w:numPr>
        <w:spacing w:after="40" w:before="40"/>
      </w:pPr>
      <w:r>
        <w:rPr>
          <w:rFonts w:ascii="Arial" w:cs="Arial" w:eastAsia="Arial" w:hAnsi="Arial"/>
          <w:color w:val="374151"/>
          <w:sz w:val="20"/>
          <w:szCs w:val="20"/>
        </w:rPr>
        <w:t xml:space="preserve">Event tracking implemented for all key user actions (Mixpanel, Amplitude, PostHog)</w:t>
      </w:r>
    </w:p>
    <w:p>
      <w:pPr>
        <w:pStyle w:val="ListParagraph"/>
        <w:numPr>
          <w:ilvl w:val="0"/>
          <w:numId w:val="2"/>
        </w:numPr>
        <w:spacing w:after="40" w:before="40"/>
      </w:pPr>
      <w:r>
        <w:rPr>
          <w:rFonts w:ascii="Arial" w:cs="Arial" w:eastAsia="Arial" w:hAnsi="Arial"/>
          <w:color w:val="374151"/>
          <w:sz w:val="20"/>
          <w:szCs w:val="20"/>
        </w:rPr>
        <w:t xml:space="preserve">AARRR funnel analytics configured: Acquisition → Activation → Retention → Referral → Revenue</w:t>
      </w:r>
    </w:p>
    <w:p>
      <w:pPr>
        <w:pStyle w:val="ListParagraph"/>
        <w:numPr>
          <w:ilvl w:val="0"/>
          <w:numId w:val="2"/>
        </w:numPr>
        <w:spacing w:after="40" w:before="40"/>
      </w:pPr>
      <w:r>
        <w:rPr>
          <w:rFonts w:ascii="Arial" w:cs="Arial" w:eastAsia="Arial" w:hAnsi="Arial"/>
          <w:color w:val="374151"/>
          <w:sz w:val="20"/>
          <w:szCs w:val="20"/>
        </w:rPr>
        <w:t xml:space="preserve">Session recording configured with PII filtering applied (FullStory, Hotjar)</w:t>
      </w:r>
    </w:p>
    <w:p>
      <w:pPr>
        <w:pStyle w:val="ListParagraph"/>
        <w:numPr>
          <w:ilvl w:val="0"/>
          <w:numId w:val="2"/>
        </w:numPr>
        <w:spacing w:after="40" w:before="40"/>
      </w:pPr>
      <w:r>
        <w:rPr>
          <w:rFonts w:ascii="Arial" w:cs="Arial" w:eastAsia="Arial" w:hAnsi="Arial"/>
          <w:color w:val="374151"/>
          <w:sz w:val="20"/>
          <w:szCs w:val="20"/>
        </w:rPr>
        <w:t xml:space="preserve">A/B testing infrastructure in place if launch experiments are planned</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5. Business Model &amp; Monetization Readiness</w:t>
      </w:r>
    </w:p>
    <w:p>
      <w:pPr>
        <w:spacing w:after="60" w:before="60"/>
      </w:pPr>
      <w:r>
        <w:rPr>
          <w:rFonts w:ascii="Arial" w:cs="Arial" w:eastAsia="Arial" w:hAnsi="Arial"/>
          <w:color w:val="1F2937"/>
          <w:sz w:val="20"/>
          <w:szCs w:val="20"/>
        </w:rPr>
        <w:t xml:space="preserve">Billing bugs discovered in production are customer trust disasters. Every edge case in the subscription lifecycle must be tested before real money flows through the system.</w:t>
      </w:r>
    </w:p>
    <w:p>
      <w:r>
        <w:t xml:space="preserve"/>
      </w:r>
    </w:p>
    <w:p>
      <w:pPr>
        <w:pStyle w:val="Heading3"/>
        <w:spacing w:after="80" w:before="240"/>
      </w:pPr>
      <w:r>
        <w:rPr>
          <w:rFonts w:ascii="Arial" w:cs="Arial" w:eastAsia="Arial" w:hAnsi="Arial"/>
          <w:b/>
          <w:bCs/>
          <w:color w:val="3B82F6"/>
          <w:sz w:val="24"/>
          <w:szCs w:val="24"/>
        </w:rPr>
        <w:t xml:space="preserve">5.1 Pricing Strategy</w:t>
      </w:r>
    </w:p>
    <w:p>
      <w:pPr>
        <w:pStyle w:val="ListParagraph"/>
        <w:numPr>
          <w:ilvl w:val="0"/>
          <w:numId w:val="2"/>
        </w:numPr>
        <w:spacing w:after="40" w:before="40"/>
      </w:pPr>
      <w:r>
        <w:rPr>
          <w:rFonts w:ascii="Arial" w:cs="Arial" w:eastAsia="Arial" w:hAnsi="Arial"/>
          <w:color w:val="374151"/>
          <w:sz w:val="20"/>
          <w:szCs w:val="20"/>
        </w:rPr>
        <w:t xml:space="preserve">Pricing tiers finalized, competitive-benchmarked, and pressure-tested with prospects</w:t>
      </w:r>
    </w:p>
    <w:p>
      <w:pPr>
        <w:pStyle w:val="ListParagraph"/>
        <w:numPr>
          <w:ilvl w:val="0"/>
          <w:numId w:val="2"/>
        </w:numPr>
        <w:spacing w:after="40" w:before="40"/>
      </w:pPr>
      <w:r>
        <w:rPr>
          <w:rFonts w:ascii="Arial" w:cs="Arial" w:eastAsia="Arial" w:hAnsi="Arial"/>
          <w:color w:val="374151"/>
          <w:sz w:val="20"/>
          <w:szCs w:val="20"/>
        </w:rPr>
        <w:t xml:space="preserve">Value metric clearly identified (per seat, per usage, per outcome)</w:t>
      </w:r>
    </w:p>
    <w:p>
      <w:pPr>
        <w:pStyle w:val="ListParagraph"/>
        <w:numPr>
          <w:ilvl w:val="0"/>
          <w:numId w:val="2"/>
        </w:numPr>
        <w:spacing w:after="40" w:before="40"/>
      </w:pPr>
      <w:r>
        <w:rPr>
          <w:rFonts w:ascii="Arial" w:cs="Arial" w:eastAsia="Arial" w:hAnsi="Arial"/>
          <w:color w:val="374151"/>
          <w:sz w:val="20"/>
          <w:szCs w:val="20"/>
        </w:rPr>
        <w:t xml:space="preserve">Pricing page copy and FAQ reviewed by a non-technical stakeholder for clarity</w:t>
      </w:r>
    </w:p>
    <w:p>
      <w:pPr>
        <w:pStyle w:val="ListParagraph"/>
        <w:numPr>
          <w:ilvl w:val="0"/>
          <w:numId w:val="2"/>
        </w:numPr>
        <w:spacing w:after="40" w:before="40"/>
      </w:pPr>
      <w:r>
        <w:rPr>
          <w:rFonts w:ascii="Arial" w:cs="Arial" w:eastAsia="Arial" w:hAnsi="Arial"/>
          <w:color w:val="374151"/>
          <w:sz w:val="20"/>
          <w:szCs w:val="20"/>
        </w:rPr>
        <w:t xml:space="preserve">Discounting, coupon, and annual billing policies defined and configured</w:t>
      </w:r>
    </w:p>
    <w:p>
      <w:r>
        <w:t xml:space="preserve"/>
      </w:r>
    </w:p>
    <w:p>
      <w:pPr>
        <w:pStyle w:val="Heading3"/>
        <w:spacing w:after="80" w:before="240"/>
      </w:pPr>
      <w:r>
        <w:rPr>
          <w:rFonts w:ascii="Arial" w:cs="Arial" w:eastAsia="Arial" w:hAnsi="Arial"/>
          <w:b/>
          <w:bCs/>
          <w:color w:val="3B82F6"/>
          <w:sz w:val="24"/>
          <w:szCs w:val="24"/>
        </w:rPr>
        <w:t xml:space="preserve">5.2 Billing &amp; Payments</w:t>
      </w:r>
    </w:p>
    <w:p>
      <w:pPr>
        <w:pStyle w:val="ListParagraph"/>
        <w:numPr>
          <w:ilvl w:val="0"/>
          <w:numId w:val="2"/>
        </w:numPr>
        <w:spacing w:after="40" w:before="40"/>
      </w:pPr>
      <w:r>
        <w:rPr>
          <w:rFonts w:ascii="Arial" w:cs="Arial" w:eastAsia="Arial" w:hAnsi="Arial"/>
          <w:color w:val="374151"/>
          <w:sz w:val="20"/>
          <w:szCs w:val="20"/>
        </w:rPr>
        <w:t xml:space="preserve">Payment gateway fully integrated and tested (Stripe, Paddle, or Chargebee)</w:t>
      </w:r>
    </w:p>
    <w:p>
      <w:pPr>
        <w:pStyle w:val="ListParagraph"/>
        <w:numPr>
          <w:ilvl w:val="0"/>
          <w:numId w:val="2"/>
        </w:numPr>
        <w:spacing w:after="40" w:before="40"/>
      </w:pPr>
      <w:r>
        <w:rPr>
          <w:rFonts w:ascii="Arial" w:cs="Arial" w:eastAsia="Arial" w:hAnsi="Arial"/>
          <w:color w:val="374151"/>
          <w:sz w:val="20"/>
          <w:szCs w:val="20"/>
        </w:rPr>
        <w:t xml:space="preserve">Full subscription lifecycle tested: signup → upgrade → downgrade → cancel → reactivate</w:t>
      </w:r>
    </w:p>
    <w:p>
      <w:pPr>
        <w:pStyle w:val="ListParagraph"/>
        <w:numPr>
          <w:ilvl w:val="0"/>
          <w:numId w:val="2"/>
        </w:numPr>
        <w:spacing w:after="40" w:before="40"/>
      </w:pPr>
      <w:r>
        <w:rPr>
          <w:rFonts w:ascii="Arial" w:cs="Arial" w:eastAsia="Arial" w:hAnsi="Arial"/>
          <w:color w:val="374151"/>
          <w:sz w:val="20"/>
          <w:szCs w:val="20"/>
        </w:rPr>
        <w:t xml:space="preserve">Failed payment retry logic and dunning email sequences configured and tested</w:t>
      </w:r>
    </w:p>
    <w:p>
      <w:pPr>
        <w:pStyle w:val="ListParagraph"/>
        <w:numPr>
          <w:ilvl w:val="0"/>
          <w:numId w:val="2"/>
        </w:numPr>
        <w:spacing w:after="40" w:before="40"/>
      </w:pPr>
      <w:r>
        <w:rPr>
          <w:rFonts w:ascii="Arial" w:cs="Arial" w:eastAsia="Arial" w:hAnsi="Arial"/>
          <w:color w:val="374151"/>
          <w:sz w:val="20"/>
          <w:szCs w:val="20"/>
        </w:rPr>
        <w:t xml:space="preserve">Invoicing, receipts, and tax handling verified (Stripe Tax, Avalara, or equivalent)</w:t>
      </w:r>
    </w:p>
    <w:p>
      <w:pPr>
        <w:pStyle w:val="ListParagraph"/>
        <w:numPr>
          <w:ilvl w:val="0"/>
          <w:numId w:val="2"/>
        </w:numPr>
        <w:spacing w:after="40" w:before="40"/>
      </w:pPr>
      <w:r>
        <w:rPr>
          <w:rFonts w:ascii="Arial" w:cs="Arial" w:eastAsia="Arial" w:hAnsi="Arial"/>
          <w:color w:val="374151"/>
          <w:sz w:val="20"/>
          <w:szCs w:val="20"/>
        </w:rPr>
        <w:t xml:space="preserve">Refund and proration policies defined, implemented, and tested</w:t>
      </w:r>
    </w:p>
    <w:p>
      <w:r>
        <w:t xml:space="preserve"/>
      </w:r>
    </w:p>
    <w:p>
      <w:pPr>
        <w:pStyle w:val="Heading3"/>
        <w:spacing w:after="80" w:before="240"/>
      </w:pPr>
      <w:r>
        <w:rPr>
          <w:rFonts w:ascii="Arial" w:cs="Arial" w:eastAsia="Arial" w:hAnsi="Arial"/>
          <w:b/>
          <w:bCs/>
          <w:color w:val="3B82F6"/>
          <w:sz w:val="24"/>
          <w:szCs w:val="24"/>
        </w:rPr>
        <w:t xml:space="preserve">5.3 Revenue Metrics Baseline</w:t>
      </w:r>
    </w:p>
    <w:p>
      <w:pPr>
        <w:pStyle w:val="ListParagraph"/>
        <w:numPr>
          <w:ilvl w:val="0"/>
          <w:numId w:val="2"/>
        </w:numPr>
        <w:spacing w:after="40" w:before="40"/>
      </w:pPr>
      <w:r>
        <w:rPr>
          <w:rFonts w:ascii="Arial" w:cs="Arial" w:eastAsia="Arial" w:hAnsi="Arial"/>
          <w:color w:val="374151"/>
          <w:sz w:val="20"/>
          <w:szCs w:val="20"/>
        </w:rPr>
        <w:t xml:space="preserve">MRR and ARR tracking configured in analytics or CRM from day one</w:t>
      </w:r>
    </w:p>
    <w:p>
      <w:pPr>
        <w:pStyle w:val="ListParagraph"/>
        <w:numPr>
          <w:ilvl w:val="0"/>
          <w:numId w:val="2"/>
        </w:numPr>
        <w:spacing w:after="40" w:before="40"/>
      </w:pPr>
      <w:r>
        <w:rPr>
          <w:rFonts w:ascii="Arial" w:cs="Arial" w:eastAsia="Arial" w:hAnsi="Arial"/>
          <w:color w:val="374151"/>
          <w:sz w:val="20"/>
          <w:szCs w:val="20"/>
        </w:rPr>
        <w:t xml:space="preserve">LTV:CAC ratio modeled by channel with target threshold of &gt;3:1</w:t>
      </w:r>
    </w:p>
    <w:p>
      <w:pPr>
        <w:pStyle w:val="ListParagraph"/>
        <w:numPr>
          <w:ilvl w:val="0"/>
          <w:numId w:val="2"/>
        </w:numPr>
        <w:spacing w:after="40" w:before="40"/>
      </w:pPr>
      <w:r>
        <w:rPr>
          <w:rFonts w:ascii="Arial" w:cs="Arial" w:eastAsia="Arial" w:hAnsi="Arial"/>
          <w:color w:val="374151"/>
          <w:sz w:val="20"/>
          <w:szCs w:val="20"/>
        </w:rPr>
        <w:t xml:space="preserve">Payback period calculated per acquisition channel</w:t>
      </w:r>
    </w:p>
    <w:p>
      <w:pPr>
        <w:pStyle w:val="ListParagraph"/>
        <w:numPr>
          <w:ilvl w:val="0"/>
          <w:numId w:val="2"/>
        </w:numPr>
        <w:spacing w:after="40" w:before="40"/>
      </w:pPr>
      <w:r>
        <w:rPr>
          <w:rFonts w:ascii="Arial" w:cs="Arial" w:eastAsia="Arial" w:hAnsi="Arial"/>
          <w:color w:val="374151"/>
          <w:sz w:val="20"/>
          <w:szCs w:val="20"/>
        </w:rPr>
        <w:t xml:space="preserve">Churn and expansion revenue projections documented as launch benchmarks</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6. Go-to-Market Strategy</w:t>
      </w:r>
    </w:p>
    <w:p>
      <w:pPr>
        <w:spacing w:after="60" w:before="60"/>
      </w:pPr>
      <w:r>
        <w:rPr>
          <w:rFonts w:ascii="Arial" w:cs="Arial" w:eastAsia="Arial" w:hAnsi="Arial"/>
          <w:color w:val="1F2937"/>
          <w:sz w:val="20"/>
          <w:szCs w:val="20"/>
        </w:rPr>
        <w:t xml:space="preserve">A great product with poor positioning fails quietly. GTM readiness determines whether launch creates momentum or gets ignored.</w:t>
      </w:r>
    </w:p>
    <w:p>
      <w:r>
        <w:t xml:space="preserve"/>
      </w:r>
    </w:p>
    <w:p>
      <w:pPr>
        <w:pStyle w:val="Heading3"/>
        <w:spacing w:after="80" w:before="240"/>
      </w:pPr>
      <w:r>
        <w:rPr>
          <w:rFonts w:ascii="Arial" w:cs="Arial" w:eastAsia="Arial" w:hAnsi="Arial"/>
          <w:b/>
          <w:bCs/>
          <w:color w:val="3B82F6"/>
          <w:sz w:val="24"/>
          <w:szCs w:val="24"/>
        </w:rPr>
        <w:t xml:space="preserve">6.1 Market &amp; Competitive Analysis</w:t>
      </w:r>
    </w:p>
    <w:p>
      <w:pPr>
        <w:pStyle w:val="ListParagraph"/>
        <w:numPr>
          <w:ilvl w:val="0"/>
          <w:numId w:val="2"/>
        </w:numPr>
        <w:spacing w:after="40" w:before="40"/>
      </w:pPr>
      <w:r>
        <w:rPr>
          <w:rFonts w:ascii="Arial" w:cs="Arial" w:eastAsia="Arial" w:hAnsi="Arial"/>
          <w:color w:val="374151"/>
          <w:sz w:val="20"/>
          <w:szCs w:val="20"/>
        </w:rPr>
        <w:t xml:space="preserve">ICP (Ideal Customer Profile) defined with firmographic and behavioral attributes</w:t>
      </w:r>
    </w:p>
    <w:p>
      <w:pPr>
        <w:pStyle w:val="ListParagraph"/>
        <w:numPr>
          <w:ilvl w:val="0"/>
          <w:numId w:val="2"/>
        </w:numPr>
        <w:spacing w:after="40" w:before="40"/>
      </w:pPr>
      <w:r>
        <w:rPr>
          <w:rFonts w:ascii="Arial" w:cs="Arial" w:eastAsia="Arial" w:hAnsi="Arial"/>
          <w:color w:val="374151"/>
          <w:sz w:val="20"/>
          <w:szCs w:val="20"/>
        </w:rPr>
        <w:t xml:space="preserve">TAM / SAM / SOM sized using credible, cited sources</w:t>
      </w:r>
    </w:p>
    <w:p>
      <w:pPr>
        <w:pStyle w:val="ListParagraph"/>
        <w:numPr>
          <w:ilvl w:val="0"/>
          <w:numId w:val="2"/>
        </w:numPr>
        <w:spacing w:after="40" w:before="40"/>
      </w:pPr>
      <w:r>
        <w:rPr>
          <w:rFonts w:ascii="Arial" w:cs="Arial" w:eastAsia="Arial" w:hAnsi="Arial"/>
          <w:color w:val="374151"/>
          <w:sz w:val="20"/>
          <w:szCs w:val="20"/>
        </w:rPr>
        <w:t xml:space="preserve">Competitive matrix completed covering features, pricing, and differentiation</w:t>
      </w:r>
    </w:p>
    <w:p>
      <w:pPr>
        <w:pStyle w:val="ListParagraph"/>
        <w:numPr>
          <w:ilvl w:val="0"/>
          <w:numId w:val="2"/>
        </w:numPr>
        <w:spacing w:after="40" w:before="40"/>
      </w:pPr>
      <w:r>
        <w:rPr>
          <w:rFonts w:ascii="Arial" w:cs="Arial" w:eastAsia="Arial" w:hAnsi="Arial"/>
          <w:color w:val="374151"/>
          <w:sz w:val="20"/>
          <w:szCs w:val="20"/>
        </w:rPr>
        <w:t xml:space="preserve">Defensible moat and differentiation clearly articulated in one sentence</w:t>
      </w:r>
    </w:p>
    <w:p>
      <w:r>
        <w:t xml:space="preserve"/>
      </w:r>
    </w:p>
    <w:p>
      <w:pPr>
        <w:pStyle w:val="Heading3"/>
        <w:spacing w:after="80" w:before="240"/>
      </w:pPr>
      <w:r>
        <w:rPr>
          <w:rFonts w:ascii="Arial" w:cs="Arial" w:eastAsia="Arial" w:hAnsi="Arial"/>
          <w:b/>
          <w:bCs/>
          <w:color w:val="3B82F6"/>
          <w:sz w:val="24"/>
          <w:szCs w:val="24"/>
        </w:rPr>
        <w:t xml:space="preserve">6.2 Messaging &amp; Positioning</w:t>
      </w:r>
    </w:p>
    <w:p>
      <w:pPr>
        <w:pStyle w:val="ListParagraph"/>
        <w:numPr>
          <w:ilvl w:val="0"/>
          <w:numId w:val="2"/>
        </w:numPr>
        <w:spacing w:after="40" w:before="40"/>
      </w:pPr>
      <w:r>
        <w:rPr>
          <w:rFonts w:ascii="Arial" w:cs="Arial" w:eastAsia="Arial" w:hAnsi="Arial"/>
          <w:color w:val="374151"/>
          <w:sz w:val="20"/>
          <w:szCs w:val="20"/>
        </w:rPr>
        <w:t xml:space="preserve">Value proposition tested with target audience via landing page, ads, or interviews</w:t>
      </w:r>
    </w:p>
    <w:p>
      <w:pPr>
        <w:pStyle w:val="ListParagraph"/>
        <w:numPr>
          <w:ilvl w:val="0"/>
          <w:numId w:val="2"/>
        </w:numPr>
        <w:spacing w:after="40" w:before="40"/>
      </w:pPr>
      <w:r>
        <w:rPr>
          <w:rFonts w:ascii="Arial" w:cs="Arial" w:eastAsia="Arial" w:hAnsi="Arial"/>
          <w:color w:val="374151"/>
          <w:sz w:val="20"/>
          <w:szCs w:val="20"/>
        </w:rPr>
        <w:t xml:space="preserve">Headline, tagline, and sub-headline validated through A/B or user feedback</w:t>
      </w:r>
    </w:p>
    <w:p>
      <w:pPr>
        <w:pStyle w:val="ListParagraph"/>
        <w:numPr>
          <w:ilvl w:val="0"/>
          <w:numId w:val="2"/>
        </w:numPr>
        <w:spacing w:after="40" w:before="40"/>
      </w:pPr>
      <w:r>
        <w:rPr>
          <w:rFonts w:ascii="Arial" w:cs="Arial" w:eastAsia="Arial" w:hAnsi="Arial"/>
          <w:color w:val="374151"/>
          <w:sz w:val="20"/>
          <w:szCs w:val="20"/>
        </w:rPr>
        <w:t xml:space="preserve">Jobs-to-be-done (JTBD) framework applied to all primary messaging</w:t>
      </w:r>
    </w:p>
    <w:p>
      <w:pPr>
        <w:pStyle w:val="ListParagraph"/>
        <w:numPr>
          <w:ilvl w:val="0"/>
          <w:numId w:val="2"/>
        </w:numPr>
        <w:spacing w:after="40" w:before="40"/>
      </w:pPr>
      <w:r>
        <w:rPr>
          <w:rFonts w:ascii="Arial" w:cs="Arial" w:eastAsia="Arial" w:hAnsi="Arial"/>
          <w:color w:val="374151"/>
          <w:sz w:val="20"/>
          <w:szCs w:val="20"/>
        </w:rPr>
        <w:t xml:space="preserve">Objection handling playbook documented for sales and customer success teams</w:t>
      </w:r>
    </w:p>
    <w:p>
      <w:r>
        <w:t xml:space="preserve"/>
      </w:r>
    </w:p>
    <w:p>
      <w:pPr>
        <w:pStyle w:val="Heading3"/>
        <w:spacing w:after="80" w:before="240"/>
      </w:pPr>
      <w:r>
        <w:rPr>
          <w:rFonts w:ascii="Arial" w:cs="Arial" w:eastAsia="Arial" w:hAnsi="Arial"/>
          <w:b/>
          <w:bCs/>
          <w:color w:val="3B82F6"/>
          <w:sz w:val="24"/>
          <w:szCs w:val="24"/>
        </w:rPr>
        <w:t xml:space="preserve">6.3 Launch Plan</w:t>
      </w:r>
    </w:p>
    <w:p>
      <w:pPr>
        <w:pStyle w:val="ListParagraph"/>
        <w:numPr>
          <w:ilvl w:val="0"/>
          <w:numId w:val="2"/>
        </w:numPr>
        <w:spacing w:after="40" w:before="40"/>
      </w:pPr>
      <w:r>
        <w:rPr>
          <w:rFonts w:ascii="Arial" w:cs="Arial" w:eastAsia="Arial" w:hAnsi="Arial"/>
          <w:color w:val="374151"/>
          <w:sz w:val="20"/>
          <w:szCs w:val="20"/>
        </w:rPr>
        <w:t xml:space="preserve">Launch date set with all internal milestones reverse-engineered to today</w:t>
      </w:r>
    </w:p>
    <w:p>
      <w:pPr>
        <w:pStyle w:val="ListParagraph"/>
        <w:numPr>
          <w:ilvl w:val="0"/>
          <w:numId w:val="2"/>
        </w:numPr>
        <w:spacing w:after="40" w:before="40"/>
      </w:pPr>
      <w:r>
        <w:rPr>
          <w:rFonts w:ascii="Arial" w:cs="Arial" w:eastAsia="Arial" w:hAnsi="Arial"/>
          <w:color w:val="374151"/>
          <w:sz w:val="20"/>
          <w:szCs w:val="20"/>
        </w:rPr>
        <w:t xml:space="preserve">Launch channels selected and sequenced: Product Hunt, press, LinkedIn, communities, email</w:t>
      </w:r>
    </w:p>
    <w:p>
      <w:pPr>
        <w:pStyle w:val="ListParagraph"/>
        <w:numPr>
          <w:ilvl w:val="0"/>
          <w:numId w:val="2"/>
        </w:numPr>
        <w:spacing w:after="40" w:before="40"/>
      </w:pPr>
      <w:r>
        <w:rPr>
          <w:rFonts w:ascii="Arial" w:cs="Arial" w:eastAsia="Arial" w:hAnsi="Arial"/>
          <w:color w:val="374151"/>
          <w:sz w:val="20"/>
          <w:szCs w:val="20"/>
        </w:rPr>
        <w:t xml:space="preserve">Beta or waitlist audience prepared and primed for day-one conversion</w:t>
      </w:r>
    </w:p>
    <w:p>
      <w:pPr>
        <w:pStyle w:val="ListParagraph"/>
        <w:numPr>
          <w:ilvl w:val="0"/>
          <w:numId w:val="2"/>
        </w:numPr>
        <w:spacing w:after="40" w:before="40"/>
      </w:pPr>
      <w:r>
        <w:rPr>
          <w:rFonts w:ascii="Arial" w:cs="Arial" w:eastAsia="Arial" w:hAnsi="Arial"/>
          <w:color w:val="374151"/>
          <w:sz w:val="20"/>
          <w:szCs w:val="20"/>
        </w:rPr>
        <w:t xml:space="preserve">Press kit, screenshots, demo video, and review platform profiles (G2, Capterra) ready</w:t>
      </w:r>
    </w:p>
    <w:p>
      <w:r>
        <w:t xml:space="preserve"/>
      </w:r>
    </w:p>
    <w:p>
      <w:pPr>
        <w:pStyle w:val="Heading3"/>
        <w:spacing w:after="80" w:before="240"/>
      </w:pPr>
      <w:r>
        <w:rPr>
          <w:rFonts w:ascii="Arial" w:cs="Arial" w:eastAsia="Arial" w:hAnsi="Arial"/>
          <w:b/>
          <w:bCs/>
          <w:color w:val="3B82F6"/>
          <w:sz w:val="24"/>
          <w:szCs w:val="24"/>
        </w:rPr>
        <w:t xml:space="preserve">6.4 Sales Readiness</w:t>
      </w:r>
    </w:p>
    <w:p>
      <w:pPr>
        <w:pStyle w:val="ListParagraph"/>
        <w:numPr>
          <w:ilvl w:val="0"/>
          <w:numId w:val="2"/>
        </w:numPr>
        <w:spacing w:after="40" w:before="40"/>
      </w:pPr>
      <w:r>
        <w:rPr>
          <w:rFonts w:ascii="Arial" w:cs="Arial" w:eastAsia="Arial" w:hAnsi="Arial"/>
          <w:color w:val="374151"/>
          <w:sz w:val="20"/>
          <w:szCs w:val="20"/>
        </w:rPr>
        <w:t xml:space="preserve">Sales playbook written: discovery questions, demo script, objection handling, close techniques</w:t>
      </w:r>
    </w:p>
    <w:p>
      <w:pPr>
        <w:pStyle w:val="ListParagraph"/>
        <w:numPr>
          <w:ilvl w:val="0"/>
          <w:numId w:val="2"/>
        </w:numPr>
        <w:spacing w:after="40" w:before="40"/>
      </w:pPr>
      <w:r>
        <w:rPr>
          <w:rFonts w:ascii="Arial" w:cs="Arial" w:eastAsia="Arial" w:hAnsi="Arial"/>
          <w:color w:val="374151"/>
          <w:sz w:val="20"/>
          <w:szCs w:val="20"/>
        </w:rPr>
        <w:t xml:space="preserve">CRM configured with pipeline stages and automation rules (HubSpot, Salesforce)</w:t>
      </w:r>
    </w:p>
    <w:p>
      <w:pPr>
        <w:pStyle w:val="ListParagraph"/>
        <w:numPr>
          <w:ilvl w:val="0"/>
          <w:numId w:val="2"/>
        </w:numPr>
        <w:spacing w:after="40" w:before="40"/>
      </w:pPr>
      <w:r>
        <w:rPr>
          <w:rFonts w:ascii="Arial" w:cs="Arial" w:eastAsia="Arial" w:hAnsi="Arial"/>
          <w:color w:val="374151"/>
          <w:sz w:val="20"/>
          <w:szCs w:val="20"/>
        </w:rPr>
        <w:t xml:space="preserve">Sales collateral complete: one-pager, pitch deck, ROI calculator, reference case studies</w:t>
      </w:r>
    </w:p>
    <w:p>
      <w:pPr>
        <w:pStyle w:val="ListParagraph"/>
        <w:numPr>
          <w:ilvl w:val="0"/>
          <w:numId w:val="2"/>
        </w:numPr>
        <w:spacing w:after="40" w:before="40"/>
      </w:pPr>
      <w:r>
        <w:rPr>
          <w:rFonts w:ascii="Arial" w:cs="Arial" w:eastAsia="Arial" w:hAnsi="Arial"/>
          <w:color w:val="374151"/>
          <w:sz w:val="20"/>
          <w:szCs w:val="20"/>
        </w:rPr>
        <w:t xml:space="preserve">Demo environment (sandbox tenant) stable, populated with realistic sample data</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7. Customer Success &amp; Support Readiness</w:t>
      </w:r>
    </w:p>
    <w:p>
      <w:pPr>
        <w:spacing w:after="60" w:before="60"/>
      </w:pPr>
      <w:r>
        <w:rPr>
          <w:rFonts w:ascii="Arial" w:cs="Arial" w:eastAsia="Arial" w:hAnsi="Arial"/>
          <w:color w:val="1F2937"/>
          <w:sz w:val="20"/>
          <w:szCs w:val="20"/>
        </w:rPr>
        <w:t xml:space="preserve">The fastest way to lose customers you just acquired is to leave them stranded when they hit a problem. Support and success infrastructure must be live on day one.</w:t>
      </w:r>
    </w:p>
    <w:p>
      <w:r>
        <w:t xml:space="preserve"/>
      </w:r>
    </w:p>
    <w:p>
      <w:pPr>
        <w:pStyle w:val="Heading3"/>
        <w:spacing w:after="80" w:before="240"/>
      </w:pPr>
      <w:r>
        <w:rPr>
          <w:rFonts w:ascii="Arial" w:cs="Arial" w:eastAsia="Arial" w:hAnsi="Arial"/>
          <w:b/>
          <w:bCs/>
          <w:color w:val="3B82F6"/>
          <w:sz w:val="24"/>
          <w:szCs w:val="24"/>
        </w:rPr>
        <w:t xml:space="preserve">7.1 Support Infrastructure</w:t>
      </w:r>
    </w:p>
    <w:p>
      <w:pPr>
        <w:pStyle w:val="ListParagraph"/>
        <w:numPr>
          <w:ilvl w:val="0"/>
          <w:numId w:val="2"/>
        </w:numPr>
        <w:spacing w:after="40" w:before="40"/>
      </w:pPr>
      <w:r>
        <w:rPr>
          <w:rFonts w:ascii="Arial" w:cs="Arial" w:eastAsia="Arial" w:hAnsi="Arial"/>
          <w:color w:val="374151"/>
          <w:sz w:val="20"/>
          <w:szCs w:val="20"/>
        </w:rPr>
        <w:t xml:space="preserve">Helpdesk or ticketing system configured and tested (Intercom, Zendesk, Freshdesk)</w:t>
      </w:r>
    </w:p>
    <w:p>
      <w:pPr>
        <w:pStyle w:val="ListParagraph"/>
        <w:numPr>
          <w:ilvl w:val="0"/>
          <w:numId w:val="2"/>
        </w:numPr>
        <w:spacing w:after="40" w:before="40"/>
      </w:pPr>
      <w:r>
        <w:rPr>
          <w:rFonts w:ascii="Arial" w:cs="Arial" w:eastAsia="Arial" w:hAnsi="Arial"/>
          <w:color w:val="374151"/>
          <w:sz w:val="20"/>
          <w:szCs w:val="20"/>
        </w:rPr>
        <w:t xml:space="preserve">SLA response times defined and communicated per pricing tier</w:t>
      </w:r>
    </w:p>
    <w:p>
      <w:pPr>
        <w:pStyle w:val="ListParagraph"/>
        <w:numPr>
          <w:ilvl w:val="0"/>
          <w:numId w:val="2"/>
        </w:numPr>
        <w:spacing w:after="40" w:before="40"/>
      </w:pPr>
      <w:r>
        <w:rPr>
          <w:rFonts w:ascii="Arial" w:cs="Arial" w:eastAsia="Arial" w:hAnsi="Arial"/>
          <w:color w:val="374151"/>
          <w:sz w:val="20"/>
          <w:szCs w:val="20"/>
        </w:rPr>
        <w:t xml:space="preserve">Live chat, email, and in-app support channels set up and staffed</w:t>
      </w:r>
    </w:p>
    <w:p>
      <w:pPr>
        <w:pStyle w:val="ListParagraph"/>
        <w:numPr>
          <w:ilvl w:val="0"/>
          <w:numId w:val="2"/>
        </w:numPr>
        <w:spacing w:after="40" w:before="40"/>
      </w:pPr>
      <w:r>
        <w:rPr>
          <w:rFonts w:ascii="Arial" w:cs="Arial" w:eastAsia="Arial" w:hAnsi="Arial"/>
          <w:color w:val="374151"/>
          <w:sz w:val="20"/>
          <w:szCs w:val="20"/>
        </w:rPr>
        <w:t xml:space="preserve">Escalation path documented: L1 → L2 → Engineering with ownership at each stage</w:t>
      </w:r>
    </w:p>
    <w:p>
      <w:r>
        <w:t xml:space="preserve"/>
      </w:r>
    </w:p>
    <w:p>
      <w:pPr>
        <w:pStyle w:val="Heading3"/>
        <w:spacing w:after="80" w:before="240"/>
      </w:pPr>
      <w:r>
        <w:rPr>
          <w:rFonts w:ascii="Arial" w:cs="Arial" w:eastAsia="Arial" w:hAnsi="Arial"/>
          <w:b/>
          <w:bCs/>
          <w:color w:val="3B82F6"/>
          <w:sz w:val="24"/>
          <w:szCs w:val="24"/>
        </w:rPr>
        <w:t xml:space="preserve">7.2 Documentation &amp; Self-Service</w:t>
      </w:r>
    </w:p>
    <w:p>
      <w:pPr>
        <w:pStyle w:val="ListParagraph"/>
        <w:numPr>
          <w:ilvl w:val="0"/>
          <w:numId w:val="2"/>
        </w:numPr>
        <w:spacing w:after="40" w:before="40"/>
      </w:pPr>
      <w:r>
        <w:rPr>
          <w:rFonts w:ascii="Arial" w:cs="Arial" w:eastAsia="Arial" w:hAnsi="Arial"/>
          <w:color w:val="374151"/>
          <w:sz w:val="20"/>
          <w:szCs w:val="20"/>
        </w:rPr>
        <w:t xml:space="preserve">Knowledge base published covering all key features and common workflows</w:t>
      </w:r>
    </w:p>
    <w:p>
      <w:pPr>
        <w:pStyle w:val="ListParagraph"/>
        <w:numPr>
          <w:ilvl w:val="0"/>
          <w:numId w:val="2"/>
        </w:numPr>
        <w:spacing w:after="40" w:before="40"/>
      </w:pPr>
      <w:r>
        <w:rPr>
          <w:rFonts w:ascii="Arial" w:cs="Arial" w:eastAsia="Arial" w:hAnsi="Arial"/>
          <w:color w:val="374151"/>
          <w:sz w:val="20"/>
          <w:szCs w:val="20"/>
        </w:rPr>
        <w:t xml:space="preserve">In-app tooltips and contextual help implemented at all friction points</w:t>
      </w:r>
    </w:p>
    <w:p>
      <w:pPr>
        <w:pStyle w:val="ListParagraph"/>
        <w:numPr>
          <w:ilvl w:val="0"/>
          <w:numId w:val="2"/>
        </w:numPr>
        <w:spacing w:after="40" w:before="40"/>
      </w:pPr>
      <w:r>
        <w:rPr>
          <w:rFonts w:ascii="Arial" w:cs="Arial" w:eastAsia="Arial" w:hAnsi="Arial"/>
          <w:color w:val="374151"/>
          <w:sz w:val="20"/>
          <w:szCs w:val="20"/>
        </w:rPr>
        <w:t xml:space="preserve">API documentation published with examples if the product has developer users</w:t>
      </w:r>
    </w:p>
    <w:p>
      <w:pPr>
        <w:pStyle w:val="ListParagraph"/>
        <w:numPr>
          <w:ilvl w:val="0"/>
          <w:numId w:val="2"/>
        </w:numPr>
        <w:spacing w:after="40" w:before="40"/>
      </w:pPr>
      <w:r>
        <w:rPr>
          <w:rFonts w:ascii="Arial" w:cs="Arial" w:eastAsia="Arial" w:hAnsi="Arial"/>
          <w:color w:val="374151"/>
          <w:sz w:val="20"/>
          <w:szCs w:val="20"/>
        </w:rPr>
        <w:t xml:space="preserve">Video walkthroughs created for complex or high-stakes user workflows</w:t>
      </w:r>
    </w:p>
    <w:p>
      <w:r>
        <w:t xml:space="preserve"/>
      </w:r>
    </w:p>
    <w:p>
      <w:pPr>
        <w:pStyle w:val="Heading3"/>
        <w:spacing w:after="80" w:before="240"/>
      </w:pPr>
      <w:r>
        <w:rPr>
          <w:rFonts w:ascii="Arial" w:cs="Arial" w:eastAsia="Arial" w:hAnsi="Arial"/>
          <w:b/>
          <w:bCs/>
          <w:color w:val="3B82F6"/>
          <w:sz w:val="24"/>
          <w:szCs w:val="24"/>
        </w:rPr>
        <w:t xml:space="preserve">7.3 Onboarding &amp; CS Process</w:t>
      </w:r>
    </w:p>
    <w:p>
      <w:pPr>
        <w:pStyle w:val="ListParagraph"/>
        <w:numPr>
          <w:ilvl w:val="0"/>
          <w:numId w:val="2"/>
        </w:numPr>
        <w:spacing w:after="40" w:before="40"/>
      </w:pPr>
      <w:r>
        <w:rPr>
          <w:rFonts w:ascii="Arial" w:cs="Arial" w:eastAsia="Arial" w:hAnsi="Arial"/>
          <w:color w:val="374151"/>
          <w:sz w:val="20"/>
          <w:szCs w:val="20"/>
        </w:rPr>
        <w:t xml:space="preserve">Welcome email sequence configured and tested for all new signups</w:t>
      </w:r>
    </w:p>
    <w:p>
      <w:pPr>
        <w:pStyle w:val="ListParagraph"/>
        <w:numPr>
          <w:ilvl w:val="0"/>
          <w:numId w:val="2"/>
        </w:numPr>
        <w:spacing w:after="40" w:before="40"/>
      </w:pPr>
      <w:r>
        <w:rPr>
          <w:rFonts w:ascii="Arial" w:cs="Arial" w:eastAsia="Arial" w:hAnsi="Arial"/>
          <w:color w:val="374151"/>
          <w:sz w:val="20"/>
          <w:szCs w:val="20"/>
        </w:rPr>
        <w:t xml:space="preserve">CS handoff process defined from sales close to onboarding kickoff</w:t>
      </w:r>
    </w:p>
    <w:p>
      <w:pPr>
        <w:pStyle w:val="ListParagraph"/>
        <w:numPr>
          <w:ilvl w:val="0"/>
          <w:numId w:val="2"/>
        </w:numPr>
        <w:spacing w:after="40" w:before="40"/>
      </w:pPr>
      <w:r>
        <w:rPr>
          <w:rFonts w:ascii="Arial" w:cs="Arial" w:eastAsia="Arial" w:hAnsi="Arial"/>
          <w:color w:val="374151"/>
          <w:sz w:val="20"/>
          <w:szCs w:val="20"/>
        </w:rPr>
        <w:t xml:space="preserve">Customer health score model defined using product usage, logins, and support signals</w:t>
      </w:r>
    </w:p>
    <w:p>
      <w:pPr>
        <w:pStyle w:val="ListParagraph"/>
        <w:numPr>
          <w:ilvl w:val="0"/>
          <w:numId w:val="2"/>
        </w:numPr>
        <w:spacing w:after="40" w:before="40"/>
      </w:pPr>
      <w:r>
        <w:rPr>
          <w:rFonts w:ascii="Arial" w:cs="Arial" w:eastAsia="Arial" w:hAnsi="Arial"/>
          <w:color w:val="374151"/>
          <w:sz w:val="20"/>
          <w:szCs w:val="20"/>
        </w:rPr>
        <w:t xml:space="preserve">QBR (Quarterly Business Review) template ready for enterprise account management</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8. Legal &amp; Corporate Readiness</w:t>
      </w:r>
    </w:p>
    <w:p>
      <w:pPr>
        <w:spacing w:after="60" w:before="60"/>
      </w:pPr>
      <w:r>
        <w:rPr>
          <w:rFonts w:ascii="Arial" w:cs="Arial" w:eastAsia="Arial" w:hAnsi="Arial"/>
          <w:color w:val="1F2937"/>
          <w:sz w:val="20"/>
          <w:szCs w:val="20"/>
        </w:rPr>
        <w:t xml:space="preserve">Legal gaps discovered after launch create liability, delay enterprise deals, and can force product shutdowns. Legal review is not optional — it is a launch prerequisite.</w:t>
      </w:r>
    </w:p>
    <w:p>
      <w:r>
        <w:t xml:space="preserve"/>
      </w:r>
    </w:p>
    <w:p>
      <w:pPr>
        <w:pStyle w:val="Heading3"/>
        <w:spacing w:after="80" w:before="240"/>
      </w:pPr>
      <w:r>
        <w:rPr>
          <w:rFonts w:ascii="Arial" w:cs="Arial" w:eastAsia="Arial" w:hAnsi="Arial"/>
          <w:b/>
          <w:bCs/>
          <w:color w:val="3B82F6"/>
          <w:sz w:val="24"/>
          <w:szCs w:val="24"/>
        </w:rPr>
        <w:t xml:space="preserve">8.1 Contracts &amp; Legal Documents</w:t>
      </w:r>
    </w:p>
    <w:p>
      <w:pPr>
        <w:pStyle w:val="ListParagraph"/>
        <w:numPr>
          <w:ilvl w:val="0"/>
          <w:numId w:val="2"/>
        </w:numPr>
        <w:spacing w:after="40" w:before="40"/>
      </w:pPr>
      <w:r>
        <w:rPr>
          <w:rFonts w:ascii="Arial" w:cs="Arial" w:eastAsia="Arial" w:hAnsi="Arial"/>
          <w:color w:val="374151"/>
          <w:sz w:val="20"/>
          <w:szCs w:val="20"/>
        </w:rPr>
        <w:t xml:space="preserve">Terms of Service reviewed and approved by qualified legal counsel</w:t>
      </w:r>
    </w:p>
    <w:p>
      <w:pPr>
        <w:pStyle w:val="ListParagraph"/>
        <w:numPr>
          <w:ilvl w:val="0"/>
          <w:numId w:val="2"/>
        </w:numPr>
        <w:spacing w:after="40" w:before="40"/>
      </w:pPr>
      <w:r>
        <w:rPr>
          <w:rFonts w:ascii="Arial" w:cs="Arial" w:eastAsia="Arial" w:hAnsi="Arial"/>
          <w:color w:val="374151"/>
          <w:sz w:val="20"/>
          <w:szCs w:val="20"/>
        </w:rPr>
        <w:t xml:space="preserve">Privacy Policy compliant with GDPR, CCPA, and all applicable regional regulations</w:t>
      </w:r>
    </w:p>
    <w:p>
      <w:pPr>
        <w:pStyle w:val="ListParagraph"/>
        <w:numPr>
          <w:ilvl w:val="0"/>
          <w:numId w:val="2"/>
        </w:numPr>
        <w:spacing w:after="40" w:before="40"/>
      </w:pPr>
      <w:r>
        <w:rPr>
          <w:rFonts w:ascii="Arial" w:cs="Arial" w:eastAsia="Arial" w:hAnsi="Arial"/>
          <w:color w:val="374151"/>
          <w:sz w:val="20"/>
          <w:szCs w:val="20"/>
        </w:rPr>
        <w:t xml:space="preserve">Data Processing Agreement (DPA) template ready and pre-signed for enterprise buyers</w:t>
      </w:r>
    </w:p>
    <w:p>
      <w:pPr>
        <w:pStyle w:val="ListParagraph"/>
        <w:numPr>
          <w:ilvl w:val="0"/>
          <w:numId w:val="2"/>
        </w:numPr>
        <w:spacing w:after="40" w:before="40"/>
      </w:pPr>
      <w:r>
        <w:rPr>
          <w:rFonts w:ascii="Arial" w:cs="Arial" w:eastAsia="Arial" w:hAnsi="Arial"/>
          <w:color w:val="374151"/>
          <w:sz w:val="20"/>
          <w:szCs w:val="20"/>
        </w:rPr>
        <w:t xml:space="preserve">Acceptable Use Policy (AUP) published covering prohibited activities</w:t>
      </w:r>
    </w:p>
    <w:p>
      <w:pPr>
        <w:pStyle w:val="ListParagraph"/>
        <w:numPr>
          <w:ilvl w:val="0"/>
          <w:numId w:val="2"/>
        </w:numPr>
        <w:spacing w:after="40" w:before="40"/>
      </w:pPr>
      <w:r>
        <w:rPr>
          <w:rFonts w:ascii="Arial" w:cs="Arial" w:eastAsia="Arial" w:hAnsi="Arial"/>
          <w:color w:val="374151"/>
          <w:sz w:val="20"/>
          <w:szCs w:val="20"/>
        </w:rPr>
        <w:t xml:space="preserve">SLA agreement documented and legally aligned with tier-specific commitments</w:t>
      </w:r>
    </w:p>
    <w:p>
      <w:r>
        <w:t xml:space="preserve"/>
      </w:r>
    </w:p>
    <w:p>
      <w:pPr>
        <w:pStyle w:val="Heading3"/>
        <w:spacing w:after="80" w:before="240"/>
      </w:pPr>
      <w:r>
        <w:rPr>
          <w:rFonts w:ascii="Arial" w:cs="Arial" w:eastAsia="Arial" w:hAnsi="Arial"/>
          <w:b/>
          <w:bCs/>
          <w:color w:val="3B82F6"/>
          <w:sz w:val="24"/>
          <w:szCs w:val="24"/>
        </w:rPr>
        <w:t xml:space="preserve">8.2 Corporate Hygiene</w:t>
      </w:r>
    </w:p>
    <w:p>
      <w:pPr>
        <w:pStyle w:val="ListParagraph"/>
        <w:numPr>
          <w:ilvl w:val="0"/>
          <w:numId w:val="2"/>
        </w:numPr>
        <w:spacing w:after="40" w:before="40"/>
      </w:pPr>
      <w:r>
        <w:rPr>
          <w:rFonts w:ascii="Arial" w:cs="Arial" w:eastAsia="Arial" w:hAnsi="Arial"/>
          <w:color w:val="374151"/>
          <w:sz w:val="20"/>
          <w:szCs w:val="20"/>
        </w:rPr>
        <w:t xml:space="preserve">Entity structure confirmed and appropriate for fundraising or revenue objectives</w:t>
      </w:r>
    </w:p>
    <w:p>
      <w:pPr>
        <w:pStyle w:val="ListParagraph"/>
        <w:numPr>
          <w:ilvl w:val="0"/>
          <w:numId w:val="2"/>
        </w:numPr>
        <w:spacing w:after="40" w:before="40"/>
      </w:pPr>
      <w:r>
        <w:rPr>
          <w:rFonts w:ascii="Arial" w:cs="Arial" w:eastAsia="Arial" w:hAnsi="Arial"/>
          <w:color w:val="374151"/>
          <w:sz w:val="20"/>
          <w:szCs w:val="20"/>
        </w:rPr>
        <w:t xml:space="preserve">IP ownership of all code and product assets verified via contractor IP assignment agreements</w:t>
      </w:r>
    </w:p>
    <w:p>
      <w:pPr>
        <w:pStyle w:val="ListParagraph"/>
        <w:numPr>
          <w:ilvl w:val="0"/>
          <w:numId w:val="2"/>
        </w:numPr>
        <w:spacing w:after="40" w:before="40"/>
      </w:pPr>
      <w:r>
        <w:rPr>
          <w:rFonts w:ascii="Arial" w:cs="Arial" w:eastAsia="Arial" w:hAnsi="Arial"/>
          <w:color w:val="374151"/>
          <w:sz w:val="20"/>
          <w:szCs w:val="20"/>
        </w:rPr>
        <w:t xml:space="preserve">Trademark search completed for product name, tagline, and logo</w:t>
      </w:r>
    </w:p>
    <w:p>
      <w:pPr>
        <w:pStyle w:val="ListParagraph"/>
        <w:numPr>
          <w:ilvl w:val="0"/>
          <w:numId w:val="2"/>
        </w:numPr>
        <w:spacing w:after="40" w:before="40"/>
      </w:pPr>
      <w:r>
        <w:rPr>
          <w:rFonts w:ascii="Arial" w:cs="Arial" w:eastAsia="Arial" w:hAnsi="Arial"/>
          <w:color w:val="374151"/>
          <w:sz w:val="20"/>
          <w:szCs w:val="20"/>
        </w:rPr>
        <w:t xml:space="preserve">Insurance coverage reviewed: E&amp;O (errors &amp; omissions) and cyber liability</w:t>
      </w:r>
    </w:p>
    <w:p>
      <w:r>
        <w:t xml:space="preserve"/>
      </w:r>
    </w:p>
    <w:p>
      <w:pPr>
        <w:pStyle w:val="Heading3"/>
        <w:spacing w:after="80" w:before="240"/>
      </w:pPr>
      <w:r>
        <w:rPr>
          <w:rFonts w:ascii="Arial" w:cs="Arial" w:eastAsia="Arial" w:hAnsi="Arial"/>
          <w:b/>
          <w:bCs/>
          <w:color w:val="3B82F6"/>
          <w:sz w:val="24"/>
          <w:szCs w:val="24"/>
        </w:rPr>
        <w:t xml:space="preserve">8.3 Vendor &amp; Third-Party Risk</w:t>
      </w:r>
    </w:p>
    <w:p>
      <w:pPr>
        <w:pStyle w:val="ListParagraph"/>
        <w:numPr>
          <w:ilvl w:val="0"/>
          <w:numId w:val="2"/>
        </w:numPr>
        <w:spacing w:after="40" w:before="40"/>
      </w:pPr>
      <w:r>
        <w:rPr>
          <w:rFonts w:ascii="Arial" w:cs="Arial" w:eastAsia="Arial" w:hAnsi="Arial"/>
          <w:color w:val="374151"/>
          <w:sz w:val="20"/>
          <w:szCs w:val="20"/>
        </w:rPr>
        <w:t xml:space="preserve">All third-party SaaS tools in the stack evaluated for security and compliance posture</w:t>
      </w:r>
    </w:p>
    <w:p>
      <w:pPr>
        <w:pStyle w:val="ListParagraph"/>
        <w:numPr>
          <w:ilvl w:val="0"/>
          <w:numId w:val="2"/>
        </w:numPr>
        <w:spacing w:after="40" w:before="40"/>
      </w:pPr>
      <w:r>
        <w:rPr>
          <w:rFonts w:ascii="Arial" w:cs="Arial" w:eastAsia="Arial" w:hAnsi="Arial"/>
          <w:color w:val="374151"/>
          <w:sz w:val="20"/>
          <w:szCs w:val="20"/>
        </w:rPr>
        <w:t xml:space="preserve">DPAs signed with all vendors who process personal data on your behalf</w:t>
      </w:r>
    </w:p>
    <w:p>
      <w:pPr>
        <w:pStyle w:val="ListParagraph"/>
        <w:numPr>
          <w:ilvl w:val="0"/>
          <w:numId w:val="2"/>
        </w:numPr>
        <w:spacing w:after="40" w:before="40"/>
      </w:pPr>
      <w:r>
        <w:rPr>
          <w:rFonts w:ascii="Arial" w:cs="Arial" w:eastAsia="Arial" w:hAnsi="Arial"/>
          <w:color w:val="374151"/>
          <w:sz w:val="20"/>
          <w:szCs w:val="20"/>
        </w:rPr>
        <w:t xml:space="preserve">Single points of failure in the vendor stack identified with contingency plans documented</w:t>
      </w:r>
    </w:p>
    <w:p>
      <w:pPr>
        <w:pBdr>
          <w:bottom w:val="single" w:color="3B82F6" w:sz="4" w:space="1"/>
        </w:pBdr>
        <w:spacing w:after="160" w:before="160"/>
      </w:pPr>
    </w:p>
    <w:p>
      <w:r>
        <w:br w:type="page"/>
      </w:r>
    </w:p>
    <w:p>
      <w:pPr>
        <w:shd w:fill="1B3A6B" w:val="clear"/>
        <w:spacing w:after="80" w:before="0"/>
        <w:jc w:val="center"/>
      </w:pPr>
      <w:r>
        <w:rPr>
          <w:rFonts w:ascii="Arial" w:cs="Arial" w:eastAsia="Arial" w:hAnsi="Arial"/>
          <w:b/>
          <w:bCs/>
          <w:color w:val="FFFFFF"/>
          <w:sz w:val="32"/>
          <w:szCs w:val="32"/>
        </w:rPr>
        <w:t xml:space="preserve">PART 2: EXTENDED EVALUATION DOMAINS</w:t>
      </w:r>
    </w:p>
    <w:p>
      <w:r>
        <w:t xml:space="preserve"/>
      </w:r>
    </w:p>
    <w:p>
      <w:pPr>
        <w:pStyle w:val="Heading1"/>
        <w:spacing w:after="160" w:before="400"/>
      </w:pPr>
      <w:r>
        <w:rPr>
          <w:rFonts w:ascii="Arial" w:cs="Arial" w:eastAsia="Arial" w:hAnsi="Arial"/>
          <w:b/>
          <w:bCs/>
          <w:color w:val="1B3A6B"/>
          <w:sz w:val="36"/>
          <w:szCs w:val="36"/>
        </w:rPr>
        <w:t xml:space="preserve">9. Internationalization &amp; Localization (I18n / L10n)</w:t>
      </w:r>
    </w:p>
    <w:p>
      <w:pPr>
        <w:spacing w:after="60" w:before="60"/>
      </w:pPr>
      <w:r>
        <w:rPr>
          <w:rFonts w:ascii="Arial" w:cs="Arial" w:eastAsia="Arial" w:hAnsi="Arial"/>
          <w:color w:val="1F2937"/>
          <w:sz w:val="20"/>
          <w:szCs w:val="20"/>
        </w:rPr>
        <w:t xml:space="preserve">Internationalization is painful and expensive to retrofit into an existing codebase. If there is any global ambition in the product roadmap, these foundations must be evaluated and laid before launch.</w:t>
      </w:r>
    </w:p>
    <w:p>
      <w:r>
        <w:t xml:space="preserve"/>
      </w:r>
    </w:p>
    <w:p>
      <w:pPr>
        <w:pStyle w:val="ListParagraph"/>
        <w:numPr>
          <w:ilvl w:val="0"/>
          <w:numId w:val="2"/>
        </w:numPr>
        <w:spacing w:after="40" w:before="40"/>
      </w:pPr>
      <w:r>
        <w:rPr>
          <w:rFonts w:ascii="Arial" w:cs="Arial" w:eastAsia="Arial" w:hAnsi="Arial"/>
          <w:color w:val="374151"/>
          <w:sz w:val="20"/>
          <w:szCs w:val="20"/>
        </w:rPr>
        <w:t xml:space="preserve">Multi-language support architecture implemented (i18n framework; no hardcoded user-facing strings)</w:t>
      </w:r>
    </w:p>
    <w:p>
      <w:pPr>
        <w:pStyle w:val="ListParagraph"/>
        <w:numPr>
          <w:ilvl w:val="0"/>
          <w:numId w:val="2"/>
        </w:numPr>
        <w:spacing w:after="40" w:before="40"/>
      </w:pPr>
      <w:r>
        <w:rPr>
          <w:rFonts w:ascii="Arial" w:cs="Arial" w:eastAsia="Arial" w:hAnsi="Arial"/>
          <w:color w:val="374151"/>
          <w:sz w:val="20"/>
          <w:szCs w:val="20"/>
        </w:rPr>
        <w:t xml:space="preserve">Multi-currency billing, display, and rounding logic tested across target regions</w:t>
      </w:r>
    </w:p>
    <w:p>
      <w:pPr>
        <w:pStyle w:val="ListParagraph"/>
        <w:numPr>
          <w:ilvl w:val="0"/>
          <w:numId w:val="2"/>
        </w:numPr>
        <w:spacing w:after="40" w:before="40"/>
      </w:pPr>
      <w:r>
        <w:rPr>
          <w:rFonts w:ascii="Arial" w:cs="Arial" w:eastAsia="Arial" w:hAnsi="Arial"/>
          <w:color w:val="374151"/>
          <w:sz w:val="20"/>
          <w:szCs w:val="20"/>
        </w:rPr>
        <w:t xml:space="preserve">Timezone handling validated across all date/time logic — including scheduled jobs and reports</w:t>
      </w:r>
    </w:p>
    <w:p>
      <w:pPr>
        <w:pStyle w:val="ListParagraph"/>
        <w:numPr>
          <w:ilvl w:val="0"/>
          <w:numId w:val="2"/>
        </w:numPr>
        <w:spacing w:after="40" w:before="40"/>
      </w:pPr>
      <w:r>
        <w:rPr>
          <w:rFonts w:ascii="Arial" w:cs="Arial" w:eastAsia="Arial" w:hAnsi="Arial"/>
          <w:color w:val="374151"/>
          <w:sz w:val="20"/>
          <w:szCs w:val="20"/>
        </w:rPr>
        <w:t xml:space="preserve">Right-to-left (RTL) layout support assessed if Arabic, Hebrew, or Urdu markets are targeted</w:t>
      </w:r>
    </w:p>
    <w:p>
      <w:pPr>
        <w:pStyle w:val="ListParagraph"/>
        <w:numPr>
          <w:ilvl w:val="0"/>
          <w:numId w:val="2"/>
        </w:numPr>
        <w:spacing w:after="40" w:before="40"/>
      </w:pPr>
      <w:r>
        <w:rPr>
          <w:rFonts w:ascii="Arial" w:cs="Arial" w:eastAsia="Arial" w:hAnsi="Arial"/>
          <w:color w:val="374151"/>
          <w:sz w:val="20"/>
          <w:szCs w:val="20"/>
        </w:rPr>
        <w:t xml:space="preserve">Regional data residency requirements confirmed (e.g., EU data must remain in EU infrastructure)</w:t>
      </w:r>
    </w:p>
    <w:p>
      <w:pPr>
        <w:pStyle w:val="ListParagraph"/>
        <w:numPr>
          <w:ilvl w:val="0"/>
          <w:numId w:val="2"/>
        </w:numPr>
        <w:spacing w:after="40" w:before="40"/>
      </w:pPr>
      <w:r>
        <w:rPr>
          <w:rFonts w:ascii="Arial" w:cs="Arial" w:eastAsia="Arial" w:hAnsi="Arial"/>
          <w:color w:val="374151"/>
          <w:sz w:val="20"/>
          <w:szCs w:val="20"/>
        </w:rPr>
        <w:t xml:space="preserve">Local tax rules configured and tested: VAT (EU), GST (India, Australia), HST (Canada)</w:t>
      </w:r>
    </w:p>
    <w:p>
      <w:pPr>
        <w:pStyle w:val="ListParagraph"/>
        <w:numPr>
          <w:ilvl w:val="0"/>
          <w:numId w:val="2"/>
        </w:numPr>
        <w:spacing w:after="40" w:before="40"/>
      </w:pPr>
      <w:r>
        <w:rPr>
          <w:rFonts w:ascii="Arial" w:cs="Arial" w:eastAsia="Arial" w:hAnsi="Arial"/>
          <w:color w:val="374151"/>
          <w:sz w:val="20"/>
          <w:szCs w:val="20"/>
        </w:rPr>
        <w:t xml:space="preserve">Locale-specific number, date, and address formatting applied across the product UI</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10. Product-Led Growth (PLG) Mechanics</w:t>
      </w:r>
    </w:p>
    <w:p>
      <w:pPr>
        <w:spacing w:after="60" w:before="60"/>
      </w:pPr>
      <w:r>
        <w:rPr>
          <w:rFonts w:ascii="Arial" w:cs="Arial" w:eastAsia="Arial" w:hAnsi="Arial"/>
          <w:color w:val="1F2937"/>
          <w:sz w:val="20"/>
          <w:szCs w:val="20"/>
        </w:rPr>
        <w:t xml:space="preserve">If growth is self-serve, the growth loops must be designed into the product from the start. Viral mechanics and upgrade triggers bolted on after launch rarely achieve the same conversion performance.</w:t>
      </w:r>
    </w:p>
    <w:p>
      <w:r>
        <w:t xml:space="preserve"/>
      </w:r>
    </w:p>
    <w:p>
      <w:pPr>
        <w:pStyle w:val="ListParagraph"/>
        <w:numPr>
          <w:ilvl w:val="0"/>
          <w:numId w:val="2"/>
        </w:numPr>
        <w:spacing w:after="40" w:before="40"/>
      </w:pPr>
      <w:r>
        <w:rPr>
          <w:rFonts w:ascii="Arial" w:cs="Arial" w:eastAsia="Arial" w:hAnsi="Arial"/>
          <w:color w:val="374151"/>
          <w:sz w:val="20"/>
          <w:szCs w:val="20"/>
        </w:rPr>
        <w:t xml:space="preserve">Viral and sharing loops built into core product outputs (e.g., co-branding, shared reports, public links)</w:t>
      </w:r>
    </w:p>
    <w:p>
      <w:pPr>
        <w:pStyle w:val="ListParagraph"/>
        <w:numPr>
          <w:ilvl w:val="0"/>
          <w:numId w:val="2"/>
        </w:numPr>
        <w:spacing w:after="40" w:before="40"/>
      </w:pPr>
      <w:r>
        <w:rPr>
          <w:rFonts w:ascii="Arial" w:cs="Arial" w:eastAsia="Arial" w:hAnsi="Arial"/>
          <w:color w:val="374151"/>
          <w:sz w:val="20"/>
          <w:szCs w:val="20"/>
        </w:rPr>
        <w:t xml:space="preserve">Referral program mechanics designed, implemented, and attribution tracked accurately</w:t>
      </w:r>
    </w:p>
    <w:p>
      <w:pPr>
        <w:pStyle w:val="ListParagraph"/>
        <w:numPr>
          <w:ilvl w:val="0"/>
          <w:numId w:val="2"/>
        </w:numPr>
        <w:spacing w:after="40" w:before="40"/>
      </w:pPr>
      <w:r>
        <w:rPr>
          <w:rFonts w:ascii="Arial" w:cs="Arial" w:eastAsia="Arial" w:hAnsi="Arial"/>
          <w:color w:val="374151"/>
          <w:sz w:val="20"/>
          <w:szCs w:val="20"/>
        </w:rPr>
        <w:t xml:space="preserve">Freemium-to-paid conversion triggers and upgrade prompts implemented at natural friction points</w:t>
      </w:r>
    </w:p>
    <w:p>
      <w:pPr>
        <w:pStyle w:val="ListParagraph"/>
        <w:numPr>
          <w:ilvl w:val="0"/>
          <w:numId w:val="2"/>
        </w:numPr>
        <w:spacing w:after="40" w:before="40"/>
      </w:pPr>
      <w:r>
        <w:rPr>
          <w:rFonts w:ascii="Arial" w:cs="Arial" w:eastAsia="Arial" w:hAnsi="Arial"/>
          <w:color w:val="374151"/>
          <w:sz w:val="20"/>
          <w:szCs w:val="20"/>
        </w:rPr>
        <w:t xml:space="preserve">In-app expansion revenue signals active: usage limit warnings, seat count prompts, feature gates</w:t>
      </w:r>
    </w:p>
    <w:p>
      <w:pPr>
        <w:pStyle w:val="ListParagraph"/>
        <w:numPr>
          <w:ilvl w:val="0"/>
          <w:numId w:val="2"/>
        </w:numPr>
        <w:spacing w:after="40" w:before="40"/>
      </w:pPr>
      <w:r>
        <w:rPr>
          <w:rFonts w:ascii="Arial" w:cs="Arial" w:eastAsia="Arial" w:hAnsi="Arial"/>
          <w:color w:val="374151"/>
          <w:sz w:val="20"/>
          <w:szCs w:val="20"/>
        </w:rPr>
        <w:t xml:space="preserve">PQL (Product Qualified Lead) definition agreed upon and handoff to sales automated or documented</w:t>
      </w:r>
    </w:p>
    <w:p>
      <w:pPr>
        <w:pStyle w:val="ListParagraph"/>
        <w:numPr>
          <w:ilvl w:val="0"/>
          <w:numId w:val="2"/>
        </w:numPr>
        <w:spacing w:after="40" w:before="40"/>
      </w:pPr>
      <w:r>
        <w:rPr>
          <w:rFonts w:ascii="Arial" w:cs="Arial" w:eastAsia="Arial" w:hAnsi="Arial"/>
          <w:color w:val="374151"/>
          <w:sz w:val="20"/>
          <w:szCs w:val="20"/>
        </w:rPr>
        <w:t xml:space="preserve">Self-serve upgrade flow tested end-to-end without requiring human intervention</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11. Team &amp; Organizational Readiness</w:t>
      </w:r>
    </w:p>
    <w:p>
      <w:pPr>
        <w:spacing w:after="60" w:before="60"/>
      </w:pPr>
      <w:r>
        <w:rPr>
          <w:rFonts w:ascii="Arial" w:cs="Arial" w:eastAsia="Arial" w:hAnsi="Arial"/>
          <w:color w:val="1F2937"/>
          <w:sz w:val="20"/>
          <w:szCs w:val="20"/>
        </w:rPr>
        <w:t xml:space="preserve">Technical readiness means nothing if the humans supporting the product are not prepared. Organizational readiness is the most commonly overlooked category in pre-launch checklists.</w:t>
      </w:r>
    </w:p>
    <w:p>
      <w:r>
        <w:t xml:space="preserve"/>
      </w:r>
    </w:p>
    <w:p>
      <w:pPr>
        <w:pStyle w:val="ListParagraph"/>
        <w:numPr>
          <w:ilvl w:val="0"/>
          <w:numId w:val="2"/>
        </w:numPr>
        <w:spacing w:after="40" w:before="40"/>
      </w:pPr>
      <w:r>
        <w:rPr>
          <w:rFonts w:ascii="Arial" w:cs="Arial" w:eastAsia="Arial" w:hAnsi="Arial"/>
          <w:color w:val="374151"/>
          <w:sz w:val="20"/>
          <w:szCs w:val="20"/>
        </w:rPr>
        <w:t xml:space="preserve">All key launch-day roles are filled: sales, CS, DevOps on-call, and executive escalation path</w:t>
      </w:r>
    </w:p>
    <w:p>
      <w:pPr>
        <w:pStyle w:val="ListParagraph"/>
        <w:numPr>
          <w:ilvl w:val="0"/>
          <w:numId w:val="2"/>
        </w:numPr>
        <w:spacing w:after="40" w:before="40"/>
      </w:pPr>
      <w:r>
        <w:rPr>
          <w:rFonts w:ascii="Arial" w:cs="Arial" w:eastAsia="Arial" w:hAnsi="Arial"/>
          <w:color w:val="374151"/>
          <w:sz w:val="20"/>
          <w:szCs w:val="20"/>
        </w:rPr>
        <w:t xml:space="preserve">Support team has completed product training and can resolve the top 20 anticipated issues</w:t>
      </w:r>
    </w:p>
    <w:p>
      <w:pPr>
        <w:pStyle w:val="ListParagraph"/>
        <w:numPr>
          <w:ilvl w:val="0"/>
          <w:numId w:val="2"/>
        </w:numPr>
        <w:spacing w:after="40" w:before="40"/>
      </w:pPr>
      <w:r>
        <w:rPr>
          <w:rFonts w:ascii="Arial" w:cs="Arial" w:eastAsia="Arial" w:hAnsi="Arial"/>
          <w:color w:val="374151"/>
          <w:sz w:val="20"/>
          <w:szCs w:val="20"/>
        </w:rPr>
        <w:t xml:space="preserve">Documented escalation path exists for production incidents spanning support through engineering</w:t>
      </w:r>
    </w:p>
    <w:p>
      <w:pPr>
        <w:pStyle w:val="ListParagraph"/>
        <w:numPr>
          <w:ilvl w:val="0"/>
          <w:numId w:val="2"/>
        </w:numPr>
        <w:spacing w:after="40" w:before="40"/>
      </w:pPr>
      <w:r>
        <w:rPr>
          <w:rFonts w:ascii="Arial" w:cs="Arial" w:eastAsia="Arial" w:hAnsi="Arial"/>
          <w:color w:val="374151"/>
          <w:sz w:val="20"/>
          <w:szCs w:val="20"/>
        </w:rPr>
        <w:t xml:space="preserve">Founder and leadership bandwidth assessed — can the team handle a traffic spike while shipping fixes?</w:t>
      </w:r>
    </w:p>
    <w:p>
      <w:pPr>
        <w:pStyle w:val="ListParagraph"/>
        <w:numPr>
          <w:ilvl w:val="0"/>
          <w:numId w:val="2"/>
        </w:numPr>
        <w:spacing w:after="40" w:before="40"/>
      </w:pPr>
      <w:r>
        <w:rPr>
          <w:rFonts w:ascii="Arial" w:cs="Arial" w:eastAsia="Arial" w:hAnsi="Arial"/>
          <w:color w:val="374151"/>
          <w:sz w:val="20"/>
          <w:szCs w:val="20"/>
        </w:rPr>
        <w:t xml:space="preserve">All contractor and freelancer IP assignment agreements signed and on file</w:t>
      </w:r>
    </w:p>
    <w:p>
      <w:pPr>
        <w:pStyle w:val="ListParagraph"/>
        <w:numPr>
          <w:ilvl w:val="0"/>
          <w:numId w:val="2"/>
        </w:numPr>
        <w:spacing w:after="40" w:before="40"/>
      </w:pPr>
      <w:r>
        <w:rPr>
          <w:rFonts w:ascii="Arial" w:cs="Arial" w:eastAsia="Arial" w:hAnsi="Arial"/>
          <w:color w:val="374151"/>
          <w:sz w:val="20"/>
          <w:szCs w:val="20"/>
        </w:rPr>
        <w:t xml:space="preserve">Key-person dependency risks identified with documented knowledge transfer for each</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12. AI / ML-Specific Evaluation</w:t>
      </w:r>
    </w:p>
    <w:p>
      <w:pPr>
        <w:spacing w:after="60" w:before="60"/>
      </w:pPr>
      <w:r>
        <w:rPr>
          <w:rFonts w:ascii="Arial" w:cs="Arial" w:eastAsia="Arial" w:hAnsi="Arial"/>
          <w:color w:val="1F2937"/>
          <w:sz w:val="20"/>
          <w:szCs w:val="20"/>
        </w:rPr>
        <w:t xml:space="preserve">For AI-powered SaaS products, a dedicated evaluation layer is required beyond standard software QA. AI systems introduce unique risks around accuracy, bias, cost, and regulatory exposure that are distinct from conventional software.</w:t>
      </w:r>
    </w:p>
    <w:p>
      <w:r>
        <w:t xml:space="preserve"/>
      </w:r>
    </w:p>
    <w:p>
      <w:pPr>
        <w:pStyle w:val="Heading3"/>
        <w:spacing w:after="80" w:before="240"/>
      </w:pPr>
      <w:r>
        <w:rPr>
          <w:rFonts w:ascii="Arial" w:cs="Arial" w:eastAsia="Arial" w:hAnsi="Arial"/>
          <w:b/>
          <w:bCs/>
          <w:color w:val="3B82F6"/>
          <w:sz w:val="24"/>
          <w:szCs w:val="24"/>
        </w:rPr>
        <w:t xml:space="preserve">12.1 Model Quality &amp; Safety</w:t>
      </w:r>
    </w:p>
    <w:p>
      <w:pPr>
        <w:pStyle w:val="ListParagraph"/>
        <w:numPr>
          <w:ilvl w:val="0"/>
          <w:numId w:val="2"/>
        </w:numPr>
        <w:spacing w:after="40" w:before="40"/>
      </w:pPr>
      <w:r>
        <w:rPr>
          <w:rFonts w:ascii="Arial" w:cs="Arial" w:eastAsia="Arial" w:hAnsi="Arial"/>
          <w:color w:val="374151"/>
          <w:sz w:val="20"/>
          <w:szCs w:val="20"/>
        </w:rPr>
        <w:t xml:space="preserve">Model accuracy, hallucination rate, and confidence thresholds benchmarked on representative inputs</w:t>
      </w:r>
    </w:p>
    <w:p>
      <w:pPr>
        <w:pStyle w:val="ListParagraph"/>
        <w:numPr>
          <w:ilvl w:val="0"/>
          <w:numId w:val="2"/>
        </w:numPr>
        <w:spacing w:after="40" w:before="40"/>
      </w:pPr>
      <w:r>
        <w:rPr>
          <w:rFonts w:ascii="Arial" w:cs="Arial" w:eastAsia="Arial" w:hAnsi="Arial"/>
          <w:color w:val="374151"/>
          <w:sz w:val="20"/>
          <w:szCs w:val="20"/>
        </w:rPr>
        <w:t xml:space="preserve">Bias and fairness audits conducted across demographic and use-case segments</w:t>
      </w:r>
    </w:p>
    <w:p>
      <w:pPr>
        <w:pStyle w:val="ListParagraph"/>
        <w:numPr>
          <w:ilvl w:val="0"/>
          <w:numId w:val="2"/>
        </w:numPr>
        <w:spacing w:after="40" w:before="40"/>
      </w:pPr>
      <w:r>
        <w:rPr>
          <w:rFonts w:ascii="Arial" w:cs="Arial" w:eastAsia="Arial" w:hAnsi="Arial"/>
          <w:color w:val="374151"/>
          <w:sz w:val="20"/>
          <w:szCs w:val="20"/>
        </w:rPr>
        <w:t xml:space="preserve">Explainability requirements assessed — can decisions be explained to users or regulators if required?</w:t>
      </w:r>
    </w:p>
    <w:p>
      <w:pPr>
        <w:pStyle w:val="ListParagraph"/>
        <w:numPr>
          <w:ilvl w:val="0"/>
          <w:numId w:val="2"/>
        </w:numPr>
        <w:spacing w:after="40" w:before="40"/>
      </w:pPr>
      <w:r>
        <w:rPr>
          <w:rFonts w:ascii="Arial" w:cs="Arial" w:eastAsia="Arial" w:hAnsi="Arial"/>
          <w:color w:val="374151"/>
          <w:sz w:val="20"/>
          <w:szCs w:val="20"/>
        </w:rPr>
        <w:t xml:space="preserve">AI ethics policy drafted and published; responsible AI use statement prepared</w:t>
      </w:r>
    </w:p>
    <w:p>
      <w:r>
        <w:t xml:space="preserve"/>
      </w:r>
    </w:p>
    <w:p>
      <w:pPr>
        <w:pStyle w:val="Heading3"/>
        <w:spacing w:after="80" w:before="240"/>
      </w:pPr>
      <w:r>
        <w:rPr>
          <w:rFonts w:ascii="Arial" w:cs="Arial" w:eastAsia="Arial" w:hAnsi="Arial"/>
          <w:b/>
          <w:bCs/>
          <w:color w:val="3B82F6"/>
          <w:sz w:val="24"/>
          <w:szCs w:val="24"/>
        </w:rPr>
        <w:t xml:space="preserve">12.2 Security &amp; Adversarial Testing</w:t>
      </w:r>
    </w:p>
    <w:p>
      <w:pPr>
        <w:pStyle w:val="ListParagraph"/>
        <w:numPr>
          <w:ilvl w:val="0"/>
          <w:numId w:val="2"/>
        </w:numPr>
        <w:spacing w:after="40" w:before="40"/>
      </w:pPr>
      <w:r>
        <w:rPr>
          <w:rFonts w:ascii="Arial" w:cs="Arial" w:eastAsia="Arial" w:hAnsi="Arial"/>
          <w:color w:val="374151"/>
          <w:sz w:val="20"/>
          <w:szCs w:val="20"/>
        </w:rPr>
        <w:t xml:space="preserve">Prompt injection and adversarial input testing completed across all user-facing AI surfaces</w:t>
      </w:r>
    </w:p>
    <w:p>
      <w:pPr>
        <w:pStyle w:val="ListParagraph"/>
        <w:numPr>
          <w:ilvl w:val="0"/>
          <w:numId w:val="2"/>
        </w:numPr>
        <w:spacing w:after="40" w:before="40"/>
      </w:pPr>
      <w:r>
        <w:rPr>
          <w:rFonts w:ascii="Arial" w:cs="Arial" w:eastAsia="Arial" w:hAnsi="Arial"/>
          <w:color w:val="374151"/>
          <w:sz w:val="20"/>
          <w:szCs w:val="20"/>
        </w:rPr>
        <w:t xml:space="preserve">Model output filtering and guardrails validated against defined safety thresholds</w:t>
      </w:r>
    </w:p>
    <w:p>
      <w:pPr>
        <w:pStyle w:val="ListParagraph"/>
        <w:numPr>
          <w:ilvl w:val="0"/>
          <w:numId w:val="2"/>
        </w:numPr>
        <w:spacing w:after="40" w:before="40"/>
      </w:pPr>
      <w:r>
        <w:rPr>
          <w:rFonts w:ascii="Arial" w:cs="Arial" w:eastAsia="Arial" w:hAnsi="Arial"/>
          <w:color w:val="374151"/>
          <w:sz w:val="20"/>
          <w:szCs w:val="20"/>
        </w:rPr>
        <w:t xml:space="preserve">Input sanitization implemented to prevent jailbreaking or policy circumvention</w:t>
      </w:r>
    </w:p>
    <w:p>
      <w:r>
        <w:t xml:space="preserve"/>
      </w:r>
    </w:p>
    <w:p>
      <w:pPr>
        <w:pStyle w:val="Heading3"/>
        <w:spacing w:after="80" w:before="240"/>
      </w:pPr>
      <w:r>
        <w:rPr>
          <w:rFonts w:ascii="Arial" w:cs="Arial" w:eastAsia="Arial" w:hAnsi="Arial"/>
          <w:b/>
          <w:bCs/>
          <w:color w:val="3B82F6"/>
          <w:sz w:val="24"/>
          <w:szCs w:val="24"/>
        </w:rPr>
        <w:t xml:space="preserve">12.3 Operations &amp; Economics</w:t>
      </w:r>
    </w:p>
    <w:p>
      <w:pPr>
        <w:pStyle w:val="ListParagraph"/>
        <w:numPr>
          <w:ilvl w:val="0"/>
          <w:numId w:val="2"/>
        </w:numPr>
        <w:spacing w:after="40" w:before="40"/>
      </w:pPr>
      <w:r>
        <w:rPr>
          <w:rFonts w:ascii="Arial" w:cs="Arial" w:eastAsia="Arial" w:hAnsi="Arial"/>
          <w:color w:val="374151"/>
          <w:sz w:val="20"/>
          <w:szCs w:val="20"/>
        </w:rPr>
        <w:t xml:space="preserve">Model versioning strategy defined with rollback capability tested</w:t>
      </w:r>
    </w:p>
    <w:p>
      <w:pPr>
        <w:pStyle w:val="ListParagraph"/>
        <w:numPr>
          <w:ilvl w:val="0"/>
          <w:numId w:val="2"/>
        </w:numPr>
        <w:spacing w:after="40" w:before="40"/>
      </w:pPr>
      <w:r>
        <w:rPr>
          <w:rFonts w:ascii="Arial" w:cs="Arial" w:eastAsia="Arial" w:hAnsi="Arial"/>
          <w:color w:val="374151"/>
          <w:sz w:val="20"/>
          <w:szCs w:val="20"/>
        </w:rPr>
        <w:t xml:space="preserve">Inference cost per user modeled and incorporated into unit economics calculations</w:t>
      </w:r>
    </w:p>
    <w:p>
      <w:pPr>
        <w:pStyle w:val="ListParagraph"/>
        <w:numPr>
          <w:ilvl w:val="0"/>
          <w:numId w:val="2"/>
        </w:numPr>
        <w:spacing w:after="40" w:before="40"/>
      </w:pPr>
      <w:r>
        <w:rPr>
          <w:rFonts w:ascii="Arial" w:cs="Arial" w:eastAsia="Arial" w:hAnsi="Arial"/>
          <w:color w:val="374151"/>
          <w:sz w:val="20"/>
          <w:szCs w:val="20"/>
        </w:rPr>
        <w:t xml:space="preserve">Training data lineage documented and data rights verified for commercial use</w:t>
      </w:r>
    </w:p>
    <w:p>
      <w:pPr>
        <w:pStyle w:val="ListParagraph"/>
        <w:numPr>
          <w:ilvl w:val="0"/>
          <w:numId w:val="2"/>
        </w:numPr>
        <w:spacing w:after="40" w:before="40"/>
      </w:pPr>
      <w:r>
        <w:rPr>
          <w:rFonts w:ascii="Arial" w:cs="Arial" w:eastAsia="Arial" w:hAnsi="Arial"/>
          <w:color w:val="374151"/>
          <w:sz w:val="20"/>
          <w:szCs w:val="20"/>
        </w:rPr>
        <w:t xml:space="preserve">Model monitoring in place: accuracy drift, latency degradation, and cost anomaly alerts</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13. Brand &amp; Design System Readiness</w:t>
      </w:r>
    </w:p>
    <w:p>
      <w:pPr>
        <w:spacing w:after="60" w:before="60"/>
      </w:pPr>
      <w:r>
        <w:rPr>
          <w:rFonts w:ascii="Arial" w:cs="Arial" w:eastAsia="Arial" w:hAnsi="Arial"/>
          <w:color w:val="1F2937"/>
          <w:sz w:val="20"/>
          <w:szCs w:val="20"/>
        </w:rPr>
        <w:t xml:space="preserve">Inconsistency across product, marketing, and communications surfaces erodes perceived quality and trust. A coherent design system must be in place before customers form their first impressions.</w:t>
      </w:r>
    </w:p>
    <w:p>
      <w:r>
        <w:t xml:space="preserve"/>
      </w:r>
    </w:p>
    <w:p>
      <w:pPr>
        <w:pStyle w:val="ListParagraph"/>
        <w:numPr>
          <w:ilvl w:val="0"/>
          <w:numId w:val="2"/>
        </w:numPr>
        <w:spacing w:after="40" w:before="40"/>
      </w:pPr>
      <w:r>
        <w:rPr>
          <w:rFonts w:ascii="Arial" w:cs="Arial" w:eastAsia="Arial" w:hAnsi="Arial"/>
          <w:color w:val="374151"/>
          <w:sz w:val="20"/>
          <w:szCs w:val="20"/>
        </w:rPr>
        <w:t xml:space="preserve">Brand identity finalized and documented: logo, color palette, typography, and tone of voice guide</w:t>
      </w:r>
    </w:p>
    <w:p>
      <w:pPr>
        <w:pStyle w:val="ListParagraph"/>
        <w:numPr>
          <w:ilvl w:val="0"/>
          <w:numId w:val="2"/>
        </w:numPr>
        <w:spacing w:after="40" w:before="40"/>
      </w:pPr>
      <w:r>
        <w:rPr>
          <w:rFonts w:ascii="Arial" w:cs="Arial" w:eastAsia="Arial" w:hAnsi="Arial"/>
          <w:color w:val="374151"/>
          <w:sz w:val="20"/>
          <w:szCs w:val="20"/>
        </w:rPr>
        <w:t xml:space="preserve">Design system or component library documented and adopted across all engineering teams</w:t>
      </w:r>
    </w:p>
    <w:p>
      <w:pPr>
        <w:pStyle w:val="ListParagraph"/>
        <w:numPr>
          <w:ilvl w:val="0"/>
          <w:numId w:val="2"/>
        </w:numPr>
        <w:spacing w:after="40" w:before="40"/>
      </w:pPr>
      <w:r>
        <w:rPr>
          <w:rFonts w:ascii="Arial" w:cs="Arial" w:eastAsia="Arial" w:hAnsi="Arial"/>
          <w:color w:val="374151"/>
          <w:sz w:val="20"/>
          <w:szCs w:val="20"/>
        </w:rPr>
        <w:t xml:space="preserve">Consistent UI language applied across product, marketing site, transactional emails, and documentation</w:t>
      </w:r>
    </w:p>
    <w:p>
      <w:pPr>
        <w:pStyle w:val="ListParagraph"/>
        <w:numPr>
          <w:ilvl w:val="0"/>
          <w:numId w:val="2"/>
        </w:numPr>
        <w:spacing w:after="40" w:before="40"/>
      </w:pPr>
      <w:r>
        <w:rPr>
          <w:rFonts w:ascii="Arial" w:cs="Arial" w:eastAsia="Arial" w:hAnsi="Arial"/>
          <w:color w:val="374151"/>
          <w:sz w:val="20"/>
          <w:szCs w:val="20"/>
        </w:rPr>
        <w:t xml:space="preserve">Social media profiles claimed, branded, and consistently named across all target platforms</w:t>
      </w:r>
    </w:p>
    <w:p>
      <w:pPr>
        <w:pStyle w:val="ListParagraph"/>
        <w:numPr>
          <w:ilvl w:val="0"/>
          <w:numId w:val="2"/>
        </w:numPr>
        <w:spacing w:after="40" w:before="40"/>
      </w:pPr>
      <w:r>
        <w:rPr>
          <w:rFonts w:ascii="Arial" w:cs="Arial" w:eastAsia="Arial" w:hAnsi="Arial"/>
          <w:color w:val="374151"/>
          <w:sz w:val="20"/>
          <w:szCs w:val="20"/>
        </w:rPr>
        <w:t xml:space="preserve">App store listings complete (if applicable): screenshots, keyword-optimized descriptions, preview video</w:t>
      </w:r>
    </w:p>
    <w:p>
      <w:pPr>
        <w:pStyle w:val="ListParagraph"/>
        <w:numPr>
          <w:ilvl w:val="0"/>
          <w:numId w:val="2"/>
        </w:numPr>
        <w:spacing w:after="40" w:before="40"/>
      </w:pPr>
      <w:r>
        <w:rPr>
          <w:rFonts w:ascii="Arial" w:cs="Arial" w:eastAsia="Arial" w:hAnsi="Arial"/>
          <w:color w:val="374151"/>
          <w:sz w:val="20"/>
          <w:szCs w:val="20"/>
        </w:rPr>
        <w:t xml:space="preserve">Brand guidelines shared with all external vendors, agencies, or contractors producing content</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14. SEO &amp; Organic Discovery Readiness</w:t>
      </w:r>
    </w:p>
    <w:p>
      <w:pPr>
        <w:spacing w:after="60" w:before="60"/>
      </w:pPr>
      <w:r>
        <w:rPr>
          <w:rFonts w:ascii="Arial" w:cs="Arial" w:eastAsia="Arial" w:hAnsi="Arial"/>
          <w:color w:val="1F2937"/>
          <w:sz w:val="20"/>
          <w:szCs w:val="20"/>
        </w:rPr>
        <w:t xml:space="preserve">Organic traffic takes months to compound. SEO foundations must be set before launch — not treated as a post-launch optimization project. Every week of delay is a week of compounding lost.</w:t>
      </w:r>
    </w:p>
    <w:p>
      <w:r>
        <w:t xml:space="preserve"/>
      </w:r>
    </w:p>
    <w:p>
      <w:pPr>
        <w:pStyle w:val="ListParagraph"/>
        <w:numPr>
          <w:ilvl w:val="0"/>
          <w:numId w:val="2"/>
        </w:numPr>
        <w:spacing w:after="40" w:before="40"/>
      </w:pPr>
      <w:r>
        <w:rPr>
          <w:rFonts w:ascii="Arial" w:cs="Arial" w:eastAsia="Arial" w:hAnsi="Arial"/>
          <w:color w:val="374151"/>
          <w:sz w:val="20"/>
          <w:szCs w:val="20"/>
        </w:rPr>
        <w:t xml:space="preserve">Core Web Vitals passing: LCP, CLS, and INP verified via Google Search Console and PageSpeed Insights</w:t>
      </w:r>
    </w:p>
    <w:p>
      <w:pPr>
        <w:pStyle w:val="ListParagraph"/>
        <w:numPr>
          <w:ilvl w:val="0"/>
          <w:numId w:val="2"/>
        </w:numPr>
        <w:spacing w:after="40" w:before="40"/>
      </w:pPr>
      <w:r>
        <w:rPr>
          <w:rFonts w:ascii="Arial" w:cs="Arial" w:eastAsia="Arial" w:hAnsi="Arial"/>
          <w:color w:val="374151"/>
          <w:sz w:val="20"/>
          <w:szCs w:val="20"/>
        </w:rPr>
        <w:t xml:space="preserve">Technical SEO complete: XML sitemap submitted, robots.txt configured, canonical tags in place</w:t>
      </w:r>
    </w:p>
    <w:p>
      <w:pPr>
        <w:pStyle w:val="ListParagraph"/>
        <w:numPr>
          <w:ilvl w:val="0"/>
          <w:numId w:val="2"/>
        </w:numPr>
        <w:spacing w:after="40" w:before="40"/>
      </w:pPr>
      <w:r>
        <w:rPr>
          <w:rFonts w:ascii="Arial" w:cs="Arial" w:eastAsia="Arial" w:hAnsi="Arial"/>
          <w:color w:val="374151"/>
          <w:sz w:val="20"/>
          <w:szCs w:val="20"/>
        </w:rPr>
        <w:t xml:space="preserve">Structured data (JSON-LD) implemented for organization, software application, and FAQ schemas</w:t>
      </w:r>
    </w:p>
    <w:p>
      <w:pPr>
        <w:pStyle w:val="ListParagraph"/>
        <w:numPr>
          <w:ilvl w:val="0"/>
          <w:numId w:val="2"/>
        </w:numPr>
        <w:spacing w:after="40" w:before="40"/>
      </w:pPr>
      <w:r>
        <w:rPr>
          <w:rFonts w:ascii="Arial" w:cs="Arial" w:eastAsia="Arial" w:hAnsi="Arial"/>
          <w:color w:val="374151"/>
          <w:sz w:val="20"/>
          <w:szCs w:val="20"/>
        </w:rPr>
        <w:t xml:space="preserve">Meta titles, meta descriptions, and OG tags optimized and present on all public pages</w:t>
      </w:r>
    </w:p>
    <w:p>
      <w:pPr>
        <w:pStyle w:val="ListParagraph"/>
        <w:numPr>
          <w:ilvl w:val="0"/>
          <w:numId w:val="2"/>
        </w:numPr>
        <w:spacing w:after="40" w:before="40"/>
      </w:pPr>
      <w:r>
        <w:rPr>
          <w:rFonts w:ascii="Arial" w:cs="Arial" w:eastAsia="Arial" w:hAnsi="Arial"/>
          <w:color w:val="374151"/>
          <w:sz w:val="20"/>
          <w:szCs w:val="20"/>
        </w:rPr>
        <w:t xml:space="preserve">Content hub or blog seeded with 3–5 foundational articles before launch day</w:t>
      </w:r>
    </w:p>
    <w:p>
      <w:pPr>
        <w:pStyle w:val="ListParagraph"/>
        <w:numPr>
          <w:ilvl w:val="0"/>
          <w:numId w:val="2"/>
        </w:numPr>
        <w:spacing w:after="40" w:before="40"/>
      </w:pPr>
      <w:r>
        <w:rPr>
          <w:rFonts w:ascii="Arial" w:cs="Arial" w:eastAsia="Arial" w:hAnsi="Arial"/>
          <w:color w:val="374151"/>
          <w:sz w:val="20"/>
          <w:szCs w:val="20"/>
        </w:rPr>
        <w:t xml:space="preserve">Backlink acquisition strategy initiated: partnerships, PR, and directory submissions started</w:t>
      </w:r>
    </w:p>
    <w:p>
      <w:pPr>
        <w:pStyle w:val="ListParagraph"/>
        <w:numPr>
          <w:ilvl w:val="0"/>
          <w:numId w:val="2"/>
        </w:numPr>
        <w:spacing w:after="40" w:before="40"/>
      </w:pPr>
      <w:r>
        <w:rPr>
          <w:rFonts w:ascii="Arial" w:cs="Arial" w:eastAsia="Arial" w:hAnsi="Arial"/>
          <w:color w:val="374151"/>
          <w:sz w:val="20"/>
          <w:szCs w:val="20"/>
        </w:rPr>
        <w:t xml:space="preserve">301 redirect map verified if migrating from any previous domain or URL structure</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15. Multi-Tenancy &amp; Data Isolation Audit</w:t>
      </w:r>
    </w:p>
    <w:p>
      <w:pPr>
        <w:spacing w:after="60" w:before="60"/>
      </w:pPr>
      <w:r>
        <w:rPr>
          <w:rFonts w:ascii="Arial" w:cs="Arial" w:eastAsia="Arial" w:hAnsi="Arial"/>
          <w:color w:val="1F2937"/>
          <w:sz w:val="20"/>
          <w:szCs w:val="20"/>
        </w:rPr>
        <w:t xml:space="preserve">For B2B SaaS, cross-tenant data leakage is one of the most catastrophic possible failures — both technically and legally. This must be explicitly verified, not assumed correct.</w:t>
      </w:r>
    </w:p>
    <w:p>
      <w:r>
        <w:t xml:space="preserve"/>
      </w:r>
    </w:p>
    <w:p>
      <w:pPr>
        <w:pStyle w:val="ListParagraph"/>
        <w:numPr>
          <w:ilvl w:val="0"/>
          <w:numId w:val="2"/>
        </w:numPr>
        <w:spacing w:after="40" w:before="40"/>
      </w:pPr>
      <w:r>
        <w:rPr>
          <w:rFonts w:ascii="Arial" w:cs="Arial" w:eastAsia="Arial" w:hAnsi="Arial"/>
          <w:color w:val="374151"/>
          <w:sz w:val="20"/>
          <w:szCs w:val="20"/>
        </w:rPr>
        <w:t xml:space="preserve">Tenant data isolation verified at database and API level — cross-tenant query leakage confirmed impossible</w:t>
      </w:r>
    </w:p>
    <w:p>
      <w:pPr>
        <w:pStyle w:val="ListParagraph"/>
        <w:numPr>
          <w:ilvl w:val="0"/>
          <w:numId w:val="2"/>
        </w:numPr>
        <w:spacing w:after="40" w:before="40"/>
      </w:pPr>
      <w:r>
        <w:rPr>
          <w:rFonts w:ascii="Arial" w:cs="Arial" w:eastAsia="Arial" w:hAnsi="Arial"/>
          <w:color w:val="374151"/>
          <w:sz w:val="20"/>
          <w:szCs w:val="20"/>
        </w:rPr>
        <w:t xml:space="preserve">Tenant-level configuration and customization options tested for isolation and override safety</w:t>
      </w:r>
    </w:p>
    <w:p>
      <w:pPr>
        <w:pStyle w:val="ListParagraph"/>
        <w:numPr>
          <w:ilvl w:val="0"/>
          <w:numId w:val="2"/>
        </w:numPr>
        <w:spacing w:after="40" w:before="40"/>
      </w:pPr>
      <w:r>
        <w:rPr>
          <w:rFonts w:ascii="Arial" w:cs="Arial" w:eastAsia="Arial" w:hAnsi="Arial"/>
          <w:color w:val="374151"/>
          <w:sz w:val="20"/>
          <w:szCs w:val="20"/>
        </w:rPr>
        <w:t xml:space="preserve">Admin and super-admin impersonation tools available for support use, with full audit logging</w:t>
      </w:r>
    </w:p>
    <w:p>
      <w:pPr>
        <w:pStyle w:val="ListParagraph"/>
        <w:numPr>
          <w:ilvl w:val="0"/>
          <w:numId w:val="2"/>
        </w:numPr>
        <w:spacing w:after="40" w:before="40"/>
      </w:pPr>
      <w:r>
        <w:rPr>
          <w:rFonts w:ascii="Arial" w:cs="Arial" w:eastAsia="Arial" w:hAnsi="Arial"/>
          <w:color w:val="374151"/>
          <w:sz w:val="20"/>
          <w:szCs w:val="20"/>
        </w:rPr>
        <w:t xml:space="preserve">Tenant offboarding fully implemented: data export in standard formats and verifiable deletion</w:t>
      </w:r>
    </w:p>
    <w:p>
      <w:pPr>
        <w:pStyle w:val="ListParagraph"/>
        <w:numPr>
          <w:ilvl w:val="0"/>
          <w:numId w:val="2"/>
        </w:numPr>
        <w:spacing w:after="40" w:before="40"/>
      </w:pPr>
      <w:r>
        <w:rPr>
          <w:rFonts w:ascii="Arial" w:cs="Arial" w:eastAsia="Arial" w:hAnsi="Arial"/>
          <w:color w:val="374151"/>
          <w:sz w:val="20"/>
          <w:szCs w:val="20"/>
        </w:rPr>
        <w:t xml:space="preserve">Tenant provisioning and de-provisioning automation tested end-to-end</w:t>
      </w:r>
    </w:p>
    <w:p>
      <w:pPr>
        <w:pStyle w:val="ListParagraph"/>
        <w:numPr>
          <w:ilvl w:val="0"/>
          <w:numId w:val="2"/>
        </w:numPr>
        <w:spacing w:after="40" w:before="40"/>
      </w:pPr>
      <w:r>
        <w:rPr>
          <w:rFonts w:ascii="Arial" w:cs="Arial" w:eastAsia="Arial" w:hAnsi="Arial"/>
          <w:color w:val="374151"/>
          <w:sz w:val="20"/>
          <w:szCs w:val="20"/>
        </w:rPr>
        <w:t xml:space="preserve">Row-level security (RLS) or equivalent database-level isolation verified and tested</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16. Financial Runway &amp; Unit Economics Validation</w:t>
      </w:r>
    </w:p>
    <w:p>
      <w:pPr>
        <w:spacing w:after="60" w:before="60"/>
      </w:pPr>
      <w:r>
        <w:rPr>
          <w:rFonts w:ascii="Arial" w:cs="Arial" w:eastAsia="Arial" w:hAnsi="Arial"/>
          <w:color w:val="1F2937"/>
          <w:sz w:val="20"/>
          <w:szCs w:val="20"/>
        </w:rPr>
        <w:t xml:space="preserve">Launching into a structurally unprofitable model — or running out of runway three months after launch — is avoidable with proper pre-launch financial modeling. These calculations must be done before the first dollar is spent on acquisition.</w:t>
      </w:r>
    </w:p>
    <w:p>
      <w:r>
        <w:t xml:space="preserve"/>
      </w:r>
    </w:p>
    <w:p>
      <w:pPr>
        <w:pStyle w:val="ListParagraph"/>
        <w:numPr>
          <w:ilvl w:val="0"/>
          <w:numId w:val="2"/>
        </w:numPr>
        <w:spacing w:after="40" w:before="40"/>
      </w:pPr>
      <w:r>
        <w:rPr>
          <w:rFonts w:ascii="Arial" w:cs="Arial" w:eastAsia="Arial" w:hAnsi="Arial"/>
          <w:color w:val="374151"/>
          <w:sz w:val="20"/>
          <w:szCs w:val="20"/>
        </w:rPr>
        <w:t xml:space="preserve">Post-launch burn rate modeled against realistic MRR growth projections with confidence intervals</w:t>
      </w:r>
    </w:p>
    <w:p>
      <w:pPr>
        <w:pStyle w:val="ListParagraph"/>
        <w:numPr>
          <w:ilvl w:val="0"/>
          <w:numId w:val="2"/>
        </w:numPr>
        <w:spacing w:after="40" w:before="40"/>
      </w:pPr>
      <w:r>
        <w:rPr>
          <w:rFonts w:ascii="Arial" w:cs="Arial" w:eastAsia="Arial" w:hAnsi="Arial"/>
          <w:color w:val="374151"/>
          <w:sz w:val="20"/>
          <w:szCs w:val="20"/>
        </w:rPr>
        <w:t xml:space="preserve">CAC estimated per acquisition channel with sensitivity analysis applied</w:t>
      </w:r>
    </w:p>
    <w:p>
      <w:pPr>
        <w:pStyle w:val="ListParagraph"/>
        <w:numPr>
          <w:ilvl w:val="0"/>
          <w:numId w:val="2"/>
        </w:numPr>
        <w:spacing w:after="40" w:before="40"/>
      </w:pPr>
      <w:r>
        <w:rPr>
          <w:rFonts w:ascii="Arial" w:cs="Arial" w:eastAsia="Arial" w:hAnsi="Arial"/>
          <w:color w:val="374151"/>
          <w:sz w:val="20"/>
          <w:szCs w:val="20"/>
        </w:rPr>
        <w:t xml:space="preserve">LTV:CAC ratio modeled with a target of &gt;3:1 and payback period &lt;18 months for venture-backed companies</w:t>
      </w:r>
    </w:p>
    <w:p>
      <w:pPr>
        <w:pStyle w:val="ListParagraph"/>
        <w:numPr>
          <w:ilvl w:val="0"/>
          <w:numId w:val="2"/>
        </w:numPr>
        <w:spacing w:after="40" w:before="40"/>
      </w:pPr>
      <w:r>
        <w:rPr>
          <w:rFonts w:ascii="Arial" w:cs="Arial" w:eastAsia="Arial" w:hAnsi="Arial"/>
          <w:color w:val="374151"/>
          <w:sz w:val="20"/>
          <w:szCs w:val="20"/>
        </w:rPr>
        <w:t xml:space="preserve">Break-even timeline calculated under base, optimistic, and pessimistic conversion scenarios</w:t>
      </w:r>
    </w:p>
    <w:p>
      <w:pPr>
        <w:pStyle w:val="ListParagraph"/>
        <w:numPr>
          <w:ilvl w:val="0"/>
          <w:numId w:val="2"/>
        </w:numPr>
        <w:spacing w:after="40" w:before="40"/>
      </w:pPr>
      <w:r>
        <w:rPr>
          <w:rFonts w:ascii="Arial" w:cs="Arial" w:eastAsia="Arial" w:hAnsi="Arial"/>
          <w:color w:val="374151"/>
          <w:sz w:val="20"/>
          <w:szCs w:val="20"/>
        </w:rPr>
        <w:t xml:space="preserve">Fundraising milestones or revenue targets tied explicitly to launch outcomes</w:t>
      </w:r>
    </w:p>
    <w:p>
      <w:pPr>
        <w:pStyle w:val="ListParagraph"/>
        <w:numPr>
          <w:ilvl w:val="0"/>
          <w:numId w:val="2"/>
        </w:numPr>
        <w:spacing w:after="40" w:before="40"/>
      </w:pPr>
      <w:r>
        <w:rPr>
          <w:rFonts w:ascii="Arial" w:cs="Arial" w:eastAsia="Arial" w:hAnsi="Arial"/>
          <w:color w:val="374151"/>
          <w:sz w:val="20"/>
          <w:szCs w:val="20"/>
        </w:rPr>
        <w:t xml:space="preserve">Pricing sensitivity modeled: what happens to unit economics if conversion is 50% of projection?</w:t>
      </w:r>
    </w:p>
    <w:p>
      <w:pPr>
        <w:pStyle w:val="ListParagraph"/>
        <w:numPr>
          <w:ilvl w:val="0"/>
          <w:numId w:val="2"/>
        </w:numPr>
        <w:spacing w:after="40" w:before="40"/>
      </w:pPr>
      <w:r>
        <w:rPr>
          <w:rFonts w:ascii="Arial" w:cs="Arial" w:eastAsia="Arial" w:hAnsi="Arial"/>
          <w:color w:val="374151"/>
          <w:sz w:val="20"/>
          <w:szCs w:val="20"/>
        </w:rPr>
        <w:t xml:space="preserve">COGS per customer modeled including infrastructure, third-party APIs, support, and AI inference costs</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17. Feedback &amp; Iteration Infrastructure</w:t>
      </w:r>
    </w:p>
    <w:p>
      <w:pPr>
        <w:spacing w:after="60" w:before="60"/>
      </w:pPr>
      <w:r>
        <w:rPr>
          <w:rFonts w:ascii="Arial" w:cs="Arial" w:eastAsia="Arial" w:hAnsi="Arial"/>
          <w:color w:val="1F2937"/>
          <w:sz w:val="20"/>
          <w:szCs w:val="20"/>
        </w:rPr>
        <w:t xml:space="preserve">The product that ships on launch day will not be the product customers need six weeks later. The infrastructure to collect, triage, and act on feedback must be operational before the first user logs in.</w:t>
      </w:r>
    </w:p>
    <w:p>
      <w:r>
        <w:t xml:space="preserve"/>
      </w:r>
    </w:p>
    <w:p>
      <w:pPr>
        <w:pStyle w:val="ListParagraph"/>
        <w:numPr>
          <w:ilvl w:val="0"/>
          <w:numId w:val="2"/>
        </w:numPr>
        <w:spacing w:after="40" w:before="40"/>
      </w:pPr>
      <w:r>
        <w:rPr>
          <w:rFonts w:ascii="Arial" w:cs="Arial" w:eastAsia="Arial" w:hAnsi="Arial"/>
          <w:color w:val="374151"/>
          <w:sz w:val="20"/>
          <w:szCs w:val="20"/>
        </w:rPr>
        <w:t xml:space="preserve">In-product feedback mechanism implemented: thumbs up/down, NPS widget, or contextual feedback prompts</w:t>
      </w:r>
    </w:p>
    <w:p>
      <w:pPr>
        <w:pStyle w:val="ListParagraph"/>
        <w:numPr>
          <w:ilvl w:val="0"/>
          <w:numId w:val="2"/>
        </w:numPr>
        <w:spacing w:after="40" w:before="40"/>
      </w:pPr>
      <w:r>
        <w:rPr>
          <w:rFonts w:ascii="Arial" w:cs="Arial" w:eastAsia="Arial" w:hAnsi="Arial"/>
          <w:color w:val="374151"/>
          <w:sz w:val="20"/>
          <w:szCs w:val="20"/>
        </w:rPr>
        <w:t xml:space="preserve">Feature request tracking system configured and linked from product UI (Canny, Linear, or Notion)</w:t>
      </w:r>
    </w:p>
    <w:p>
      <w:pPr>
        <w:pStyle w:val="ListParagraph"/>
        <w:numPr>
          <w:ilvl w:val="0"/>
          <w:numId w:val="2"/>
        </w:numPr>
        <w:spacing w:after="40" w:before="40"/>
      </w:pPr>
      <w:r>
        <w:rPr>
          <w:rFonts w:ascii="Arial" w:cs="Arial" w:eastAsia="Arial" w:hAnsi="Arial"/>
          <w:color w:val="374151"/>
          <w:sz w:val="20"/>
          <w:szCs w:val="20"/>
        </w:rPr>
        <w:t xml:space="preserve">Sprint cadence and release velocity defined for post-launch iteration cycle</w:t>
      </w:r>
    </w:p>
    <w:p>
      <w:pPr>
        <w:pStyle w:val="ListParagraph"/>
        <w:numPr>
          <w:ilvl w:val="0"/>
          <w:numId w:val="2"/>
        </w:numPr>
        <w:spacing w:after="40" w:before="40"/>
      </w:pPr>
      <w:r>
        <w:rPr>
          <w:rFonts w:ascii="Arial" w:cs="Arial" w:eastAsia="Arial" w:hAnsi="Arial"/>
          <w:color w:val="374151"/>
          <w:sz w:val="20"/>
          <w:szCs w:val="20"/>
        </w:rPr>
        <w:t xml:space="preserve">Bug reporting mechanism accessible from within the product UI for all user tiers</w:t>
      </w:r>
    </w:p>
    <w:p>
      <w:pPr>
        <w:pStyle w:val="ListParagraph"/>
        <w:numPr>
          <w:ilvl w:val="0"/>
          <w:numId w:val="2"/>
        </w:numPr>
        <w:spacing w:after="40" w:before="40"/>
      </w:pPr>
      <w:r>
        <w:rPr>
          <w:rFonts w:ascii="Arial" w:cs="Arial" w:eastAsia="Arial" w:hAnsi="Arial"/>
          <w:color w:val="374151"/>
          <w:sz w:val="20"/>
          <w:szCs w:val="20"/>
        </w:rPr>
        <w:t xml:space="preserve">Customer advisory board or design partner program established with at least 3–5 committed members</w:t>
      </w:r>
    </w:p>
    <w:p>
      <w:pPr>
        <w:pStyle w:val="ListParagraph"/>
        <w:numPr>
          <w:ilvl w:val="0"/>
          <w:numId w:val="2"/>
        </w:numPr>
        <w:spacing w:after="40" w:before="40"/>
      </w:pPr>
      <w:r>
        <w:rPr>
          <w:rFonts w:ascii="Arial" w:cs="Arial" w:eastAsia="Arial" w:hAnsi="Arial"/>
          <w:color w:val="374151"/>
          <w:sz w:val="20"/>
          <w:szCs w:val="20"/>
        </w:rPr>
        <w:t xml:space="preserve">Feedback triage process documented: who reviews, how often, and what escalation triggers exist</w:t>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18. Risk Register &amp; Launch Contingency Planning</w:t>
      </w:r>
    </w:p>
    <w:p>
      <w:pPr>
        <w:spacing w:after="60" w:before="60"/>
      </w:pPr>
      <w:r>
        <w:rPr>
          <w:rFonts w:ascii="Arial" w:cs="Arial" w:eastAsia="Arial" w:hAnsi="Arial"/>
          <w:color w:val="1F2937"/>
          <w:sz w:val="20"/>
          <w:szCs w:val="20"/>
        </w:rPr>
        <w:t xml:space="preserve">Most launch failures are predictable in advance. The teams that avoid them are the ones that named the risks explicitly, assigned owners, and agreed on criteria for when to pause. This domain is the most commonly skipped — and the most consequential.</w:t>
      </w:r>
    </w:p>
    <w:p>
      <w:r>
        <w:t xml:space="preserve"/>
      </w:r>
    </w:p>
    <w:p>
      <w:pPr>
        <w:pStyle w:val="Heading3"/>
        <w:spacing w:after="80" w:before="240"/>
      </w:pPr>
      <w:r>
        <w:rPr>
          <w:rFonts w:ascii="Arial" w:cs="Arial" w:eastAsia="Arial" w:hAnsi="Arial"/>
          <w:b/>
          <w:bCs/>
          <w:color w:val="3B82F6"/>
          <w:sz w:val="24"/>
          <w:szCs w:val="24"/>
        </w:rPr>
        <w:t xml:space="preserve">18.1 Risk Identification</w:t>
      </w:r>
    </w:p>
    <w:p>
      <w:pPr>
        <w:pStyle w:val="ListParagraph"/>
        <w:numPr>
          <w:ilvl w:val="0"/>
          <w:numId w:val="2"/>
        </w:numPr>
        <w:spacing w:after="40" w:before="40"/>
      </w:pPr>
      <w:r>
        <w:rPr>
          <w:rFonts w:ascii="Arial" w:cs="Arial" w:eastAsia="Arial" w:hAnsi="Arial"/>
          <w:color w:val="374151"/>
          <w:sz w:val="20"/>
          <w:szCs w:val="20"/>
        </w:rPr>
        <w:t xml:space="preserve">Top 10 launch risks identified and ranked by likelihood multiplied by impact</w:t>
      </w:r>
    </w:p>
    <w:p>
      <w:pPr>
        <w:pStyle w:val="ListParagraph"/>
        <w:numPr>
          <w:ilvl w:val="0"/>
          <w:numId w:val="2"/>
        </w:numPr>
        <w:spacing w:after="40" w:before="40"/>
      </w:pPr>
      <w:r>
        <w:rPr>
          <w:rFonts w:ascii="Arial" w:cs="Arial" w:eastAsia="Arial" w:hAnsi="Arial"/>
          <w:color w:val="374151"/>
          <w:sz w:val="20"/>
          <w:szCs w:val="20"/>
        </w:rPr>
        <w:t xml:space="preserve">Mitigation plan documented for each risk with a named owner and target resolution date</w:t>
      </w:r>
    </w:p>
    <w:p>
      <w:pPr>
        <w:pStyle w:val="ListParagraph"/>
        <w:numPr>
          <w:ilvl w:val="0"/>
          <w:numId w:val="2"/>
        </w:numPr>
        <w:spacing w:after="40" w:before="40"/>
      </w:pPr>
      <w:r>
        <w:rPr>
          <w:rFonts w:ascii="Arial" w:cs="Arial" w:eastAsia="Arial" w:hAnsi="Arial"/>
          <w:color w:val="374151"/>
          <w:sz w:val="20"/>
          <w:szCs w:val="20"/>
        </w:rPr>
        <w:t xml:space="preserve">Residual risk after mitigation assessed and accepted or escalated</w:t>
      </w:r>
    </w:p>
    <w:p>
      <w:r>
        <w:t xml:space="preserve"/>
      </w:r>
    </w:p>
    <w:p>
      <w:pPr>
        <w:pStyle w:val="Heading3"/>
        <w:spacing w:after="80" w:before="240"/>
      </w:pPr>
      <w:r>
        <w:rPr>
          <w:rFonts w:ascii="Arial" w:cs="Arial" w:eastAsia="Arial" w:hAnsi="Arial"/>
          <w:b/>
          <w:bCs/>
          <w:color w:val="3B82F6"/>
          <w:sz w:val="24"/>
          <w:szCs w:val="24"/>
        </w:rPr>
        <w:t xml:space="preserve">18.2 Launch Pause Criteria</w:t>
      </w:r>
    </w:p>
    <w:p>
      <w:pPr>
        <w:pStyle w:val="ListParagraph"/>
        <w:numPr>
          <w:ilvl w:val="0"/>
          <w:numId w:val="2"/>
        </w:numPr>
        <w:spacing w:after="40" w:before="40"/>
      </w:pPr>
      <w:r>
        <w:rPr>
          <w:rFonts w:ascii="Arial" w:cs="Arial" w:eastAsia="Arial" w:hAnsi="Arial"/>
          <w:color w:val="374151"/>
          <w:sz w:val="20"/>
          <w:szCs w:val="20"/>
        </w:rPr>
        <w:t xml:space="preserve">Explicit criteria defined for pausing or rolling back the launch (error rate, latency, payment failures)</w:t>
      </w:r>
    </w:p>
    <w:p>
      <w:pPr>
        <w:pStyle w:val="ListParagraph"/>
        <w:numPr>
          <w:ilvl w:val="0"/>
          <w:numId w:val="2"/>
        </w:numPr>
        <w:spacing w:after="40" w:before="40"/>
      </w:pPr>
      <w:r>
        <w:rPr>
          <w:rFonts w:ascii="Arial" w:cs="Arial" w:eastAsia="Arial" w:hAnsi="Arial"/>
          <w:color w:val="374151"/>
          <w:sz w:val="20"/>
          <w:szCs w:val="20"/>
        </w:rPr>
        <w:t xml:space="preserve">Decision authority documented — who has the authority to call a pause, and how is the team notified?</w:t>
      </w:r>
    </w:p>
    <w:p>
      <w:pPr>
        <w:pStyle w:val="ListParagraph"/>
        <w:numPr>
          <w:ilvl w:val="0"/>
          <w:numId w:val="2"/>
        </w:numPr>
        <w:spacing w:after="40" w:before="40"/>
      </w:pPr>
      <w:r>
        <w:rPr>
          <w:rFonts w:ascii="Arial" w:cs="Arial" w:eastAsia="Arial" w:hAnsi="Arial"/>
          <w:color w:val="374151"/>
          <w:sz w:val="20"/>
          <w:szCs w:val="20"/>
        </w:rPr>
        <w:t xml:space="preserve">Staged rollout gates defined with go / no-go criteria at each traffic increment</w:t>
      </w:r>
    </w:p>
    <w:p>
      <w:r>
        <w:t xml:space="preserve"/>
      </w:r>
    </w:p>
    <w:p>
      <w:pPr>
        <w:pStyle w:val="Heading3"/>
        <w:spacing w:after="80" w:before="240"/>
      </w:pPr>
      <w:r>
        <w:rPr>
          <w:rFonts w:ascii="Arial" w:cs="Arial" w:eastAsia="Arial" w:hAnsi="Arial"/>
          <w:b/>
          <w:bCs/>
          <w:color w:val="3B82F6"/>
          <w:sz w:val="24"/>
          <w:szCs w:val="24"/>
        </w:rPr>
        <w:t xml:space="preserve">18.3 Incident &amp; PR Contingency</w:t>
      </w:r>
    </w:p>
    <w:p>
      <w:pPr>
        <w:pStyle w:val="ListParagraph"/>
        <w:numPr>
          <w:ilvl w:val="0"/>
          <w:numId w:val="2"/>
        </w:numPr>
        <w:spacing w:after="40" w:before="40"/>
      </w:pPr>
      <w:r>
        <w:rPr>
          <w:rFonts w:ascii="Arial" w:cs="Arial" w:eastAsia="Arial" w:hAnsi="Arial"/>
          <w:color w:val="374151"/>
          <w:sz w:val="20"/>
          <w:szCs w:val="20"/>
        </w:rPr>
        <w:t xml:space="preserve">Communication templates prepared for outages, data incidents, and public PR events</w:t>
      </w:r>
    </w:p>
    <w:p>
      <w:pPr>
        <w:pStyle w:val="ListParagraph"/>
        <w:numPr>
          <w:ilvl w:val="0"/>
          <w:numId w:val="2"/>
        </w:numPr>
        <w:spacing w:after="40" w:before="40"/>
      </w:pPr>
      <w:r>
        <w:rPr>
          <w:rFonts w:ascii="Arial" w:cs="Arial" w:eastAsia="Arial" w:hAnsi="Arial"/>
          <w:color w:val="374151"/>
          <w:sz w:val="20"/>
          <w:szCs w:val="20"/>
        </w:rPr>
        <w:t xml:space="preserve">Cyber incident response plan drafted: notification chain, disclosure timeline, legal obligations</w:t>
      </w:r>
    </w:p>
    <w:p>
      <w:pPr>
        <w:pStyle w:val="ListParagraph"/>
        <w:numPr>
          <w:ilvl w:val="0"/>
          <w:numId w:val="2"/>
        </w:numPr>
        <w:spacing w:after="40" w:before="40"/>
      </w:pPr>
      <w:r>
        <w:rPr>
          <w:rFonts w:ascii="Arial" w:cs="Arial" w:eastAsia="Arial" w:hAnsi="Arial"/>
          <w:color w:val="374151"/>
          <w:sz w:val="20"/>
          <w:szCs w:val="20"/>
        </w:rPr>
        <w:t xml:space="preserve">Customer communication workflow for service disruptions: who drafts, who approves, what channel</w:t>
      </w:r>
    </w:p>
    <w:p>
      <w:pPr>
        <w:pStyle w:val="ListParagraph"/>
        <w:numPr>
          <w:ilvl w:val="0"/>
          <w:numId w:val="2"/>
        </w:numPr>
        <w:spacing w:after="40" w:before="40"/>
      </w:pPr>
      <w:r>
        <w:rPr>
          <w:rFonts w:ascii="Arial" w:cs="Arial" w:eastAsia="Arial" w:hAnsi="Arial"/>
          <w:color w:val="374151"/>
          <w:sz w:val="20"/>
          <w:szCs w:val="20"/>
        </w:rPr>
        <w:t xml:space="preserve">Press and social media response protocols defined for negative coverage scenarios</w:t>
      </w:r>
    </w:p>
    <w:p>
      <w:pPr>
        <w:pBdr>
          <w:bottom w:val="single" w:color="3B82F6" w:sz="4" w:space="1"/>
        </w:pBdr>
        <w:spacing w:after="160" w:before="160"/>
      </w:pPr>
    </w:p>
    <w:p>
      <w:r>
        <w:br w:type="page"/>
      </w:r>
    </w:p>
    <w:p>
      <w:pPr>
        <w:shd w:fill="1B3A6B" w:val="clear"/>
        <w:spacing w:after="80" w:before="0"/>
        <w:jc w:val="center"/>
      </w:pPr>
      <w:r>
        <w:rPr>
          <w:rFonts w:ascii="Arial" w:cs="Arial" w:eastAsia="Arial" w:hAnsi="Arial"/>
          <w:b/>
          <w:bCs/>
          <w:color w:val="FFFFFF"/>
          <w:sz w:val="32"/>
          <w:szCs w:val="32"/>
        </w:rPr>
        <w:t xml:space="preserve">PART 3: EVALUATION SUMMARY</w:t>
      </w:r>
    </w:p>
    <w:p>
      <w:r>
        <w:t xml:space="preserve"/>
      </w:r>
    </w:p>
    <w:p>
      <w:pPr>
        <w:pStyle w:val="Heading1"/>
        <w:spacing w:after="160" w:before="400"/>
      </w:pPr>
      <w:r>
        <w:rPr>
          <w:rFonts w:ascii="Arial" w:cs="Arial" w:eastAsia="Arial" w:hAnsi="Arial"/>
          <w:b/>
          <w:bCs/>
          <w:color w:val="1B3A6B"/>
          <w:sz w:val="36"/>
          <w:szCs w:val="36"/>
        </w:rPr>
        <w:t xml:space="preserve">Master Evaluation Scorecard</w:t>
      </w:r>
    </w:p>
    <w:p>
      <w:pPr>
        <w:spacing w:after="60" w:before="60"/>
      </w:pPr>
      <w:r>
        <w:rPr>
          <w:rFonts w:ascii="Arial" w:cs="Arial" w:eastAsia="Arial" w:hAnsi="Arial"/>
          <w:color w:val="1F2937"/>
          <w:sz w:val="20"/>
          <w:szCs w:val="20"/>
        </w:rPr>
        <w:t xml:space="preserve">Use the following scorecard at your pre-launch readiness review. 'Must Pass' items are hard blockers. 'Should Pass' items carry significant risk if skipped. 'If Applicable' items apply only when the relevant capability or market is in scope.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4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Evaluation Signal</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Readiness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P0 bugs; load test passed; zero critical CVEs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&amp; Compliance</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Pentest clean; regulatory mapping complete</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Reliability &amp; Ops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 live; runbooks written; DR tested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&amp; Product Validation</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PMF signal &gt;40%; usability tested; onboarding optimized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Monetization Readiness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Billing lifecycle tested end-to-end; pricing validated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GTM Strategy</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ICP defined; launch plan dated; messaging A/B tested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&amp; Support Readiness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Docs live; helpdesk configured; onboarding sequence active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Legal &amp; Corporate</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ToS, Privacy Policy, DPA reviewed by counsel</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I18n / Localization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residency confirmed; currency &amp; timezone logic tested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If Applicable</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PLG Mechanics</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Viral loops, PQL definition, upgrade prompts validated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If Applicable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&amp; Org Readiness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roles filled; support team trained; on-call defined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AI/ML Evaluation</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Hallucination benchmarked; bias audited; cost modeled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If Applicable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Brand &amp; Design System</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system documented; brand finalized across surfaces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SEO &amp; Organic Discovery</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Web Vitals passing; technical SEO complete; content seeded</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Multi-Tenancy Audit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 isolation verified; offboarding &amp; export implemented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Must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Financial &amp; Unit Econ.</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LTV:CAC &gt;3:1; runway post-launch modeled; burn vs. MRR set</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Feedback Infrastructure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In-app feedback, bug reporting, and feature tracking live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r>
        <w:tc>
          <w:tcPr>
            <w:tcW w:type="dxa" w:w="28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Register</w:t>
            </w:r>
          </w:p>
        </w:tc>
        <w:tc>
          <w:tcPr>
            <w:tcW w:type="dxa" w:w="4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10 risks ranked; mitigation plans; launch-pause criteria set</w:t>
            </w:r>
          </w:p>
        </w:tc>
        <w:tc>
          <w:tcPr>
            <w:tcW w:type="dxa" w:w="240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Should Pass</w:t>
            </w:r>
          </w:p>
        </w:tc>
      </w:tr>
    </w:tbl>
    <w:p>
      <w:r>
        <w:t xml:space="preserve"/>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Priority Matrix for Extended Domains</w:t>
      </w:r>
    </w:p>
    <w:p>
      <w:pPr>
        <w:spacing w:after="60" w:before="60"/>
      </w:pPr>
      <w:r>
        <w:rPr>
          <w:rFonts w:ascii="Arial" w:cs="Arial" w:eastAsia="Arial" w:hAnsi="Arial"/>
          <w:color w:val="1F2937"/>
          <w:sz w:val="20"/>
          <w:szCs w:val="20"/>
        </w:rPr>
        <w:t xml:space="preserve">For teams under time or resource pressure, the following matrix identifies which extended domain additions to prioritize first based on risk impact and reversibility.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Addition</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 Most</w:t>
            </w:r>
          </w:p>
        </w:tc>
        <w:tc>
          <w:tcPr>
            <w:tcW w:type="dxa" w:w="31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AI/ML Evaluation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Liability and trust risk if shipped blind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Register</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 teams only do this after something goes wrong</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Unit Economics Validation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Prevents launching into a structurally unprofitable model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Multi-Tenancy Audit</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leakage between tenants is catastrophic and hard to undo</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&amp; Org Readiness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readiness means nothing if no one can staff the response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r>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PLG Mechanics</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Self-serve growth loops must be built in, not bolted on later</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I18n / Localization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Painful and expensive to retrofit; plan early if global ambition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r>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SEO &amp; Discovery</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Organic pipeline takes months to build; start pre-launch</w:t>
            </w:r>
          </w:p>
        </w:tc>
        <w:tc>
          <w:tcPr>
            <w:tcW w:type="dxa" w:w="312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Medium</w:t>
            </w:r>
          </w:p>
        </w:tc>
      </w:tr>
    </w:tbl>
    <w:p>
      <w:r>
        <w:t xml:space="preserve"/>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Recommended Evaluation Process</w:t>
      </w:r>
    </w:p>
    <w:p>
      <w:pPr>
        <w:spacing w:after="60" w:before="60"/>
      </w:pPr>
      <w:r>
        <w:rPr>
          <w:rFonts w:ascii="Arial" w:cs="Arial" w:eastAsia="Arial" w:hAnsi="Arial"/>
          <w:color w:val="1F2937"/>
          <w:sz w:val="20"/>
          <w:szCs w:val="20"/>
        </w:rPr>
        <w:t xml:space="preserve">The following phased process provides a structured path from internal audit to full public launch, with defined ownership and timing at each stage.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across all 18 domains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 + Product + Ops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T-6 weeks</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Third-party security pentest</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External auditor</w:t>
            </w:r>
          </w:p>
        </w:tc>
        <w:tc>
          <w:tcPr>
            <w:tcW w:type="dxa" w:w="2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T-5 weeks</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Closed beta (20–100 target users)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 CS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T-4 weeks</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PMF signal collection &amp; analysis</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 Founders</w:t>
            </w:r>
          </w:p>
        </w:tc>
        <w:tc>
          <w:tcPr>
            <w:tcW w:type="dxa" w:w="2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T-3 weeks</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go/no-go readiness review</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stakeholders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T-1 week</w:t>
            </w:r>
          </w:p>
        </w:tc>
      </w:tr>
      <w:tr>
        <w:tc>
          <w:tcPr>
            <w:tcW w:type="dxa" w:w="144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6</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Staged rollout: 5% → 25% → 100%</w:t>
            </w:r>
          </w:p>
        </w:tc>
        <w:tc>
          <w:tcPr>
            <w:tcW w:type="dxa" w:w="288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 + DevOps</w:t>
            </w:r>
          </w:p>
        </w:tc>
        <w:tc>
          <w:tcPr>
            <w:tcW w:type="dxa" w:w="21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Launch day</w:t>
            </w:r>
          </w:p>
        </w:tc>
      </w:tr>
    </w:tbl>
    <w:p>
      <w:r>
        <w:t xml:space="preserve"/>
      </w:r>
    </w:p>
    <w:p>
      <w:pPr>
        <w:pBdr>
          <w:bottom w:val="single" w:color="3B82F6" w:sz="4" w:space="1"/>
        </w:pBdr>
        <w:spacing w:after="160" w:before="160"/>
      </w:pPr>
    </w:p>
    <w:p>
      <w:pPr>
        <w:pStyle w:val="Heading1"/>
        <w:spacing w:after="160" w:before="400"/>
      </w:pPr>
      <w:r>
        <w:rPr>
          <w:rFonts w:ascii="Arial" w:cs="Arial" w:eastAsia="Arial" w:hAnsi="Arial"/>
          <w:b/>
          <w:bCs/>
          <w:color w:val="1B3A6B"/>
          <w:sz w:val="36"/>
          <w:szCs w:val="36"/>
        </w:rPr>
        <w:t xml:space="preserve">The Three Most Common Launch Failure Modes</w:t>
      </w:r>
    </w:p>
    <w:p>
      <w:r>
        <w:t xml:space="preserve"/>
      </w:r>
    </w:p>
    <w:p>
      <w:pPr>
        <w:pStyle w:val="Heading3"/>
        <w:spacing w:after="80" w:before="240"/>
      </w:pPr>
      <w:r>
        <w:rPr>
          <w:rFonts w:ascii="Arial" w:cs="Arial" w:eastAsia="Arial" w:hAnsi="Arial"/>
          <w:b/>
          <w:bCs/>
          <w:color w:val="3B82F6"/>
          <w:sz w:val="24"/>
          <w:szCs w:val="24"/>
        </w:rPr>
        <w:t xml:space="preserve">1. Launching Without a Validated ICP</w:t>
      </w:r>
    </w:p>
    <w:p>
      <w:pPr>
        <w:spacing w:after="60" w:before="60"/>
      </w:pPr>
      <w:r>
        <w:rPr>
          <w:rFonts w:ascii="Arial" w:cs="Arial" w:eastAsia="Arial" w:hAnsi="Arial"/>
          <w:color w:val="1F2937"/>
          <w:sz w:val="20"/>
          <w:szCs w:val="20"/>
        </w:rPr>
        <w:t xml:space="preserve">The product is built for everyone and therefore resonates with no one. Messaging is generic, sales cycles are long, and conversion never reaches projections. Mitigation: require written ICP sign-off before any launch spend is committed.</w:t>
      </w:r>
    </w:p>
    <w:p>
      <w:r>
        <w:t xml:space="preserve"/>
      </w:r>
    </w:p>
    <w:p>
      <w:pPr>
        <w:pStyle w:val="Heading3"/>
        <w:spacing w:after="80" w:before="240"/>
      </w:pPr>
      <w:r>
        <w:rPr>
          <w:rFonts w:ascii="Arial" w:cs="Arial" w:eastAsia="Arial" w:hAnsi="Arial"/>
          <w:b/>
          <w:bCs/>
          <w:color w:val="3B82F6"/>
          <w:sz w:val="24"/>
          <w:szCs w:val="24"/>
        </w:rPr>
        <w:t xml:space="preserve">2. Billing Edge Cases Discovered in Production</w:t>
      </w:r>
    </w:p>
    <w:p>
      <w:pPr>
        <w:spacing w:after="60" w:before="60"/>
      </w:pPr>
      <w:r>
        <w:rPr>
          <w:rFonts w:ascii="Arial" w:cs="Arial" w:eastAsia="Arial" w:hAnsi="Arial"/>
          <w:color w:val="1F2937"/>
          <w:sz w:val="20"/>
          <w:szCs w:val="20"/>
        </w:rPr>
        <w:t xml:space="preserve">Upgrade/downgrade/cancellation flows contain bugs that only appear with real payment methods and real user behavior. These create churn, refund demands, and financial reporting errors simultaneously. Mitigation: a fully scripted billing QA matrix tested against live Stripe test mode before launch.</w:t>
      </w:r>
    </w:p>
    <w:p>
      <w:r>
        <w:t xml:space="preserve"/>
      </w:r>
    </w:p>
    <w:p>
      <w:pPr>
        <w:pStyle w:val="Heading3"/>
        <w:spacing w:after="80" w:before="240"/>
      </w:pPr>
      <w:r>
        <w:rPr>
          <w:rFonts w:ascii="Arial" w:cs="Arial" w:eastAsia="Arial" w:hAnsi="Arial"/>
          <w:b/>
          <w:bCs/>
          <w:color w:val="3B82F6"/>
          <w:sz w:val="24"/>
          <w:szCs w:val="24"/>
        </w:rPr>
        <w:t xml:space="preserve">3. Poor Onboarding Leading to Immediate Churn</w:t>
      </w:r>
    </w:p>
    <w:p>
      <w:pPr>
        <w:spacing w:after="60" w:before="60"/>
      </w:pPr>
      <w:r>
        <w:rPr>
          <w:rFonts w:ascii="Arial" w:cs="Arial" w:eastAsia="Arial" w:hAnsi="Arial"/>
          <w:color w:val="1F2937"/>
          <w:sz w:val="20"/>
          <w:szCs w:val="20"/>
        </w:rPr>
        <w:t xml:space="preserve">Users sign up, fail to reach the activation event within the first session, and never return. CAC is spent; LTV is zero. Mitigation: define the activation metric before writing a line of onboarding code, then measure time-to-activation in beta before launch.</w:t>
      </w:r>
    </w:p>
    <w:p>
      <w:r>
        <w:t xml:space="preserve"/>
      </w:r>
    </w:p>
    <w:p>
      <w:pPr>
        <w:pBdr>
          <w:bottom w:val="single" w:color="3B82F6" w:sz="4" w:space="1"/>
        </w:pBdr>
        <w:spacing w:after="160" w:before="160"/>
      </w:pPr>
    </w:p>
    <w:p>
      <w:pPr>
        <w:spacing w:after="80" w:before="240"/>
        <w:jc w:val="center"/>
      </w:pPr>
      <w:r>
        <w:rPr>
          <w:rFonts w:ascii="Arial" w:cs="Arial" w:eastAsia="Arial" w:hAnsi="Arial"/>
          <w:i/>
          <w:iCs/>
          <w:color w:val="6B7280"/>
          <w:sz w:val="20"/>
          <w:szCs w:val="20"/>
        </w:rPr>
        <w:t xml:space="preserve">Pre-Market SaaS Product Evaluation Framework</w:t>
      </w:r>
    </w:p>
    <w:p>
      <w:pPr>
        <w:spacing w:after="0" w:before="0"/>
        <w:jc w:val="center"/>
      </w:pPr>
      <w:r>
        <w:rPr>
          <w:rFonts w:ascii="Arial" w:cs="Arial" w:eastAsia="Arial" w:hAnsi="Arial"/>
          <w:color w:val="6B7280"/>
          <w:sz w:val="18"/>
          <w:szCs w:val="18"/>
        </w:rPr>
        <w:t xml:space="preserve">Version 1.0  |  Confidential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4"/>
      </w:pBdr>
      <w:tabs>
        <w:tab w:val="right" w:pos="9026"/>
      </w:tabs>
    </w:pPr>
    <w:r>
      <w:rPr>
        <w:rFonts w:ascii="Arial" w:cs="Arial" w:eastAsia="Arial" w:hAnsi="Arial"/>
        <w:color w:val="6B7280"/>
        <w:sz w:val="16"/>
        <w:szCs w:val="16"/>
      </w:rPr>
      <w:t xml:space="preserve">© 2026 — All Rights Reserved</w:t>
    </w:r>
    <w:r>
      <w:rPr>
        <w:rFonts w:ascii="Arial" w:cs="Arial" w:eastAsia="Arial" w:hAnsi="Arial"/>
        <w:color w:val="6B7280"/>
        <w:sz w:val="16"/>
        <w:szCs w:val="16"/>
      </w:rPr>
      <w:t xml:space="preserve">	Page </w:t>
    </w:r>
    <w:r>
      <w:rPr>
        <w:rFonts w:ascii="Arial" w:cs="Arial" w:eastAsia="Arial" w:hAnsi="Arial"/>
        <w:color w:val="6B728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pPr>
    <w:r>
      <w:rPr>
        <w:rFonts w:ascii="Arial" w:cs="Arial" w:eastAsia="Arial" w:hAnsi="Arial"/>
        <w:color w:val="6B7280"/>
        <w:sz w:val="18"/>
        <w:szCs w:val="18"/>
      </w:rPr>
      <w:t xml:space="preserve">Pre-Market SaaS Evaluation Framework</w:t>
    </w:r>
    <w:r>
      <w:rPr>
        <w:rFonts w:ascii="Arial" w:cs="Arial" w:eastAsia="Arial" w:hAnsi="Arial"/>
        <w:b/>
        <w:bCs/>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spacing w:after="20" w:before="20"/>
        <w:ind w:left="11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2026-03-04T08:58:45.689Z</dcterms:created>
  <dcterms:modified xsi:type="dcterms:W3CDTF">2026-03-04T08:58:45.689Z</dcterms:modified>
</cp:coreProperties>
</file>

<file path=docProps/custom.xml><?xml version="1.0" encoding="utf-8"?>
<Properties xmlns="http://schemas.openxmlformats.org/officeDocument/2006/custom-properties" xmlns:vt="http://schemas.openxmlformats.org/officeDocument/2006/docPropsVTypes"/>
</file>