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DE01C" w14:textId="77777777" w:rsidR="00677085" w:rsidRPr="00677085" w:rsidRDefault="00677085" w:rsidP="00677085">
      <w:pPr>
        <w:rPr>
          <w:b/>
          <w:bCs/>
          <w:sz w:val="30"/>
          <w:szCs w:val="30"/>
        </w:rPr>
      </w:pPr>
      <w:r w:rsidRPr="00677085">
        <w:rPr>
          <w:b/>
          <w:bCs/>
          <w:sz w:val="30"/>
          <w:szCs w:val="30"/>
        </w:rPr>
        <w:t>Requirement Specification Document (RSD)</w:t>
      </w:r>
    </w:p>
    <w:p w14:paraId="7592EBA0" w14:textId="34E48C66" w:rsidR="00677085" w:rsidRPr="00677085" w:rsidRDefault="00677085" w:rsidP="00677085">
      <w:r w:rsidRPr="00677085">
        <w:rPr>
          <w:b/>
          <w:bCs/>
        </w:rPr>
        <w:t>Module Name:</w:t>
      </w:r>
      <w:r w:rsidRPr="00677085">
        <w:t xml:space="preserve"> Purchasing Module</w:t>
      </w:r>
      <w:r w:rsidRPr="00677085">
        <w:br/>
      </w:r>
      <w:r w:rsidRPr="00677085">
        <w:rPr>
          <w:b/>
          <w:bCs/>
        </w:rPr>
        <w:t>Standard:</w:t>
      </w:r>
      <w:r w:rsidRPr="00677085">
        <w:t xml:space="preserve"> ISO 13485:2016 – Clause 7.4</w:t>
      </w:r>
      <w:r w:rsidRPr="00677085">
        <w:br/>
      </w:r>
      <w:r w:rsidRPr="00677085">
        <w:rPr>
          <w:b/>
          <w:bCs/>
        </w:rPr>
        <w:t>Prepared for:</w:t>
      </w:r>
      <w:r w:rsidRPr="00677085">
        <w:t xml:space="preserve"> Ibhan Agile Talent Technologies </w:t>
      </w:r>
      <w:proofErr w:type="spellStart"/>
      <w:r w:rsidRPr="00677085">
        <w:t>Pvt.</w:t>
      </w:r>
      <w:proofErr w:type="spellEnd"/>
      <w:r w:rsidRPr="00677085">
        <w:t xml:space="preserve"> Ltd. (IATT)</w:t>
      </w:r>
      <w:r w:rsidRPr="00677085">
        <w:br/>
      </w:r>
      <w:r w:rsidRPr="00677085">
        <w:rPr>
          <w:b/>
          <w:bCs/>
        </w:rPr>
        <w:t>Version:</w:t>
      </w:r>
      <w:r w:rsidRPr="00677085">
        <w:t xml:space="preserve"> 1.0</w:t>
      </w:r>
      <w:r w:rsidRPr="00677085">
        <w:br/>
      </w:r>
      <w:r w:rsidRPr="00677085">
        <w:pict w14:anchorId="7E838760">
          <v:rect id="_x0000_i1091" style="width:0;height:1.5pt" o:hralign="center" o:hrstd="t" o:hr="t" fillcolor="#a0a0a0" stroked="f"/>
        </w:pict>
      </w:r>
    </w:p>
    <w:p w14:paraId="2066482C" w14:textId="77777777" w:rsidR="00677085" w:rsidRPr="00677085" w:rsidRDefault="00677085" w:rsidP="00677085">
      <w:pPr>
        <w:rPr>
          <w:b/>
          <w:bCs/>
        </w:rPr>
      </w:pPr>
      <w:r w:rsidRPr="00677085">
        <w:rPr>
          <w:b/>
          <w:bCs/>
        </w:rPr>
        <w:t>1. Purpose</w:t>
      </w:r>
    </w:p>
    <w:p w14:paraId="0EEB7AF5" w14:textId="77777777" w:rsidR="00677085" w:rsidRPr="00677085" w:rsidRDefault="00677085" w:rsidP="00677085">
      <w:r w:rsidRPr="00677085">
        <w:t>To define the purchasing module requirements of the QMS to ensure purchased products and outsourced services conform to specified requirements that directly impact the safety, quality, and compliance of medical devices manufactured by IATT.</w:t>
      </w:r>
    </w:p>
    <w:p w14:paraId="7AD8BA9A" w14:textId="77777777" w:rsidR="00677085" w:rsidRPr="00677085" w:rsidRDefault="00677085" w:rsidP="00677085">
      <w:r w:rsidRPr="00677085">
        <w:pict w14:anchorId="16ED7247">
          <v:rect id="_x0000_i1092" style="width:0;height:1.5pt" o:hralign="center" o:hrstd="t" o:hr="t" fillcolor="#a0a0a0" stroked="f"/>
        </w:pict>
      </w:r>
    </w:p>
    <w:p w14:paraId="296BC53D" w14:textId="77777777" w:rsidR="00677085" w:rsidRPr="00677085" w:rsidRDefault="00677085" w:rsidP="00677085">
      <w:pPr>
        <w:rPr>
          <w:b/>
          <w:bCs/>
        </w:rPr>
      </w:pPr>
      <w:r w:rsidRPr="00677085">
        <w:rPr>
          <w:b/>
          <w:bCs/>
        </w:rPr>
        <w:t>2. Scope</w:t>
      </w:r>
    </w:p>
    <w:p w14:paraId="267A6DBC" w14:textId="77777777" w:rsidR="00677085" w:rsidRPr="00677085" w:rsidRDefault="00677085" w:rsidP="00677085">
      <w:r w:rsidRPr="00677085">
        <w:t>This module governs all procurement activities critical to the functioning and compliance of IATT's medical device manufacturing operations. Specifically, it applies to:</w:t>
      </w:r>
    </w:p>
    <w:p w14:paraId="41D07E18" w14:textId="77777777" w:rsidR="00677085" w:rsidRPr="00677085" w:rsidRDefault="00677085" w:rsidP="00677085">
      <w:pPr>
        <w:numPr>
          <w:ilvl w:val="0"/>
          <w:numId w:val="16"/>
        </w:numPr>
      </w:pPr>
      <w:r w:rsidRPr="00677085">
        <w:rPr>
          <w:b/>
          <w:bCs/>
        </w:rPr>
        <w:t>Suppliers of Raw Materials, Components, Packaging, and Consumables:</w:t>
      </w:r>
      <w:r w:rsidRPr="00677085">
        <w:t xml:space="preserve"> Includes vendors who provide critical and non-critical inputs that directly or indirectly influence product quality and patient safety.</w:t>
      </w:r>
    </w:p>
    <w:p w14:paraId="76822C6B" w14:textId="77777777" w:rsidR="00677085" w:rsidRPr="00677085" w:rsidRDefault="00677085" w:rsidP="00677085">
      <w:pPr>
        <w:numPr>
          <w:ilvl w:val="0"/>
          <w:numId w:val="16"/>
        </w:numPr>
      </w:pPr>
      <w:r w:rsidRPr="00677085">
        <w:rPr>
          <w:b/>
          <w:bCs/>
        </w:rPr>
        <w:t>Outsourced Services:</w:t>
      </w:r>
      <w:r w:rsidRPr="00677085">
        <w:t xml:space="preserve"> Covers third-party providers involved in calibration, testing, validation, manufacturing, sterilization, and other processes essential to product conformity. Control of such services is exercised via formal agreements and periodic evaluations.</w:t>
      </w:r>
    </w:p>
    <w:p w14:paraId="7AEEEC92" w14:textId="77777777" w:rsidR="00677085" w:rsidRPr="00677085" w:rsidRDefault="00677085" w:rsidP="00677085">
      <w:pPr>
        <w:numPr>
          <w:ilvl w:val="0"/>
          <w:numId w:val="16"/>
        </w:numPr>
      </w:pPr>
      <w:r w:rsidRPr="00677085">
        <w:rPr>
          <w:b/>
          <w:bCs/>
        </w:rPr>
        <w:t>Supplier Lifecycle Management:</w:t>
      </w:r>
      <w:r w:rsidRPr="00677085">
        <w:t xml:space="preserve"> From initial registration, risk classification, evaluation, approval, and periodic re-evaluation to final de-listing, all stages are documented and system-controlled.</w:t>
      </w:r>
    </w:p>
    <w:p w14:paraId="3AF685DD" w14:textId="77777777" w:rsidR="00677085" w:rsidRPr="00677085" w:rsidRDefault="00677085" w:rsidP="00677085">
      <w:pPr>
        <w:numPr>
          <w:ilvl w:val="0"/>
          <w:numId w:val="16"/>
        </w:numPr>
      </w:pPr>
      <w:r w:rsidRPr="00677085">
        <w:rPr>
          <w:b/>
          <w:bCs/>
        </w:rPr>
        <w:t>Purchase Order (PO) Management:</w:t>
      </w:r>
      <w:r w:rsidRPr="00677085">
        <w:t xml:space="preserve"> Encompasses the creation, approval, issuance, and traceability of POs, ensuring that purchasing information complies with predefined specifications, quality expectations, and regulatory requirements.</w:t>
      </w:r>
    </w:p>
    <w:p w14:paraId="1E7A4D9F" w14:textId="77777777" w:rsidR="00677085" w:rsidRPr="00677085" w:rsidRDefault="00677085" w:rsidP="00677085">
      <w:pPr>
        <w:numPr>
          <w:ilvl w:val="0"/>
          <w:numId w:val="16"/>
        </w:numPr>
      </w:pPr>
      <w:r w:rsidRPr="00677085">
        <w:rPr>
          <w:b/>
          <w:bCs/>
        </w:rPr>
        <w:t>Supplier Performance Evaluation:</w:t>
      </w:r>
      <w:r w:rsidRPr="00677085">
        <w:t xml:space="preserve"> Involves annual performance scoring based on defined KPIs (e.g., quality, delivery, cost, responsiveness), corrective action tracking, and status updates to the Approved Supplier List.</w:t>
      </w:r>
    </w:p>
    <w:p w14:paraId="343FF853" w14:textId="63D6DF30" w:rsidR="00677085" w:rsidRPr="00677085" w:rsidRDefault="00677085" w:rsidP="00677085">
      <w:r w:rsidRPr="00677085">
        <w:t>This scope ensures adherence to ISO 13485:2016 Clause 7.4 requirements and enhances procurement decision-making through risk-based and quality-focused controls.</w:t>
      </w:r>
    </w:p>
    <w:p w14:paraId="152664FE" w14:textId="77777777" w:rsidR="00677085" w:rsidRPr="00677085" w:rsidRDefault="00677085" w:rsidP="00677085">
      <w:r w:rsidRPr="00677085">
        <w:pict w14:anchorId="2E45BFC6">
          <v:rect id="_x0000_i1093" style="width:0;height:1.5pt" o:hralign="center" o:hrstd="t" o:hr="t" fillcolor="#a0a0a0" stroked="f"/>
        </w:pict>
      </w:r>
    </w:p>
    <w:p w14:paraId="1EBAF868" w14:textId="77777777" w:rsidR="00677085" w:rsidRPr="00677085" w:rsidRDefault="00677085" w:rsidP="00677085">
      <w:pPr>
        <w:rPr>
          <w:b/>
          <w:bCs/>
        </w:rPr>
      </w:pPr>
      <w:r w:rsidRPr="00677085">
        <w:rPr>
          <w:b/>
          <w:bCs/>
        </w:rPr>
        <w:t>4. Functional Requirements</w:t>
      </w:r>
    </w:p>
    <w:p w14:paraId="05D8768A" w14:textId="77777777" w:rsidR="00677085" w:rsidRPr="00677085" w:rsidRDefault="00677085" w:rsidP="00677085">
      <w:pPr>
        <w:rPr>
          <w:b/>
          <w:bCs/>
        </w:rPr>
      </w:pPr>
      <w:r w:rsidRPr="00677085">
        <w:rPr>
          <w:b/>
          <w:bCs/>
        </w:rPr>
        <w:t>4.1 Supplier Qualification &amp; Registration</w:t>
      </w:r>
    </w:p>
    <w:p w14:paraId="5C484DEB" w14:textId="77777777" w:rsidR="00677085" w:rsidRPr="00677085" w:rsidRDefault="00677085" w:rsidP="00677085">
      <w:pPr>
        <w:numPr>
          <w:ilvl w:val="0"/>
          <w:numId w:val="17"/>
        </w:numPr>
      </w:pPr>
      <w:r w:rsidRPr="00677085">
        <w:lastRenderedPageBreak/>
        <w:t>Suppliers must be registered in the system with full organizational, financial, and operational details, including company profile, ownership, GST/Tax ID, and production capabilities.</w:t>
      </w:r>
    </w:p>
    <w:p w14:paraId="5CE21CA4" w14:textId="77777777" w:rsidR="00677085" w:rsidRPr="00677085" w:rsidRDefault="00677085" w:rsidP="00677085">
      <w:pPr>
        <w:numPr>
          <w:ilvl w:val="0"/>
          <w:numId w:val="17"/>
        </w:numPr>
      </w:pPr>
      <w:r w:rsidRPr="00677085">
        <w:t>Certification documentation such as ISO 9001, ISO 13485, and IMDR 2017 compliance certificates must be uploaded and verified.</w:t>
      </w:r>
    </w:p>
    <w:p w14:paraId="6971AB79" w14:textId="77777777" w:rsidR="00677085" w:rsidRPr="00677085" w:rsidRDefault="00677085" w:rsidP="00677085">
      <w:pPr>
        <w:numPr>
          <w:ilvl w:val="0"/>
          <w:numId w:val="17"/>
        </w:numPr>
      </w:pPr>
      <w:r w:rsidRPr="00677085">
        <w:t>Each supplier must be risk-classified (e.g., critical, non-critical) based on their product/service type, role in the production chain, and potential impact on medical device quality.</w:t>
      </w:r>
    </w:p>
    <w:p w14:paraId="48CC3060" w14:textId="77777777" w:rsidR="00677085" w:rsidRPr="00677085" w:rsidRDefault="00677085" w:rsidP="00677085">
      <w:pPr>
        <w:rPr>
          <w:b/>
          <w:bCs/>
        </w:rPr>
      </w:pPr>
      <w:r w:rsidRPr="00677085">
        <w:rPr>
          <w:b/>
          <w:bCs/>
        </w:rPr>
        <w:t>4.2 Supplier Assessment &amp; Approval</w:t>
      </w:r>
    </w:p>
    <w:p w14:paraId="5C68B089" w14:textId="77777777" w:rsidR="00677085" w:rsidRPr="00677085" w:rsidRDefault="00677085" w:rsidP="00677085">
      <w:pPr>
        <w:numPr>
          <w:ilvl w:val="0"/>
          <w:numId w:val="18"/>
        </w:numPr>
      </w:pPr>
      <w:r w:rsidRPr="00677085">
        <w:t>Initial assessment is performed via structured on-site or remote audits using the standardized Supplier Assessment Form (F05), focusing on capabilities, quality systems, documentation, and infrastructure.</w:t>
      </w:r>
    </w:p>
    <w:p w14:paraId="3749538F" w14:textId="77777777" w:rsidR="00677085" w:rsidRPr="00677085" w:rsidRDefault="00677085" w:rsidP="00677085">
      <w:pPr>
        <w:numPr>
          <w:ilvl w:val="0"/>
          <w:numId w:val="18"/>
        </w:numPr>
      </w:pPr>
      <w:r w:rsidRPr="00677085">
        <w:t>Suppliers must submit trial samples or pilot lots for testing and verification against product specifications.</w:t>
      </w:r>
    </w:p>
    <w:p w14:paraId="13175BFC" w14:textId="77777777" w:rsidR="00677085" w:rsidRPr="00677085" w:rsidRDefault="00677085" w:rsidP="00677085">
      <w:pPr>
        <w:numPr>
          <w:ilvl w:val="0"/>
          <w:numId w:val="18"/>
        </w:numPr>
      </w:pPr>
      <w:r w:rsidRPr="00677085">
        <w:t>Only those suppliers that pass both the documentation and product evaluation stages are added to the Approved Supplier List (F03 for materials, F03A for services).</w:t>
      </w:r>
    </w:p>
    <w:p w14:paraId="02308D85" w14:textId="77777777" w:rsidR="00677085" w:rsidRPr="00677085" w:rsidRDefault="00677085" w:rsidP="00677085">
      <w:pPr>
        <w:numPr>
          <w:ilvl w:val="0"/>
          <w:numId w:val="18"/>
        </w:numPr>
      </w:pPr>
      <w:r w:rsidRPr="00677085">
        <w:t>Supplier status and documentation history must be recorded, including rejection notes if not approved.</w:t>
      </w:r>
    </w:p>
    <w:p w14:paraId="1BB1D8EC" w14:textId="77777777" w:rsidR="00677085" w:rsidRPr="00677085" w:rsidRDefault="00677085" w:rsidP="00677085">
      <w:pPr>
        <w:rPr>
          <w:b/>
          <w:bCs/>
        </w:rPr>
      </w:pPr>
      <w:r w:rsidRPr="00677085">
        <w:rPr>
          <w:b/>
          <w:bCs/>
        </w:rPr>
        <w:t>4.3 Purchase Requisition &amp; Order Management</w:t>
      </w:r>
    </w:p>
    <w:p w14:paraId="10DB92A8" w14:textId="77777777" w:rsidR="00677085" w:rsidRPr="00677085" w:rsidRDefault="00677085" w:rsidP="00677085">
      <w:pPr>
        <w:numPr>
          <w:ilvl w:val="0"/>
          <w:numId w:val="19"/>
        </w:numPr>
      </w:pPr>
      <w:r w:rsidRPr="00677085">
        <w:t>System must allow users to raise Purchase Requisitions (PRs) based on:</w:t>
      </w:r>
    </w:p>
    <w:p w14:paraId="5295F4FF" w14:textId="77777777" w:rsidR="00677085" w:rsidRPr="00677085" w:rsidRDefault="00677085" w:rsidP="00677085">
      <w:pPr>
        <w:numPr>
          <w:ilvl w:val="1"/>
          <w:numId w:val="19"/>
        </w:numPr>
      </w:pPr>
      <w:r w:rsidRPr="00677085">
        <w:t>BOM demand</w:t>
      </w:r>
    </w:p>
    <w:p w14:paraId="5DE4BCCB" w14:textId="77777777" w:rsidR="00677085" w:rsidRPr="00677085" w:rsidRDefault="00677085" w:rsidP="00677085">
      <w:pPr>
        <w:numPr>
          <w:ilvl w:val="1"/>
          <w:numId w:val="19"/>
        </w:numPr>
      </w:pPr>
      <w:r w:rsidRPr="00677085">
        <w:t>Production planning</w:t>
      </w:r>
    </w:p>
    <w:p w14:paraId="2B2B8FA3" w14:textId="77777777" w:rsidR="00677085" w:rsidRPr="00677085" w:rsidRDefault="00677085" w:rsidP="00677085">
      <w:pPr>
        <w:numPr>
          <w:ilvl w:val="1"/>
          <w:numId w:val="19"/>
        </w:numPr>
      </w:pPr>
      <w:r w:rsidRPr="00677085">
        <w:t>MSR (Minimum Stock Requirement) thresholds</w:t>
      </w:r>
    </w:p>
    <w:p w14:paraId="41323C87" w14:textId="77777777" w:rsidR="00677085" w:rsidRPr="00677085" w:rsidRDefault="00677085" w:rsidP="00677085">
      <w:pPr>
        <w:numPr>
          <w:ilvl w:val="0"/>
          <w:numId w:val="19"/>
        </w:numPr>
      </w:pPr>
      <w:r w:rsidRPr="00677085">
        <w:t>PRs route through department heads and finance for approval, with audit trail.</w:t>
      </w:r>
    </w:p>
    <w:p w14:paraId="3F48D87E" w14:textId="77777777" w:rsidR="00677085" w:rsidRPr="00677085" w:rsidRDefault="00677085" w:rsidP="00677085">
      <w:pPr>
        <w:numPr>
          <w:ilvl w:val="0"/>
          <w:numId w:val="19"/>
        </w:numPr>
      </w:pPr>
      <w:r w:rsidRPr="00677085">
        <w:t>Upon approval, Purchase Orders (F06) are generated including:</w:t>
      </w:r>
    </w:p>
    <w:p w14:paraId="68A61E41" w14:textId="77777777" w:rsidR="00677085" w:rsidRPr="00677085" w:rsidRDefault="00677085" w:rsidP="00677085">
      <w:pPr>
        <w:numPr>
          <w:ilvl w:val="1"/>
          <w:numId w:val="19"/>
        </w:numPr>
      </w:pPr>
      <w:r w:rsidRPr="00677085">
        <w:t>Supplier name, material specs, quantity, unit price, delivery date, and quality documentation required (e.g., COA/COC)</w:t>
      </w:r>
    </w:p>
    <w:p w14:paraId="47E3A491" w14:textId="77777777" w:rsidR="00677085" w:rsidRPr="00677085" w:rsidRDefault="00677085" w:rsidP="00677085">
      <w:pPr>
        <w:numPr>
          <w:ilvl w:val="0"/>
          <w:numId w:val="19"/>
        </w:numPr>
      </w:pPr>
      <w:r w:rsidRPr="00677085">
        <w:t>POs must be traceable for at least 10 years and searchable by multiple parameters (item code, date, supplier, PO number).</w:t>
      </w:r>
    </w:p>
    <w:p w14:paraId="032D194F" w14:textId="77777777" w:rsidR="00677085" w:rsidRPr="00677085" w:rsidRDefault="00677085" w:rsidP="00677085">
      <w:pPr>
        <w:rPr>
          <w:b/>
          <w:bCs/>
        </w:rPr>
      </w:pPr>
      <w:r w:rsidRPr="00677085">
        <w:rPr>
          <w:b/>
          <w:bCs/>
        </w:rPr>
        <w:t>4.4 Verification of Purchased Products</w:t>
      </w:r>
    </w:p>
    <w:p w14:paraId="74309BE0" w14:textId="77777777" w:rsidR="00677085" w:rsidRPr="00677085" w:rsidRDefault="00677085" w:rsidP="00677085">
      <w:pPr>
        <w:numPr>
          <w:ilvl w:val="0"/>
          <w:numId w:val="20"/>
        </w:numPr>
      </w:pPr>
      <w:r w:rsidRPr="00677085">
        <w:t>All received materials are logged and inspected by the QA team before being accepted into inventory.</w:t>
      </w:r>
    </w:p>
    <w:p w14:paraId="07D8D8B7" w14:textId="77777777" w:rsidR="00677085" w:rsidRPr="00677085" w:rsidRDefault="00677085" w:rsidP="00677085">
      <w:pPr>
        <w:numPr>
          <w:ilvl w:val="0"/>
          <w:numId w:val="20"/>
        </w:numPr>
      </w:pPr>
      <w:r w:rsidRPr="00677085">
        <w:t>Verification includes:</w:t>
      </w:r>
    </w:p>
    <w:p w14:paraId="24FEA419" w14:textId="77777777" w:rsidR="00677085" w:rsidRPr="00677085" w:rsidRDefault="00677085" w:rsidP="00677085">
      <w:pPr>
        <w:numPr>
          <w:ilvl w:val="1"/>
          <w:numId w:val="20"/>
        </w:numPr>
      </w:pPr>
      <w:r w:rsidRPr="00677085">
        <w:lastRenderedPageBreak/>
        <w:t>Dimensional checks</w:t>
      </w:r>
    </w:p>
    <w:p w14:paraId="57EA0EB9" w14:textId="77777777" w:rsidR="00677085" w:rsidRPr="00677085" w:rsidRDefault="00677085" w:rsidP="00677085">
      <w:pPr>
        <w:numPr>
          <w:ilvl w:val="1"/>
          <w:numId w:val="20"/>
        </w:numPr>
      </w:pPr>
      <w:r w:rsidRPr="00677085">
        <w:t>Specification matching</w:t>
      </w:r>
    </w:p>
    <w:p w14:paraId="4943BF86" w14:textId="77777777" w:rsidR="00677085" w:rsidRPr="00677085" w:rsidRDefault="00677085" w:rsidP="00677085">
      <w:pPr>
        <w:numPr>
          <w:ilvl w:val="1"/>
          <w:numId w:val="20"/>
        </w:numPr>
      </w:pPr>
      <w:r w:rsidRPr="00677085">
        <w:t>Certificate of Analysis/Compliance review</w:t>
      </w:r>
    </w:p>
    <w:p w14:paraId="47175C3C" w14:textId="77777777" w:rsidR="00677085" w:rsidRPr="00677085" w:rsidRDefault="00677085" w:rsidP="00677085">
      <w:pPr>
        <w:numPr>
          <w:ilvl w:val="1"/>
          <w:numId w:val="20"/>
        </w:numPr>
      </w:pPr>
      <w:r w:rsidRPr="00677085">
        <w:t>Sampling if needed</w:t>
      </w:r>
    </w:p>
    <w:p w14:paraId="663A3A7E" w14:textId="77777777" w:rsidR="00677085" w:rsidRPr="00677085" w:rsidRDefault="00677085" w:rsidP="00677085">
      <w:pPr>
        <w:numPr>
          <w:ilvl w:val="0"/>
          <w:numId w:val="20"/>
        </w:numPr>
      </w:pPr>
      <w:r w:rsidRPr="00677085">
        <w:t>Inspection outcomes are documented using the Quality &amp; Delivery Summary (F07).</w:t>
      </w:r>
    </w:p>
    <w:p w14:paraId="62E2E5AA" w14:textId="77777777" w:rsidR="00677085" w:rsidRPr="00677085" w:rsidRDefault="00677085" w:rsidP="00677085">
      <w:pPr>
        <w:numPr>
          <w:ilvl w:val="0"/>
          <w:numId w:val="20"/>
        </w:numPr>
      </w:pPr>
      <w:r w:rsidRPr="00677085">
        <w:t>In case of non-conformance:</w:t>
      </w:r>
    </w:p>
    <w:p w14:paraId="35918832" w14:textId="77777777" w:rsidR="00677085" w:rsidRPr="00677085" w:rsidRDefault="00677085" w:rsidP="00677085">
      <w:pPr>
        <w:numPr>
          <w:ilvl w:val="1"/>
          <w:numId w:val="20"/>
        </w:numPr>
      </w:pPr>
      <w:r w:rsidRPr="00677085">
        <w:t>Materials are tagged as NC (Non-Conforming)</w:t>
      </w:r>
    </w:p>
    <w:p w14:paraId="2B22AD0C" w14:textId="77777777" w:rsidR="00677085" w:rsidRPr="00677085" w:rsidRDefault="00677085" w:rsidP="00677085">
      <w:pPr>
        <w:numPr>
          <w:ilvl w:val="1"/>
          <w:numId w:val="20"/>
        </w:numPr>
      </w:pPr>
      <w:r w:rsidRPr="00677085">
        <w:t>QA triggers investigation, and a SCAR (F09) is initiated if required</w:t>
      </w:r>
    </w:p>
    <w:p w14:paraId="6C5578C1" w14:textId="77777777" w:rsidR="00677085" w:rsidRPr="00677085" w:rsidRDefault="00677085" w:rsidP="00677085">
      <w:pPr>
        <w:rPr>
          <w:b/>
          <w:bCs/>
        </w:rPr>
      </w:pPr>
      <w:r w:rsidRPr="00677085">
        <w:rPr>
          <w:b/>
          <w:bCs/>
        </w:rPr>
        <w:t>4.5 Supplier Rating &amp; Review</w:t>
      </w:r>
    </w:p>
    <w:p w14:paraId="26066453" w14:textId="77777777" w:rsidR="00677085" w:rsidRPr="00677085" w:rsidRDefault="00677085" w:rsidP="00677085">
      <w:pPr>
        <w:numPr>
          <w:ilvl w:val="0"/>
          <w:numId w:val="21"/>
        </w:numPr>
      </w:pPr>
      <w:r w:rsidRPr="00677085">
        <w:t>System calculates supplier performance ratings annually using the following weightages:</w:t>
      </w:r>
    </w:p>
    <w:p w14:paraId="5E438051" w14:textId="77777777" w:rsidR="00677085" w:rsidRPr="00677085" w:rsidRDefault="00677085" w:rsidP="00677085">
      <w:pPr>
        <w:numPr>
          <w:ilvl w:val="1"/>
          <w:numId w:val="21"/>
        </w:numPr>
      </w:pPr>
      <w:r w:rsidRPr="00677085">
        <w:t>Quality of supplied material – 40%</w:t>
      </w:r>
    </w:p>
    <w:p w14:paraId="5E9E9E28" w14:textId="77777777" w:rsidR="00677085" w:rsidRPr="00677085" w:rsidRDefault="00677085" w:rsidP="00677085">
      <w:pPr>
        <w:numPr>
          <w:ilvl w:val="1"/>
          <w:numId w:val="21"/>
        </w:numPr>
      </w:pPr>
      <w:r w:rsidRPr="00677085">
        <w:t>Adherence to ordered quantity – 35%</w:t>
      </w:r>
    </w:p>
    <w:p w14:paraId="0626529B" w14:textId="77777777" w:rsidR="00677085" w:rsidRPr="00677085" w:rsidRDefault="00677085" w:rsidP="00677085">
      <w:pPr>
        <w:numPr>
          <w:ilvl w:val="1"/>
          <w:numId w:val="21"/>
        </w:numPr>
      </w:pPr>
      <w:r w:rsidRPr="00677085">
        <w:t>On-time delivery – 15%</w:t>
      </w:r>
    </w:p>
    <w:p w14:paraId="073BB145" w14:textId="77777777" w:rsidR="00677085" w:rsidRPr="00677085" w:rsidRDefault="00677085" w:rsidP="00677085">
      <w:pPr>
        <w:numPr>
          <w:ilvl w:val="1"/>
          <w:numId w:val="21"/>
        </w:numPr>
      </w:pPr>
      <w:r w:rsidRPr="00677085">
        <w:t>Customer service/responsiveness – 10%</w:t>
      </w:r>
    </w:p>
    <w:p w14:paraId="180C56F2" w14:textId="77777777" w:rsidR="00677085" w:rsidRPr="00677085" w:rsidRDefault="00677085" w:rsidP="00677085">
      <w:pPr>
        <w:numPr>
          <w:ilvl w:val="0"/>
          <w:numId w:val="21"/>
        </w:numPr>
      </w:pPr>
      <w:r w:rsidRPr="00677085">
        <w:t>Ratings are auto-calculated based on Quality &amp; Delivery Summary and feedback inputs.</w:t>
      </w:r>
    </w:p>
    <w:p w14:paraId="2C704234" w14:textId="77777777" w:rsidR="00677085" w:rsidRPr="00677085" w:rsidRDefault="00677085" w:rsidP="00677085">
      <w:pPr>
        <w:numPr>
          <w:ilvl w:val="0"/>
          <w:numId w:val="21"/>
        </w:numPr>
      </w:pPr>
      <w:r w:rsidRPr="00677085">
        <w:t>Suppliers with scores below the threshold (e.g., 80%) are flagged for review and possible delisting.</w:t>
      </w:r>
    </w:p>
    <w:p w14:paraId="69A898E2" w14:textId="77777777" w:rsidR="00677085" w:rsidRPr="00677085" w:rsidRDefault="00677085" w:rsidP="00677085">
      <w:pPr>
        <w:numPr>
          <w:ilvl w:val="0"/>
          <w:numId w:val="21"/>
        </w:numPr>
      </w:pPr>
      <w:r w:rsidRPr="00677085">
        <w:t>Corrective actions are documented and tracked via SCAR (F09).</w:t>
      </w:r>
    </w:p>
    <w:p w14:paraId="03FE07B2" w14:textId="77777777" w:rsidR="00677085" w:rsidRPr="00677085" w:rsidRDefault="00677085" w:rsidP="00677085">
      <w:pPr>
        <w:rPr>
          <w:b/>
          <w:bCs/>
        </w:rPr>
      </w:pPr>
      <w:r w:rsidRPr="00677085">
        <w:rPr>
          <w:b/>
          <w:bCs/>
        </w:rPr>
        <w:t>4.6 Outsourced Process Control</w:t>
      </w:r>
    </w:p>
    <w:p w14:paraId="4379F93A" w14:textId="77777777" w:rsidR="00677085" w:rsidRPr="00677085" w:rsidRDefault="00677085" w:rsidP="00677085">
      <w:pPr>
        <w:numPr>
          <w:ilvl w:val="0"/>
          <w:numId w:val="22"/>
        </w:numPr>
      </w:pPr>
      <w:r w:rsidRPr="00677085">
        <w:t>System must support registration and categorization of outsourced service providers (e.g., testing labs, calibration partners).</w:t>
      </w:r>
    </w:p>
    <w:p w14:paraId="395AFD70" w14:textId="77777777" w:rsidR="00677085" w:rsidRPr="00677085" w:rsidRDefault="00677085" w:rsidP="00677085">
      <w:pPr>
        <w:numPr>
          <w:ilvl w:val="0"/>
          <w:numId w:val="22"/>
        </w:numPr>
      </w:pPr>
      <w:r w:rsidRPr="00677085">
        <w:t>Formal Supplier Agreements (F10) must be stored with clearly defined scope of service, quality responsibilities, timelines, and documentation.</w:t>
      </w:r>
    </w:p>
    <w:p w14:paraId="72B98395" w14:textId="77777777" w:rsidR="00677085" w:rsidRPr="00677085" w:rsidRDefault="00677085" w:rsidP="00677085">
      <w:pPr>
        <w:numPr>
          <w:ilvl w:val="0"/>
          <w:numId w:val="22"/>
        </w:numPr>
      </w:pPr>
      <w:r w:rsidRPr="00677085">
        <w:t>Service quality is monitored through:</w:t>
      </w:r>
    </w:p>
    <w:p w14:paraId="51F9D96C" w14:textId="77777777" w:rsidR="00677085" w:rsidRPr="00677085" w:rsidRDefault="00677085" w:rsidP="00677085">
      <w:pPr>
        <w:numPr>
          <w:ilvl w:val="1"/>
          <w:numId w:val="22"/>
        </w:numPr>
      </w:pPr>
      <w:r w:rsidRPr="00677085">
        <w:t>Service delivery performance</w:t>
      </w:r>
    </w:p>
    <w:p w14:paraId="7916EC75" w14:textId="77777777" w:rsidR="00677085" w:rsidRPr="00677085" w:rsidRDefault="00677085" w:rsidP="00677085">
      <w:pPr>
        <w:numPr>
          <w:ilvl w:val="1"/>
          <w:numId w:val="22"/>
        </w:numPr>
      </w:pPr>
      <w:r w:rsidRPr="00677085">
        <w:t>Timeliness</w:t>
      </w:r>
    </w:p>
    <w:p w14:paraId="7F7A37BD" w14:textId="77777777" w:rsidR="00677085" w:rsidRPr="00677085" w:rsidRDefault="00677085" w:rsidP="00677085">
      <w:pPr>
        <w:numPr>
          <w:ilvl w:val="1"/>
          <w:numId w:val="22"/>
        </w:numPr>
      </w:pPr>
      <w:r w:rsidRPr="00677085">
        <w:t>Non-conformance incidents</w:t>
      </w:r>
    </w:p>
    <w:p w14:paraId="0EB95BF4" w14:textId="77777777" w:rsidR="00677085" w:rsidRPr="00677085" w:rsidRDefault="00677085" w:rsidP="00677085">
      <w:pPr>
        <w:numPr>
          <w:ilvl w:val="0"/>
          <w:numId w:val="22"/>
        </w:numPr>
      </w:pPr>
      <w:r w:rsidRPr="00677085">
        <w:t>Periodic evaluations are conducted by the QARA department. Providers not meeting quality or compliance expectations may be suspended or removed from the Approved List (F03A).</w:t>
      </w:r>
    </w:p>
    <w:p w14:paraId="780950B7" w14:textId="77777777" w:rsidR="00677085" w:rsidRPr="00677085" w:rsidRDefault="00677085" w:rsidP="00677085">
      <w:r w:rsidRPr="00677085">
        <w:lastRenderedPageBreak/>
        <w:pict w14:anchorId="5DF86EAE">
          <v:rect id="_x0000_i1120" style="width:0;height:1.5pt" o:hralign="center" o:hrstd="t" o:hr="t" fillcolor="#a0a0a0" stroked="f"/>
        </w:pict>
      </w:r>
    </w:p>
    <w:p w14:paraId="7145670A" w14:textId="77777777" w:rsidR="00677085" w:rsidRPr="00677085" w:rsidRDefault="00677085" w:rsidP="00677085">
      <w:pPr>
        <w:rPr>
          <w:b/>
          <w:bCs/>
        </w:rPr>
      </w:pPr>
      <w:r w:rsidRPr="00677085">
        <w:rPr>
          <w:b/>
          <w:bCs/>
        </w:rPr>
        <w:t>5. Non-Functional Requirements</w:t>
      </w:r>
    </w:p>
    <w:p w14:paraId="0E8ECED1" w14:textId="77777777" w:rsidR="00677085" w:rsidRPr="00677085" w:rsidRDefault="00677085" w:rsidP="00677085">
      <w:pPr>
        <w:numPr>
          <w:ilvl w:val="0"/>
          <w:numId w:val="23"/>
        </w:numPr>
      </w:pPr>
      <w:r w:rsidRPr="00677085">
        <w:rPr>
          <w:b/>
          <w:bCs/>
        </w:rPr>
        <w:t>Security:</w:t>
      </w:r>
      <w:r w:rsidRPr="00677085">
        <w:t xml:space="preserve"> The system must support robust role-based access control (RBAC), ensuring that users only access the functionalities and data relevant to their roles (e.g., QA, Purchase, Finance). Sensitive data such as pricing, audit reports, and supplier ratings must be protected from unauthorized access.</w:t>
      </w:r>
    </w:p>
    <w:p w14:paraId="17A0D5DC" w14:textId="77777777" w:rsidR="00677085" w:rsidRPr="00677085" w:rsidRDefault="00677085" w:rsidP="00677085">
      <w:pPr>
        <w:numPr>
          <w:ilvl w:val="0"/>
          <w:numId w:val="23"/>
        </w:numPr>
      </w:pPr>
      <w:r w:rsidRPr="00677085">
        <w:rPr>
          <w:b/>
          <w:bCs/>
        </w:rPr>
        <w:t>Traceability:</w:t>
      </w:r>
      <w:r w:rsidRPr="00677085">
        <w:t xml:space="preserve"> Every action performed within the system must be recorded in an audit trail, including timestamps, user IDs, document revisions, approvals, and changes. This enables full traceability from supplier onboarding to product receipt, supporting audits and regulatory compliance.</w:t>
      </w:r>
    </w:p>
    <w:p w14:paraId="103919AA" w14:textId="77777777" w:rsidR="00677085" w:rsidRPr="00677085" w:rsidRDefault="00677085" w:rsidP="00677085">
      <w:pPr>
        <w:numPr>
          <w:ilvl w:val="0"/>
          <w:numId w:val="23"/>
        </w:numPr>
      </w:pPr>
      <w:r w:rsidRPr="00677085">
        <w:rPr>
          <w:b/>
          <w:bCs/>
        </w:rPr>
        <w:t>Retention:</w:t>
      </w:r>
      <w:r w:rsidRPr="00677085">
        <w:t xml:space="preserve"> All purchasing records, including POs, audit results, supplier evaluations, certificates, and quality verification documents, must be stored securely for a minimum of 10 years to align with regulatory shelf life and traceability expectations for medical devices.</w:t>
      </w:r>
    </w:p>
    <w:p w14:paraId="799A3FD5" w14:textId="77777777" w:rsidR="00677085" w:rsidRPr="00677085" w:rsidRDefault="00677085" w:rsidP="00677085">
      <w:pPr>
        <w:numPr>
          <w:ilvl w:val="0"/>
          <w:numId w:val="23"/>
        </w:numPr>
      </w:pPr>
      <w:r w:rsidRPr="00677085">
        <w:rPr>
          <w:b/>
          <w:bCs/>
        </w:rPr>
        <w:t>Compliance:</w:t>
      </w:r>
      <w:r w:rsidRPr="00677085">
        <w:t xml:space="preserve"> The module must ensure conformance with ISO 13485:2016 Clause 7.4 and IMDR 2017 by enforcing supplier control, documentation, verification, and continuous performance evaluation mechanisms.</w:t>
      </w:r>
    </w:p>
    <w:p w14:paraId="2D8FCD9C" w14:textId="77777777" w:rsidR="00677085" w:rsidRPr="00677085" w:rsidRDefault="00677085" w:rsidP="00677085">
      <w:pPr>
        <w:numPr>
          <w:ilvl w:val="0"/>
          <w:numId w:val="23"/>
        </w:numPr>
      </w:pPr>
      <w:r w:rsidRPr="00677085">
        <w:rPr>
          <w:b/>
          <w:bCs/>
        </w:rPr>
        <w:t>Integration:</w:t>
      </w:r>
      <w:r w:rsidRPr="00677085">
        <w:t xml:space="preserve"> The purchasing module should be designed to seamlessly integrate with:</w:t>
      </w:r>
    </w:p>
    <w:p w14:paraId="00CF9DA3" w14:textId="77777777" w:rsidR="00677085" w:rsidRPr="00677085" w:rsidRDefault="00677085" w:rsidP="00677085">
      <w:pPr>
        <w:numPr>
          <w:ilvl w:val="1"/>
          <w:numId w:val="23"/>
        </w:numPr>
      </w:pPr>
      <w:r w:rsidRPr="00677085">
        <w:rPr>
          <w:b/>
          <w:bCs/>
        </w:rPr>
        <w:t>Inventory module</w:t>
      </w:r>
      <w:r w:rsidRPr="00677085">
        <w:t xml:space="preserve"> – for real-time stock updates and material </w:t>
      </w:r>
      <w:proofErr w:type="spellStart"/>
      <w:r w:rsidRPr="00677085">
        <w:t>inwarding</w:t>
      </w:r>
      <w:proofErr w:type="spellEnd"/>
    </w:p>
    <w:p w14:paraId="37DF2007" w14:textId="77777777" w:rsidR="00677085" w:rsidRPr="00677085" w:rsidRDefault="00677085" w:rsidP="00677085">
      <w:pPr>
        <w:numPr>
          <w:ilvl w:val="1"/>
          <w:numId w:val="23"/>
        </w:numPr>
      </w:pPr>
      <w:r w:rsidRPr="00677085">
        <w:rPr>
          <w:b/>
          <w:bCs/>
        </w:rPr>
        <w:t>QA module</w:t>
      </w:r>
      <w:r w:rsidRPr="00677085">
        <w:t xml:space="preserve"> – to trigger quality checks and receive approvals</w:t>
      </w:r>
    </w:p>
    <w:p w14:paraId="05DC6DA9" w14:textId="77777777" w:rsidR="00677085" w:rsidRPr="00677085" w:rsidRDefault="00677085" w:rsidP="00677085">
      <w:pPr>
        <w:numPr>
          <w:ilvl w:val="1"/>
          <w:numId w:val="23"/>
        </w:numPr>
      </w:pPr>
      <w:r w:rsidRPr="00677085">
        <w:rPr>
          <w:b/>
          <w:bCs/>
        </w:rPr>
        <w:t>Finance module</w:t>
      </w:r>
      <w:r w:rsidRPr="00677085">
        <w:t xml:space="preserve"> – for tracking budgets, payments, and generating cost reports</w:t>
      </w:r>
    </w:p>
    <w:p w14:paraId="7467A569" w14:textId="77777777" w:rsidR="00677085" w:rsidRPr="00677085" w:rsidRDefault="00677085" w:rsidP="00677085">
      <w:r w:rsidRPr="00677085">
        <w:pict w14:anchorId="664E9F62">
          <v:rect id="_x0000_i1129" style="width:0;height:1.5pt" o:hralign="center" o:hrstd="t" o:hr="t" fillcolor="#a0a0a0" stroked="f"/>
        </w:pict>
      </w:r>
    </w:p>
    <w:p w14:paraId="47654B0F" w14:textId="77777777" w:rsidR="00677085" w:rsidRPr="00677085" w:rsidRDefault="00677085" w:rsidP="00677085">
      <w:pPr>
        <w:rPr>
          <w:b/>
          <w:bCs/>
        </w:rPr>
      </w:pPr>
      <w:r w:rsidRPr="00677085">
        <w:rPr>
          <w:b/>
          <w:bCs/>
        </w:rPr>
        <w:t>6. Stakeholders and Roles</w:t>
      </w:r>
    </w:p>
    <w:tbl>
      <w:tblPr>
        <w:tblW w:w="90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390"/>
      </w:tblGrid>
      <w:tr w:rsidR="00677085" w:rsidRPr="00677085" w14:paraId="0AE0E9C1" w14:textId="77777777" w:rsidTr="00677085">
        <w:trPr>
          <w:tblHeader/>
          <w:tblCellSpacing w:w="15" w:type="dxa"/>
        </w:trPr>
        <w:tc>
          <w:tcPr>
            <w:tcW w:w="2650" w:type="dxa"/>
            <w:vAlign w:val="center"/>
            <w:hideMark/>
          </w:tcPr>
          <w:p w14:paraId="13FD4A0E" w14:textId="77777777" w:rsidR="00677085" w:rsidRPr="00677085" w:rsidRDefault="00677085" w:rsidP="00677085">
            <w:pPr>
              <w:rPr>
                <w:b/>
                <w:bCs/>
              </w:rPr>
            </w:pPr>
            <w:r w:rsidRPr="00677085">
              <w:rPr>
                <w:b/>
                <w:bCs/>
              </w:rPr>
              <w:t>Role</w:t>
            </w:r>
          </w:p>
        </w:tc>
        <w:tc>
          <w:tcPr>
            <w:tcW w:w="6345" w:type="dxa"/>
            <w:vAlign w:val="center"/>
            <w:hideMark/>
          </w:tcPr>
          <w:p w14:paraId="770EB920" w14:textId="77777777" w:rsidR="00677085" w:rsidRPr="00677085" w:rsidRDefault="00677085" w:rsidP="00677085">
            <w:pPr>
              <w:rPr>
                <w:b/>
                <w:bCs/>
              </w:rPr>
            </w:pPr>
            <w:r w:rsidRPr="00677085">
              <w:rPr>
                <w:b/>
                <w:bCs/>
              </w:rPr>
              <w:t>Responsibilities</w:t>
            </w:r>
          </w:p>
        </w:tc>
      </w:tr>
      <w:tr w:rsidR="00677085" w:rsidRPr="00677085" w14:paraId="6A69CB54" w14:textId="77777777" w:rsidTr="00677085">
        <w:trPr>
          <w:tblCellSpacing w:w="15" w:type="dxa"/>
        </w:trPr>
        <w:tc>
          <w:tcPr>
            <w:tcW w:w="2650" w:type="dxa"/>
            <w:vAlign w:val="center"/>
            <w:hideMark/>
          </w:tcPr>
          <w:p w14:paraId="71743E98" w14:textId="77777777" w:rsidR="00677085" w:rsidRPr="00677085" w:rsidRDefault="00677085" w:rsidP="00677085">
            <w:r w:rsidRPr="00677085">
              <w:t>Purchase Executive</w:t>
            </w:r>
          </w:p>
        </w:tc>
        <w:tc>
          <w:tcPr>
            <w:tcW w:w="6345" w:type="dxa"/>
            <w:vAlign w:val="center"/>
            <w:hideMark/>
          </w:tcPr>
          <w:p w14:paraId="139230E0" w14:textId="77777777" w:rsidR="00677085" w:rsidRPr="00677085" w:rsidRDefault="00677085" w:rsidP="00677085">
            <w:r w:rsidRPr="00677085">
              <w:t>Raise PRs, manage POs, liaise with suppliers</w:t>
            </w:r>
          </w:p>
        </w:tc>
      </w:tr>
      <w:tr w:rsidR="00677085" w:rsidRPr="00677085" w14:paraId="24A410C4" w14:textId="77777777" w:rsidTr="00677085">
        <w:trPr>
          <w:tblCellSpacing w:w="15" w:type="dxa"/>
        </w:trPr>
        <w:tc>
          <w:tcPr>
            <w:tcW w:w="2650" w:type="dxa"/>
            <w:vAlign w:val="center"/>
            <w:hideMark/>
          </w:tcPr>
          <w:p w14:paraId="77AA3A11" w14:textId="77777777" w:rsidR="00677085" w:rsidRPr="00677085" w:rsidRDefault="00677085" w:rsidP="00677085">
            <w:r w:rsidRPr="00677085">
              <w:t>QA Inspector</w:t>
            </w:r>
          </w:p>
        </w:tc>
        <w:tc>
          <w:tcPr>
            <w:tcW w:w="6345" w:type="dxa"/>
            <w:vAlign w:val="center"/>
            <w:hideMark/>
          </w:tcPr>
          <w:p w14:paraId="5882953C" w14:textId="77777777" w:rsidR="00677085" w:rsidRPr="00677085" w:rsidRDefault="00677085" w:rsidP="00677085">
            <w:r w:rsidRPr="00677085">
              <w:t>Validate received materials</w:t>
            </w:r>
          </w:p>
        </w:tc>
      </w:tr>
      <w:tr w:rsidR="00677085" w:rsidRPr="00677085" w14:paraId="5FF65013" w14:textId="77777777" w:rsidTr="00677085">
        <w:trPr>
          <w:tblCellSpacing w:w="15" w:type="dxa"/>
        </w:trPr>
        <w:tc>
          <w:tcPr>
            <w:tcW w:w="2650" w:type="dxa"/>
            <w:vAlign w:val="center"/>
            <w:hideMark/>
          </w:tcPr>
          <w:p w14:paraId="4523ED3E" w14:textId="77777777" w:rsidR="00677085" w:rsidRPr="00677085" w:rsidRDefault="00677085" w:rsidP="00677085">
            <w:r w:rsidRPr="00677085">
              <w:t>Dept. Heads</w:t>
            </w:r>
          </w:p>
        </w:tc>
        <w:tc>
          <w:tcPr>
            <w:tcW w:w="6345" w:type="dxa"/>
            <w:vAlign w:val="center"/>
            <w:hideMark/>
          </w:tcPr>
          <w:p w14:paraId="0E514CA7" w14:textId="77777777" w:rsidR="00677085" w:rsidRPr="00677085" w:rsidRDefault="00677085" w:rsidP="00677085">
            <w:r w:rsidRPr="00677085">
              <w:t>Approve PRs and vendor selections</w:t>
            </w:r>
          </w:p>
        </w:tc>
      </w:tr>
      <w:tr w:rsidR="00677085" w:rsidRPr="00677085" w14:paraId="5AA371E6" w14:textId="77777777" w:rsidTr="00677085">
        <w:trPr>
          <w:tblCellSpacing w:w="15" w:type="dxa"/>
        </w:trPr>
        <w:tc>
          <w:tcPr>
            <w:tcW w:w="2650" w:type="dxa"/>
            <w:vAlign w:val="center"/>
            <w:hideMark/>
          </w:tcPr>
          <w:p w14:paraId="076AC598" w14:textId="77777777" w:rsidR="00677085" w:rsidRPr="00677085" w:rsidRDefault="00677085" w:rsidP="00677085">
            <w:r w:rsidRPr="00677085">
              <w:t>QARA / MR</w:t>
            </w:r>
          </w:p>
        </w:tc>
        <w:tc>
          <w:tcPr>
            <w:tcW w:w="6345" w:type="dxa"/>
            <w:vAlign w:val="center"/>
            <w:hideMark/>
          </w:tcPr>
          <w:p w14:paraId="262AFFC8" w14:textId="77777777" w:rsidR="00677085" w:rsidRPr="00677085" w:rsidRDefault="00677085" w:rsidP="00677085">
            <w:r w:rsidRPr="00677085">
              <w:t>Final supplier approval, waiver handling</w:t>
            </w:r>
          </w:p>
        </w:tc>
      </w:tr>
      <w:tr w:rsidR="00677085" w:rsidRPr="00677085" w14:paraId="7C87B558" w14:textId="77777777" w:rsidTr="00677085">
        <w:trPr>
          <w:tblCellSpacing w:w="15" w:type="dxa"/>
        </w:trPr>
        <w:tc>
          <w:tcPr>
            <w:tcW w:w="2650" w:type="dxa"/>
            <w:vAlign w:val="center"/>
            <w:hideMark/>
          </w:tcPr>
          <w:p w14:paraId="4B556104" w14:textId="77777777" w:rsidR="00677085" w:rsidRPr="00677085" w:rsidRDefault="00677085" w:rsidP="00677085">
            <w:r w:rsidRPr="00677085">
              <w:t>Finance</w:t>
            </w:r>
          </w:p>
        </w:tc>
        <w:tc>
          <w:tcPr>
            <w:tcW w:w="6345" w:type="dxa"/>
            <w:vAlign w:val="center"/>
            <w:hideMark/>
          </w:tcPr>
          <w:p w14:paraId="2577B5D7" w14:textId="77777777" w:rsidR="00677085" w:rsidRPr="00677085" w:rsidRDefault="00677085" w:rsidP="00677085">
            <w:r w:rsidRPr="00677085">
              <w:t>Review budget and payment approval</w:t>
            </w:r>
          </w:p>
        </w:tc>
      </w:tr>
    </w:tbl>
    <w:p w14:paraId="7D44F2AB" w14:textId="77777777" w:rsidR="00677085" w:rsidRPr="00677085" w:rsidRDefault="00677085" w:rsidP="00677085">
      <w:r w:rsidRPr="00677085">
        <w:pict w14:anchorId="369907A7">
          <v:rect id="_x0000_i1097" style="width:0;height:1.5pt" o:hralign="center" o:hrstd="t" o:hr="t" fillcolor="#a0a0a0" stroked="f"/>
        </w:pict>
      </w:r>
    </w:p>
    <w:p w14:paraId="591E7425" w14:textId="77777777" w:rsidR="00677085" w:rsidRPr="00677085" w:rsidRDefault="00677085" w:rsidP="00677085">
      <w:pPr>
        <w:rPr>
          <w:b/>
          <w:bCs/>
        </w:rPr>
      </w:pPr>
      <w:r w:rsidRPr="00677085">
        <w:rPr>
          <w:b/>
          <w:bCs/>
        </w:rPr>
        <w:t>7. Associated Forms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6390"/>
      </w:tblGrid>
      <w:tr w:rsidR="00677085" w:rsidRPr="00677085" w14:paraId="74497517" w14:textId="77777777" w:rsidTr="00677085">
        <w:trPr>
          <w:tblHeader/>
          <w:tblCellSpacing w:w="15" w:type="dxa"/>
        </w:trPr>
        <w:tc>
          <w:tcPr>
            <w:tcW w:w="1480" w:type="dxa"/>
            <w:vAlign w:val="center"/>
            <w:hideMark/>
          </w:tcPr>
          <w:p w14:paraId="005A8A2F" w14:textId="77777777" w:rsidR="00677085" w:rsidRPr="00677085" w:rsidRDefault="00677085" w:rsidP="00677085">
            <w:pPr>
              <w:rPr>
                <w:b/>
                <w:bCs/>
              </w:rPr>
            </w:pPr>
            <w:r w:rsidRPr="00677085">
              <w:rPr>
                <w:b/>
                <w:bCs/>
              </w:rPr>
              <w:lastRenderedPageBreak/>
              <w:t>Form Code</w:t>
            </w:r>
          </w:p>
        </w:tc>
        <w:tc>
          <w:tcPr>
            <w:tcW w:w="6345" w:type="dxa"/>
            <w:vAlign w:val="center"/>
            <w:hideMark/>
          </w:tcPr>
          <w:p w14:paraId="2C73DF47" w14:textId="77777777" w:rsidR="00677085" w:rsidRPr="00677085" w:rsidRDefault="00677085" w:rsidP="00677085">
            <w:pPr>
              <w:rPr>
                <w:b/>
                <w:bCs/>
              </w:rPr>
            </w:pPr>
            <w:r w:rsidRPr="00677085">
              <w:rPr>
                <w:b/>
                <w:bCs/>
              </w:rPr>
              <w:t>Title</w:t>
            </w:r>
          </w:p>
        </w:tc>
      </w:tr>
      <w:tr w:rsidR="00677085" w:rsidRPr="00677085" w14:paraId="5E887A8B" w14:textId="77777777" w:rsidTr="00677085">
        <w:trPr>
          <w:tblCellSpacing w:w="15" w:type="dxa"/>
        </w:trPr>
        <w:tc>
          <w:tcPr>
            <w:tcW w:w="1480" w:type="dxa"/>
            <w:vAlign w:val="center"/>
            <w:hideMark/>
          </w:tcPr>
          <w:p w14:paraId="411DFAD3" w14:textId="77777777" w:rsidR="00677085" w:rsidRPr="00677085" w:rsidRDefault="00677085" w:rsidP="00677085">
            <w:r w:rsidRPr="00677085">
              <w:t>F02</w:t>
            </w:r>
          </w:p>
        </w:tc>
        <w:tc>
          <w:tcPr>
            <w:tcW w:w="6345" w:type="dxa"/>
            <w:vAlign w:val="center"/>
            <w:hideMark/>
          </w:tcPr>
          <w:p w14:paraId="362C5A14" w14:textId="77777777" w:rsidR="00677085" w:rsidRPr="00677085" w:rsidRDefault="00677085" w:rsidP="00677085">
            <w:r w:rsidRPr="00677085">
              <w:t>Supplier Rating</w:t>
            </w:r>
          </w:p>
        </w:tc>
      </w:tr>
      <w:tr w:rsidR="00677085" w:rsidRPr="00677085" w14:paraId="6DE4CE50" w14:textId="77777777" w:rsidTr="00677085">
        <w:trPr>
          <w:tblCellSpacing w:w="15" w:type="dxa"/>
        </w:trPr>
        <w:tc>
          <w:tcPr>
            <w:tcW w:w="1480" w:type="dxa"/>
            <w:vAlign w:val="center"/>
            <w:hideMark/>
          </w:tcPr>
          <w:p w14:paraId="34D21910" w14:textId="77777777" w:rsidR="00677085" w:rsidRPr="00677085" w:rsidRDefault="00677085" w:rsidP="00677085">
            <w:r w:rsidRPr="00677085">
              <w:t>F03</w:t>
            </w:r>
          </w:p>
        </w:tc>
        <w:tc>
          <w:tcPr>
            <w:tcW w:w="6345" w:type="dxa"/>
            <w:vAlign w:val="center"/>
            <w:hideMark/>
          </w:tcPr>
          <w:p w14:paraId="7B184A3C" w14:textId="77777777" w:rsidR="00677085" w:rsidRPr="00677085" w:rsidRDefault="00677085" w:rsidP="00677085">
            <w:r w:rsidRPr="00677085">
              <w:t>Approved Supplier List</w:t>
            </w:r>
          </w:p>
        </w:tc>
      </w:tr>
      <w:tr w:rsidR="00677085" w:rsidRPr="00677085" w14:paraId="4E94F595" w14:textId="77777777" w:rsidTr="00677085">
        <w:trPr>
          <w:tblCellSpacing w:w="15" w:type="dxa"/>
        </w:trPr>
        <w:tc>
          <w:tcPr>
            <w:tcW w:w="1480" w:type="dxa"/>
            <w:vAlign w:val="center"/>
            <w:hideMark/>
          </w:tcPr>
          <w:p w14:paraId="7DCBD044" w14:textId="77777777" w:rsidR="00677085" w:rsidRPr="00677085" w:rsidRDefault="00677085" w:rsidP="00677085">
            <w:r w:rsidRPr="00677085">
              <w:t>F03A</w:t>
            </w:r>
          </w:p>
        </w:tc>
        <w:tc>
          <w:tcPr>
            <w:tcW w:w="6345" w:type="dxa"/>
            <w:vAlign w:val="center"/>
            <w:hideMark/>
          </w:tcPr>
          <w:p w14:paraId="0F01AEA0" w14:textId="77777777" w:rsidR="00677085" w:rsidRPr="00677085" w:rsidRDefault="00677085" w:rsidP="00677085">
            <w:r w:rsidRPr="00677085">
              <w:t>Approved Service Provider List</w:t>
            </w:r>
          </w:p>
        </w:tc>
      </w:tr>
      <w:tr w:rsidR="00677085" w:rsidRPr="00677085" w14:paraId="185F2E46" w14:textId="77777777" w:rsidTr="00677085">
        <w:trPr>
          <w:tblCellSpacing w:w="15" w:type="dxa"/>
        </w:trPr>
        <w:tc>
          <w:tcPr>
            <w:tcW w:w="1480" w:type="dxa"/>
            <w:vAlign w:val="center"/>
            <w:hideMark/>
          </w:tcPr>
          <w:p w14:paraId="439E3D94" w14:textId="77777777" w:rsidR="00677085" w:rsidRPr="00677085" w:rsidRDefault="00677085" w:rsidP="00677085">
            <w:r w:rsidRPr="00677085">
              <w:t>F04</w:t>
            </w:r>
          </w:p>
        </w:tc>
        <w:tc>
          <w:tcPr>
            <w:tcW w:w="6345" w:type="dxa"/>
            <w:vAlign w:val="center"/>
            <w:hideMark/>
          </w:tcPr>
          <w:p w14:paraId="28AD388C" w14:textId="77777777" w:rsidR="00677085" w:rsidRPr="00677085" w:rsidRDefault="00677085" w:rsidP="00677085">
            <w:r w:rsidRPr="00677085">
              <w:t>Supplier Registration Form</w:t>
            </w:r>
          </w:p>
        </w:tc>
      </w:tr>
      <w:tr w:rsidR="00677085" w:rsidRPr="00677085" w14:paraId="2BC0875B" w14:textId="77777777" w:rsidTr="00677085">
        <w:trPr>
          <w:tblCellSpacing w:w="15" w:type="dxa"/>
        </w:trPr>
        <w:tc>
          <w:tcPr>
            <w:tcW w:w="1480" w:type="dxa"/>
            <w:vAlign w:val="center"/>
            <w:hideMark/>
          </w:tcPr>
          <w:p w14:paraId="167EFDFC" w14:textId="77777777" w:rsidR="00677085" w:rsidRPr="00677085" w:rsidRDefault="00677085" w:rsidP="00677085">
            <w:r w:rsidRPr="00677085">
              <w:t>F05</w:t>
            </w:r>
          </w:p>
        </w:tc>
        <w:tc>
          <w:tcPr>
            <w:tcW w:w="6345" w:type="dxa"/>
            <w:vAlign w:val="center"/>
            <w:hideMark/>
          </w:tcPr>
          <w:p w14:paraId="20E27C1F" w14:textId="77777777" w:rsidR="00677085" w:rsidRPr="00677085" w:rsidRDefault="00677085" w:rsidP="00677085">
            <w:r w:rsidRPr="00677085">
              <w:t>Supplier Assessment Form</w:t>
            </w:r>
          </w:p>
        </w:tc>
      </w:tr>
      <w:tr w:rsidR="00677085" w:rsidRPr="00677085" w14:paraId="572298F8" w14:textId="77777777" w:rsidTr="00677085">
        <w:trPr>
          <w:tblCellSpacing w:w="15" w:type="dxa"/>
        </w:trPr>
        <w:tc>
          <w:tcPr>
            <w:tcW w:w="1480" w:type="dxa"/>
            <w:vAlign w:val="center"/>
            <w:hideMark/>
          </w:tcPr>
          <w:p w14:paraId="14157C96" w14:textId="77777777" w:rsidR="00677085" w:rsidRPr="00677085" w:rsidRDefault="00677085" w:rsidP="00677085">
            <w:r w:rsidRPr="00677085">
              <w:t>F06</w:t>
            </w:r>
          </w:p>
        </w:tc>
        <w:tc>
          <w:tcPr>
            <w:tcW w:w="6345" w:type="dxa"/>
            <w:vAlign w:val="center"/>
            <w:hideMark/>
          </w:tcPr>
          <w:p w14:paraId="175947C2" w14:textId="77777777" w:rsidR="00677085" w:rsidRPr="00677085" w:rsidRDefault="00677085" w:rsidP="00677085">
            <w:r w:rsidRPr="00677085">
              <w:t>Purchase Order</w:t>
            </w:r>
          </w:p>
        </w:tc>
      </w:tr>
      <w:tr w:rsidR="00677085" w:rsidRPr="00677085" w14:paraId="551A3610" w14:textId="77777777" w:rsidTr="00677085">
        <w:trPr>
          <w:tblCellSpacing w:w="15" w:type="dxa"/>
        </w:trPr>
        <w:tc>
          <w:tcPr>
            <w:tcW w:w="1480" w:type="dxa"/>
            <w:vAlign w:val="center"/>
            <w:hideMark/>
          </w:tcPr>
          <w:p w14:paraId="65534479" w14:textId="77777777" w:rsidR="00677085" w:rsidRPr="00677085" w:rsidRDefault="00677085" w:rsidP="00677085">
            <w:r w:rsidRPr="00677085">
              <w:t>F07</w:t>
            </w:r>
          </w:p>
        </w:tc>
        <w:tc>
          <w:tcPr>
            <w:tcW w:w="6345" w:type="dxa"/>
            <w:vAlign w:val="center"/>
            <w:hideMark/>
          </w:tcPr>
          <w:p w14:paraId="4676C2C1" w14:textId="77777777" w:rsidR="00677085" w:rsidRPr="00677085" w:rsidRDefault="00677085" w:rsidP="00677085">
            <w:r w:rsidRPr="00677085">
              <w:t>Quality &amp; Delivery Summary</w:t>
            </w:r>
          </w:p>
        </w:tc>
      </w:tr>
      <w:tr w:rsidR="00677085" w:rsidRPr="00677085" w14:paraId="7469C099" w14:textId="77777777" w:rsidTr="00677085">
        <w:trPr>
          <w:tblCellSpacing w:w="15" w:type="dxa"/>
        </w:trPr>
        <w:tc>
          <w:tcPr>
            <w:tcW w:w="1480" w:type="dxa"/>
            <w:vAlign w:val="center"/>
            <w:hideMark/>
          </w:tcPr>
          <w:p w14:paraId="6998D662" w14:textId="77777777" w:rsidR="00677085" w:rsidRPr="00677085" w:rsidRDefault="00677085" w:rsidP="00677085">
            <w:r w:rsidRPr="00677085">
              <w:t>F08</w:t>
            </w:r>
          </w:p>
        </w:tc>
        <w:tc>
          <w:tcPr>
            <w:tcW w:w="6345" w:type="dxa"/>
            <w:vAlign w:val="center"/>
            <w:hideMark/>
          </w:tcPr>
          <w:p w14:paraId="27654DE3" w14:textId="77777777" w:rsidR="00677085" w:rsidRPr="00677085" w:rsidRDefault="00677085" w:rsidP="00677085">
            <w:r w:rsidRPr="00677085">
              <w:t>Material Indent</w:t>
            </w:r>
          </w:p>
        </w:tc>
      </w:tr>
      <w:tr w:rsidR="00677085" w:rsidRPr="00677085" w14:paraId="026D528F" w14:textId="77777777" w:rsidTr="00677085">
        <w:trPr>
          <w:tblCellSpacing w:w="15" w:type="dxa"/>
        </w:trPr>
        <w:tc>
          <w:tcPr>
            <w:tcW w:w="1480" w:type="dxa"/>
            <w:vAlign w:val="center"/>
            <w:hideMark/>
          </w:tcPr>
          <w:p w14:paraId="180EA432" w14:textId="77777777" w:rsidR="00677085" w:rsidRPr="00677085" w:rsidRDefault="00677085" w:rsidP="00677085">
            <w:r w:rsidRPr="00677085">
              <w:t>F09</w:t>
            </w:r>
          </w:p>
        </w:tc>
        <w:tc>
          <w:tcPr>
            <w:tcW w:w="6345" w:type="dxa"/>
            <w:vAlign w:val="center"/>
            <w:hideMark/>
          </w:tcPr>
          <w:p w14:paraId="04BDDA53" w14:textId="77777777" w:rsidR="00677085" w:rsidRPr="00677085" w:rsidRDefault="00677085" w:rsidP="00677085">
            <w:r w:rsidRPr="00677085">
              <w:t>Supplier Corrective Action Request</w:t>
            </w:r>
          </w:p>
        </w:tc>
      </w:tr>
      <w:tr w:rsidR="00677085" w:rsidRPr="00677085" w14:paraId="65AFEE6F" w14:textId="77777777" w:rsidTr="00677085">
        <w:trPr>
          <w:tblCellSpacing w:w="15" w:type="dxa"/>
        </w:trPr>
        <w:tc>
          <w:tcPr>
            <w:tcW w:w="1480" w:type="dxa"/>
            <w:vAlign w:val="center"/>
            <w:hideMark/>
          </w:tcPr>
          <w:p w14:paraId="3704F877" w14:textId="77777777" w:rsidR="00677085" w:rsidRPr="00677085" w:rsidRDefault="00677085" w:rsidP="00677085">
            <w:r w:rsidRPr="00677085">
              <w:t>F10</w:t>
            </w:r>
          </w:p>
        </w:tc>
        <w:tc>
          <w:tcPr>
            <w:tcW w:w="6345" w:type="dxa"/>
            <w:vAlign w:val="center"/>
            <w:hideMark/>
          </w:tcPr>
          <w:p w14:paraId="54BCAFC5" w14:textId="77777777" w:rsidR="00677085" w:rsidRPr="00677085" w:rsidRDefault="00677085" w:rsidP="00677085">
            <w:r w:rsidRPr="00677085">
              <w:t>Supplier Agreement</w:t>
            </w:r>
          </w:p>
        </w:tc>
      </w:tr>
    </w:tbl>
    <w:p w14:paraId="295AF84F" w14:textId="77777777" w:rsidR="00677085" w:rsidRPr="00677085" w:rsidRDefault="00677085" w:rsidP="00677085">
      <w:r w:rsidRPr="00677085">
        <w:pict w14:anchorId="27C753C2">
          <v:rect id="_x0000_i1098" style="width:0;height:1.5pt" o:hralign="center" o:hrstd="t" o:hr="t" fillcolor="#a0a0a0" stroked="f"/>
        </w:pict>
      </w:r>
    </w:p>
    <w:p w14:paraId="21F4BC54" w14:textId="77777777" w:rsidR="00677085" w:rsidRPr="00677085" w:rsidRDefault="00677085" w:rsidP="00677085">
      <w:pPr>
        <w:rPr>
          <w:b/>
          <w:bCs/>
        </w:rPr>
      </w:pPr>
      <w:r w:rsidRPr="00677085">
        <w:rPr>
          <w:b/>
          <w:bCs/>
        </w:rPr>
        <w:t>8. Reports &amp; Dashboard Outputs</w:t>
      </w:r>
    </w:p>
    <w:p w14:paraId="44E99CE3" w14:textId="77777777" w:rsidR="00677085" w:rsidRPr="00677085" w:rsidRDefault="00677085" w:rsidP="00677085">
      <w:pPr>
        <w:numPr>
          <w:ilvl w:val="0"/>
          <w:numId w:val="10"/>
        </w:numPr>
      </w:pPr>
      <w:r w:rsidRPr="00677085">
        <w:t>Procurement Status Summary</w:t>
      </w:r>
    </w:p>
    <w:p w14:paraId="5134770C" w14:textId="77777777" w:rsidR="00677085" w:rsidRPr="00677085" w:rsidRDefault="00677085" w:rsidP="00677085">
      <w:pPr>
        <w:numPr>
          <w:ilvl w:val="0"/>
          <w:numId w:val="10"/>
        </w:numPr>
      </w:pPr>
      <w:r w:rsidRPr="00677085">
        <w:t>Supplier Performance Scorecard</w:t>
      </w:r>
    </w:p>
    <w:p w14:paraId="64C7E53E" w14:textId="77777777" w:rsidR="00677085" w:rsidRPr="00677085" w:rsidRDefault="00677085" w:rsidP="00677085">
      <w:pPr>
        <w:numPr>
          <w:ilvl w:val="0"/>
          <w:numId w:val="10"/>
        </w:numPr>
      </w:pPr>
      <w:r w:rsidRPr="00677085">
        <w:t>Open SCAR Tracker</w:t>
      </w:r>
    </w:p>
    <w:p w14:paraId="63B26C37" w14:textId="77777777" w:rsidR="00677085" w:rsidRPr="00677085" w:rsidRDefault="00677085" w:rsidP="00677085">
      <w:pPr>
        <w:numPr>
          <w:ilvl w:val="0"/>
          <w:numId w:val="10"/>
        </w:numPr>
      </w:pPr>
      <w:r w:rsidRPr="00677085">
        <w:t>Material Acceptance/Rejection Dashboard</w:t>
      </w:r>
    </w:p>
    <w:p w14:paraId="4EEE5B03" w14:textId="77777777" w:rsidR="00677085" w:rsidRPr="00677085" w:rsidRDefault="00677085" w:rsidP="00677085">
      <w:r w:rsidRPr="00677085">
        <w:pict w14:anchorId="24E50BE6">
          <v:rect id="_x0000_i1099" style="width:0;height:1.5pt" o:hralign="center" o:hrstd="t" o:hr="t" fillcolor="#a0a0a0" stroked="f"/>
        </w:pict>
      </w:r>
    </w:p>
    <w:p w14:paraId="2926648C" w14:textId="77777777" w:rsidR="00677085" w:rsidRPr="00677085" w:rsidRDefault="00677085" w:rsidP="00677085">
      <w:pPr>
        <w:rPr>
          <w:b/>
          <w:bCs/>
        </w:rPr>
      </w:pPr>
      <w:r w:rsidRPr="00677085">
        <w:rPr>
          <w:b/>
          <w:bCs/>
        </w:rPr>
        <w:t>9. Constraints &amp; Considerations</w:t>
      </w:r>
    </w:p>
    <w:p w14:paraId="3D05022B" w14:textId="77777777" w:rsidR="00677085" w:rsidRPr="00677085" w:rsidRDefault="00677085" w:rsidP="00677085">
      <w:pPr>
        <w:numPr>
          <w:ilvl w:val="0"/>
          <w:numId w:val="11"/>
        </w:numPr>
      </w:pPr>
      <w:r w:rsidRPr="00677085">
        <w:t>Forms will be digitized and accessible via the system</w:t>
      </w:r>
    </w:p>
    <w:p w14:paraId="0430FE92" w14:textId="77777777" w:rsidR="00677085" w:rsidRPr="00677085" w:rsidRDefault="00677085" w:rsidP="00677085">
      <w:pPr>
        <w:numPr>
          <w:ilvl w:val="0"/>
          <w:numId w:val="11"/>
        </w:numPr>
      </w:pPr>
      <w:r w:rsidRPr="00677085">
        <w:t>Approval workflows must align with internal matrix</w:t>
      </w:r>
    </w:p>
    <w:p w14:paraId="66A2DD6F" w14:textId="77777777" w:rsidR="00677085" w:rsidRPr="00677085" w:rsidRDefault="00677085" w:rsidP="00677085">
      <w:r w:rsidRPr="00677085">
        <w:pict w14:anchorId="020648E8">
          <v:rect id="_x0000_i1100" style="width:0;height:1.5pt" o:hralign="center" o:hrstd="t" o:hr="t" fillcolor="#a0a0a0" stroked="f"/>
        </w:pict>
      </w:r>
    </w:p>
    <w:p w14:paraId="397172DB" w14:textId="77777777" w:rsidR="00677085" w:rsidRDefault="00677085">
      <w:pPr>
        <w:rPr>
          <w:b/>
          <w:bCs/>
        </w:rPr>
      </w:pPr>
      <w:r>
        <w:rPr>
          <w:b/>
          <w:bCs/>
        </w:rPr>
        <w:br w:type="page"/>
      </w:r>
    </w:p>
    <w:p w14:paraId="1115E696" w14:textId="2FA71F88" w:rsidR="00677085" w:rsidRPr="00677085" w:rsidRDefault="00677085" w:rsidP="00677085">
      <w:pPr>
        <w:rPr>
          <w:b/>
          <w:bCs/>
          <w:sz w:val="30"/>
          <w:szCs w:val="30"/>
        </w:rPr>
      </w:pPr>
      <w:r w:rsidRPr="00677085">
        <w:rPr>
          <w:b/>
          <w:bCs/>
          <w:sz w:val="30"/>
          <w:szCs w:val="30"/>
        </w:rPr>
        <w:lastRenderedPageBreak/>
        <w:t>Visual Deliverables</w:t>
      </w:r>
    </w:p>
    <w:p w14:paraId="103BB441" w14:textId="77777777" w:rsidR="00677085" w:rsidRPr="00677085" w:rsidRDefault="00677085" w:rsidP="00677085">
      <w:pPr>
        <w:rPr>
          <w:b/>
          <w:bCs/>
        </w:rPr>
      </w:pPr>
      <w:r w:rsidRPr="00677085">
        <w:rPr>
          <w:b/>
          <w:bCs/>
        </w:rPr>
        <w:t>10.1 Wireframe - Supplier Management Interface</w:t>
      </w:r>
    </w:p>
    <w:p w14:paraId="5D7ED816" w14:textId="77777777" w:rsidR="00677085" w:rsidRPr="00677085" w:rsidRDefault="00677085" w:rsidP="00677085">
      <w:pPr>
        <w:numPr>
          <w:ilvl w:val="0"/>
          <w:numId w:val="12"/>
        </w:numPr>
      </w:pPr>
      <w:r w:rsidRPr="00677085">
        <w:t>Tabs: Registration, Assessment, Approval, Rating</w:t>
      </w:r>
    </w:p>
    <w:p w14:paraId="66349FDA" w14:textId="77777777" w:rsidR="00677085" w:rsidRPr="00677085" w:rsidRDefault="00677085" w:rsidP="00677085">
      <w:pPr>
        <w:numPr>
          <w:ilvl w:val="0"/>
          <w:numId w:val="12"/>
        </w:numPr>
      </w:pPr>
      <w:r w:rsidRPr="00677085">
        <w:t>Key Fields: Supplier Info, Certification Upload, Evaluation Score, Status</w:t>
      </w:r>
    </w:p>
    <w:p w14:paraId="0BE56290" w14:textId="77777777" w:rsidR="00677085" w:rsidRPr="00677085" w:rsidRDefault="00677085" w:rsidP="00677085">
      <w:pPr>
        <w:rPr>
          <w:b/>
          <w:bCs/>
        </w:rPr>
      </w:pPr>
      <w:r w:rsidRPr="00677085">
        <w:rPr>
          <w:b/>
          <w:bCs/>
        </w:rPr>
        <w:t>10.2 Wireframe - Purchase Requisition Workflow</w:t>
      </w:r>
    </w:p>
    <w:p w14:paraId="7A02E528" w14:textId="77777777" w:rsidR="00677085" w:rsidRPr="00677085" w:rsidRDefault="00677085" w:rsidP="00677085">
      <w:pPr>
        <w:numPr>
          <w:ilvl w:val="0"/>
          <w:numId w:val="13"/>
        </w:numPr>
      </w:pPr>
      <w:r w:rsidRPr="00677085">
        <w:t>Flow: Create PR → Review by Dept. Head → PO Generation → QA Approval → GRN</w:t>
      </w:r>
    </w:p>
    <w:p w14:paraId="5C1E2E3C" w14:textId="77777777" w:rsidR="00677085" w:rsidRPr="00677085" w:rsidRDefault="00677085" w:rsidP="00677085">
      <w:pPr>
        <w:numPr>
          <w:ilvl w:val="0"/>
          <w:numId w:val="13"/>
        </w:numPr>
      </w:pPr>
      <w:r w:rsidRPr="00677085">
        <w:t>Key Features: BOM linkage, Approval Trail, Notifications</w:t>
      </w:r>
    </w:p>
    <w:p w14:paraId="0CE093A2" w14:textId="77777777" w:rsidR="00677085" w:rsidRPr="00677085" w:rsidRDefault="00677085" w:rsidP="00677085">
      <w:pPr>
        <w:rPr>
          <w:b/>
          <w:bCs/>
        </w:rPr>
      </w:pPr>
      <w:r w:rsidRPr="00677085">
        <w:rPr>
          <w:b/>
          <w:bCs/>
        </w:rPr>
        <w:t>10.3 Workflow Diagram - End-to-End Procurement</w:t>
      </w:r>
    </w:p>
    <w:p w14:paraId="1E8C6D8B" w14:textId="77777777" w:rsidR="00677085" w:rsidRPr="00677085" w:rsidRDefault="00677085" w:rsidP="00677085">
      <w:pPr>
        <w:numPr>
          <w:ilvl w:val="0"/>
          <w:numId w:val="14"/>
        </w:numPr>
      </w:pPr>
      <w:r w:rsidRPr="00677085">
        <w:t>Identify Need (Stores/Production)</w:t>
      </w:r>
    </w:p>
    <w:p w14:paraId="0C53301C" w14:textId="77777777" w:rsidR="00677085" w:rsidRPr="00677085" w:rsidRDefault="00677085" w:rsidP="00677085">
      <w:pPr>
        <w:numPr>
          <w:ilvl w:val="0"/>
          <w:numId w:val="14"/>
        </w:numPr>
      </w:pPr>
      <w:r w:rsidRPr="00677085">
        <w:t>Raise PR (Purchase Executive)</w:t>
      </w:r>
    </w:p>
    <w:p w14:paraId="6E696801" w14:textId="77777777" w:rsidR="00677085" w:rsidRPr="00677085" w:rsidRDefault="00677085" w:rsidP="00677085">
      <w:pPr>
        <w:numPr>
          <w:ilvl w:val="0"/>
          <w:numId w:val="14"/>
        </w:numPr>
      </w:pPr>
      <w:r w:rsidRPr="00677085">
        <w:t>PR Approval (Dept. Head)</w:t>
      </w:r>
    </w:p>
    <w:p w14:paraId="5CC7D34A" w14:textId="77777777" w:rsidR="00677085" w:rsidRPr="00677085" w:rsidRDefault="00677085" w:rsidP="00677085">
      <w:pPr>
        <w:numPr>
          <w:ilvl w:val="0"/>
          <w:numId w:val="14"/>
        </w:numPr>
      </w:pPr>
      <w:r w:rsidRPr="00677085">
        <w:t>Generate PO (Purchase Head)</w:t>
      </w:r>
    </w:p>
    <w:p w14:paraId="7901B17E" w14:textId="77777777" w:rsidR="00677085" w:rsidRPr="00677085" w:rsidRDefault="00677085" w:rsidP="00677085">
      <w:pPr>
        <w:numPr>
          <w:ilvl w:val="0"/>
          <w:numId w:val="14"/>
        </w:numPr>
      </w:pPr>
      <w:r w:rsidRPr="00677085">
        <w:t>Supplier Dispatch</w:t>
      </w:r>
    </w:p>
    <w:p w14:paraId="51033964" w14:textId="77777777" w:rsidR="00677085" w:rsidRPr="00677085" w:rsidRDefault="00677085" w:rsidP="00677085">
      <w:pPr>
        <w:numPr>
          <w:ilvl w:val="0"/>
          <w:numId w:val="14"/>
        </w:numPr>
      </w:pPr>
      <w:r w:rsidRPr="00677085">
        <w:t>Receive &amp; Inspect (Stores + QA)</w:t>
      </w:r>
    </w:p>
    <w:p w14:paraId="03BD8CAB" w14:textId="77777777" w:rsidR="00677085" w:rsidRPr="00677085" w:rsidRDefault="00677085" w:rsidP="00677085">
      <w:pPr>
        <w:numPr>
          <w:ilvl w:val="0"/>
          <w:numId w:val="14"/>
        </w:numPr>
      </w:pPr>
      <w:r w:rsidRPr="00677085">
        <w:t>Accept/Reject (QA)</w:t>
      </w:r>
    </w:p>
    <w:p w14:paraId="19CA3FB6" w14:textId="77777777" w:rsidR="00677085" w:rsidRPr="00677085" w:rsidRDefault="00677085" w:rsidP="00677085">
      <w:pPr>
        <w:numPr>
          <w:ilvl w:val="0"/>
          <w:numId w:val="14"/>
        </w:numPr>
      </w:pPr>
      <w:r w:rsidRPr="00677085">
        <w:t>Update Inventory / Trigger NC Process</w:t>
      </w:r>
    </w:p>
    <w:p w14:paraId="7EFAD672" w14:textId="77777777" w:rsidR="00677085" w:rsidRPr="00677085" w:rsidRDefault="00677085" w:rsidP="00677085">
      <w:pPr>
        <w:numPr>
          <w:ilvl w:val="0"/>
          <w:numId w:val="14"/>
        </w:numPr>
      </w:pPr>
      <w:r w:rsidRPr="00677085">
        <w:t>Supplier Rating &amp; SCAR if applicable</w:t>
      </w:r>
    </w:p>
    <w:p w14:paraId="7801CF7E" w14:textId="77777777" w:rsidR="00677085" w:rsidRPr="00677085" w:rsidRDefault="00677085" w:rsidP="00677085">
      <w:pPr>
        <w:rPr>
          <w:b/>
          <w:bCs/>
        </w:rPr>
      </w:pPr>
      <w:r w:rsidRPr="00677085">
        <w:rPr>
          <w:b/>
          <w:bCs/>
        </w:rPr>
        <w:t xml:space="preserve">10.4 UI </w:t>
      </w:r>
      <w:proofErr w:type="spellStart"/>
      <w:r w:rsidRPr="00677085">
        <w:rPr>
          <w:b/>
          <w:bCs/>
        </w:rPr>
        <w:t>Mockup</w:t>
      </w:r>
      <w:proofErr w:type="spellEnd"/>
      <w:r w:rsidRPr="00677085">
        <w:rPr>
          <w:b/>
          <w:bCs/>
        </w:rPr>
        <w:t xml:space="preserve"> Suggestions</w:t>
      </w:r>
    </w:p>
    <w:p w14:paraId="78820D2E" w14:textId="77777777" w:rsidR="00677085" w:rsidRPr="00677085" w:rsidRDefault="00677085" w:rsidP="00677085">
      <w:pPr>
        <w:numPr>
          <w:ilvl w:val="0"/>
          <w:numId w:val="15"/>
        </w:numPr>
      </w:pPr>
      <w:r w:rsidRPr="00677085">
        <w:t>Dropdown for Supplier Category (Critical/Non-critical)</w:t>
      </w:r>
    </w:p>
    <w:p w14:paraId="30409A05" w14:textId="77777777" w:rsidR="00677085" w:rsidRPr="00677085" w:rsidRDefault="00677085" w:rsidP="00677085">
      <w:pPr>
        <w:numPr>
          <w:ilvl w:val="0"/>
          <w:numId w:val="15"/>
        </w:numPr>
      </w:pPr>
      <w:r w:rsidRPr="00677085">
        <w:t>Score sliders for Rating Criteria</w:t>
      </w:r>
    </w:p>
    <w:p w14:paraId="3961727B" w14:textId="77777777" w:rsidR="00677085" w:rsidRPr="00677085" w:rsidRDefault="00677085" w:rsidP="00677085">
      <w:pPr>
        <w:numPr>
          <w:ilvl w:val="0"/>
          <w:numId w:val="15"/>
        </w:numPr>
      </w:pPr>
      <w:r w:rsidRPr="00677085">
        <w:t>Attachment module for Certificates and Agreements</w:t>
      </w:r>
    </w:p>
    <w:p w14:paraId="6A71A928" w14:textId="77777777" w:rsidR="00677085" w:rsidRPr="00677085" w:rsidRDefault="00677085" w:rsidP="00677085">
      <w:pPr>
        <w:numPr>
          <w:ilvl w:val="0"/>
          <w:numId w:val="15"/>
        </w:numPr>
      </w:pPr>
      <w:r w:rsidRPr="00677085">
        <w:t>Status badges (Active, Pending, Delisted)</w:t>
      </w:r>
    </w:p>
    <w:p w14:paraId="7D44086D" w14:textId="77777777" w:rsidR="00593F60" w:rsidRDefault="00593F60"/>
    <w:sectPr w:rsidR="00593F60" w:rsidSect="00677085">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0EB2C" w14:textId="77777777" w:rsidR="004C69F1" w:rsidRDefault="004C69F1" w:rsidP="00677085">
      <w:pPr>
        <w:spacing w:after="0" w:line="240" w:lineRule="auto"/>
      </w:pPr>
      <w:r>
        <w:separator/>
      </w:r>
    </w:p>
  </w:endnote>
  <w:endnote w:type="continuationSeparator" w:id="0">
    <w:p w14:paraId="22706E1C" w14:textId="77777777" w:rsidR="004C69F1" w:rsidRDefault="004C69F1" w:rsidP="0067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12234" w14:textId="77777777" w:rsidR="004C69F1" w:rsidRDefault="004C69F1" w:rsidP="00677085">
      <w:pPr>
        <w:spacing w:after="0" w:line="240" w:lineRule="auto"/>
      </w:pPr>
      <w:r>
        <w:separator/>
      </w:r>
    </w:p>
  </w:footnote>
  <w:footnote w:type="continuationSeparator" w:id="0">
    <w:p w14:paraId="48081D8C" w14:textId="77777777" w:rsidR="004C69F1" w:rsidRDefault="004C69F1" w:rsidP="00677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32BAB" w14:textId="0BE05240" w:rsidR="00677085" w:rsidRDefault="00677085">
    <w:pPr>
      <w:pStyle w:val="Header"/>
    </w:pPr>
    <w:r w:rsidRPr="00957792">
      <w:rPr>
        <w:noProof/>
        <w:lang w:val="en-IN" w:eastAsia="en-IN"/>
      </w:rPr>
      <w:drawing>
        <wp:inline distT="0" distB="0" distL="0" distR="0" wp14:anchorId="37C02031" wp14:editId="5EBE6EBE">
          <wp:extent cx="5731510" cy="944880"/>
          <wp:effectExtent l="0" t="0" r="2540" b="7620"/>
          <wp:docPr id="316616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944880"/>
                  </a:xfrm>
                  <a:prstGeom prst="rect">
                    <a:avLst/>
                  </a:prstGeom>
                  <a:noFill/>
                  <a:ln>
                    <a:noFill/>
                  </a:ln>
                </pic:spPr>
              </pic:pic>
            </a:graphicData>
          </a:graphic>
        </wp:inline>
      </w:drawing>
    </w:r>
  </w:p>
  <w:p w14:paraId="29B3398C" w14:textId="77777777" w:rsidR="00677085" w:rsidRDefault="00677085">
    <w:pPr>
      <w:pStyle w:val="Header"/>
    </w:pPr>
  </w:p>
  <w:p w14:paraId="5883495A" w14:textId="77777777" w:rsidR="00677085" w:rsidRDefault="00677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395"/>
    <w:multiLevelType w:val="multilevel"/>
    <w:tmpl w:val="44109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A38E5"/>
    <w:multiLevelType w:val="multilevel"/>
    <w:tmpl w:val="B1C0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854E8"/>
    <w:multiLevelType w:val="multilevel"/>
    <w:tmpl w:val="431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B3ADD"/>
    <w:multiLevelType w:val="multilevel"/>
    <w:tmpl w:val="DAA8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10795"/>
    <w:multiLevelType w:val="multilevel"/>
    <w:tmpl w:val="FD2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044AD"/>
    <w:multiLevelType w:val="multilevel"/>
    <w:tmpl w:val="DA02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90ACF"/>
    <w:multiLevelType w:val="multilevel"/>
    <w:tmpl w:val="B106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407C2"/>
    <w:multiLevelType w:val="multilevel"/>
    <w:tmpl w:val="792CE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F3D7C"/>
    <w:multiLevelType w:val="multilevel"/>
    <w:tmpl w:val="ED22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05569"/>
    <w:multiLevelType w:val="multilevel"/>
    <w:tmpl w:val="AF0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5790D"/>
    <w:multiLevelType w:val="multilevel"/>
    <w:tmpl w:val="7A7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86385"/>
    <w:multiLevelType w:val="multilevel"/>
    <w:tmpl w:val="5D8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75B7F"/>
    <w:multiLevelType w:val="multilevel"/>
    <w:tmpl w:val="A3F2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D7638"/>
    <w:multiLevelType w:val="multilevel"/>
    <w:tmpl w:val="474E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F5934"/>
    <w:multiLevelType w:val="multilevel"/>
    <w:tmpl w:val="E4F0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354A6"/>
    <w:multiLevelType w:val="multilevel"/>
    <w:tmpl w:val="65B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E7593"/>
    <w:multiLevelType w:val="multilevel"/>
    <w:tmpl w:val="CCA6A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9132F"/>
    <w:multiLevelType w:val="multilevel"/>
    <w:tmpl w:val="6EDC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4672F"/>
    <w:multiLevelType w:val="multilevel"/>
    <w:tmpl w:val="A61AE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C0986"/>
    <w:multiLevelType w:val="multilevel"/>
    <w:tmpl w:val="325C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8732F3"/>
    <w:multiLevelType w:val="multilevel"/>
    <w:tmpl w:val="99FAB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DA2AA1"/>
    <w:multiLevelType w:val="multilevel"/>
    <w:tmpl w:val="4B64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867F1"/>
    <w:multiLevelType w:val="multilevel"/>
    <w:tmpl w:val="AC14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3109">
    <w:abstractNumId w:val="21"/>
  </w:num>
  <w:num w:numId="2" w16cid:durableId="370307359">
    <w:abstractNumId w:val="0"/>
  </w:num>
  <w:num w:numId="3" w16cid:durableId="1676834320">
    <w:abstractNumId w:val="2"/>
  </w:num>
  <w:num w:numId="4" w16cid:durableId="1214662199">
    <w:abstractNumId w:val="10"/>
  </w:num>
  <w:num w:numId="5" w16cid:durableId="266894707">
    <w:abstractNumId w:val="19"/>
  </w:num>
  <w:num w:numId="6" w16cid:durableId="190799658">
    <w:abstractNumId w:val="22"/>
  </w:num>
  <w:num w:numId="7" w16cid:durableId="829366825">
    <w:abstractNumId w:val="4"/>
  </w:num>
  <w:num w:numId="8" w16cid:durableId="1401293751">
    <w:abstractNumId w:val="15"/>
  </w:num>
  <w:num w:numId="9" w16cid:durableId="1228953499">
    <w:abstractNumId w:val="9"/>
  </w:num>
  <w:num w:numId="10" w16cid:durableId="450366564">
    <w:abstractNumId w:val="5"/>
  </w:num>
  <w:num w:numId="11" w16cid:durableId="995570605">
    <w:abstractNumId w:val="6"/>
  </w:num>
  <w:num w:numId="12" w16cid:durableId="107241995">
    <w:abstractNumId w:val="12"/>
  </w:num>
  <w:num w:numId="13" w16cid:durableId="1172720378">
    <w:abstractNumId w:val="1"/>
  </w:num>
  <w:num w:numId="14" w16cid:durableId="1169520151">
    <w:abstractNumId w:val="8"/>
  </w:num>
  <w:num w:numId="15" w16cid:durableId="2011443589">
    <w:abstractNumId w:val="13"/>
  </w:num>
  <w:num w:numId="16" w16cid:durableId="687218908">
    <w:abstractNumId w:val="17"/>
  </w:num>
  <w:num w:numId="17" w16cid:durableId="835152823">
    <w:abstractNumId w:val="3"/>
  </w:num>
  <w:num w:numId="18" w16cid:durableId="627509605">
    <w:abstractNumId w:val="11"/>
  </w:num>
  <w:num w:numId="19" w16cid:durableId="1537229639">
    <w:abstractNumId w:val="7"/>
  </w:num>
  <w:num w:numId="20" w16cid:durableId="334385790">
    <w:abstractNumId w:val="16"/>
  </w:num>
  <w:num w:numId="21" w16cid:durableId="388772692">
    <w:abstractNumId w:val="20"/>
  </w:num>
  <w:num w:numId="22" w16cid:durableId="1270235182">
    <w:abstractNumId w:val="18"/>
  </w:num>
  <w:num w:numId="23" w16cid:durableId="13262054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85"/>
    <w:rsid w:val="000206A2"/>
    <w:rsid w:val="004C69F1"/>
    <w:rsid w:val="00593F60"/>
    <w:rsid w:val="0067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4271"/>
  <w15:chartTrackingRefBased/>
  <w15:docId w15:val="{459AFD47-E007-4C91-9B18-B88BFEA9E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0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70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70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70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0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0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70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70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70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0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085"/>
    <w:rPr>
      <w:rFonts w:eastAsiaTheme="majorEastAsia" w:cstheme="majorBidi"/>
      <w:color w:val="272727" w:themeColor="text1" w:themeTint="D8"/>
    </w:rPr>
  </w:style>
  <w:style w:type="paragraph" w:styleId="Title">
    <w:name w:val="Title"/>
    <w:basedOn w:val="Normal"/>
    <w:next w:val="Normal"/>
    <w:link w:val="TitleChar"/>
    <w:uiPriority w:val="10"/>
    <w:qFormat/>
    <w:rsid w:val="00677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085"/>
    <w:pPr>
      <w:spacing w:before="160"/>
      <w:jc w:val="center"/>
    </w:pPr>
    <w:rPr>
      <w:i/>
      <w:iCs/>
      <w:color w:val="404040" w:themeColor="text1" w:themeTint="BF"/>
    </w:rPr>
  </w:style>
  <w:style w:type="character" w:customStyle="1" w:styleId="QuoteChar">
    <w:name w:val="Quote Char"/>
    <w:basedOn w:val="DefaultParagraphFont"/>
    <w:link w:val="Quote"/>
    <w:uiPriority w:val="29"/>
    <w:rsid w:val="00677085"/>
    <w:rPr>
      <w:i/>
      <w:iCs/>
      <w:color w:val="404040" w:themeColor="text1" w:themeTint="BF"/>
    </w:rPr>
  </w:style>
  <w:style w:type="paragraph" w:styleId="ListParagraph">
    <w:name w:val="List Paragraph"/>
    <w:basedOn w:val="Normal"/>
    <w:uiPriority w:val="34"/>
    <w:qFormat/>
    <w:rsid w:val="00677085"/>
    <w:pPr>
      <w:ind w:left="720"/>
      <w:contextualSpacing/>
    </w:pPr>
  </w:style>
  <w:style w:type="character" w:styleId="IntenseEmphasis">
    <w:name w:val="Intense Emphasis"/>
    <w:basedOn w:val="DefaultParagraphFont"/>
    <w:uiPriority w:val="21"/>
    <w:qFormat/>
    <w:rsid w:val="00677085"/>
    <w:rPr>
      <w:i/>
      <w:iCs/>
      <w:color w:val="2F5496" w:themeColor="accent1" w:themeShade="BF"/>
    </w:rPr>
  </w:style>
  <w:style w:type="paragraph" w:styleId="IntenseQuote">
    <w:name w:val="Intense Quote"/>
    <w:basedOn w:val="Normal"/>
    <w:next w:val="Normal"/>
    <w:link w:val="IntenseQuoteChar"/>
    <w:uiPriority w:val="30"/>
    <w:qFormat/>
    <w:rsid w:val="006770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085"/>
    <w:rPr>
      <w:i/>
      <w:iCs/>
      <w:color w:val="2F5496" w:themeColor="accent1" w:themeShade="BF"/>
    </w:rPr>
  </w:style>
  <w:style w:type="character" w:styleId="IntenseReference">
    <w:name w:val="Intense Reference"/>
    <w:basedOn w:val="DefaultParagraphFont"/>
    <w:uiPriority w:val="32"/>
    <w:qFormat/>
    <w:rsid w:val="00677085"/>
    <w:rPr>
      <w:b/>
      <w:bCs/>
      <w:smallCaps/>
      <w:color w:val="2F5496" w:themeColor="accent1" w:themeShade="BF"/>
      <w:spacing w:val="5"/>
    </w:rPr>
  </w:style>
  <w:style w:type="paragraph" w:styleId="Header">
    <w:name w:val="header"/>
    <w:basedOn w:val="Normal"/>
    <w:link w:val="HeaderChar"/>
    <w:uiPriority w:val="99"/>
    <w:unhideWhenUsed/>
    <w:rsid w:val="00677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085"/>
  </w:style>
  <w:style w:type="paragraph" w:styleId="Footer">
    <w:name w:val="footer"/>
    <w:basedOn w:val="Normal"/>
    <w:link w:val="FooterChar"/>
    <w:uiPriority w:val="99"/>
    <w:unhideWhenUsed/>
    <w:rsid w:val="00677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373525">
      <w:bodyDiv w:val="1"/>
      <w:marLeft w:val="0"/>
      <w:marRight w:val="0"/>
      <w:marTop w:val="0"/>
      <w:marBottom w:val="0"/>
      <w:divBdr>
        <w:top w:val="none" w:sz="0" w:space="0" w:color="auto"/>
        <w:left w:val="none" w:sz="0" w:space="0" w:color="auto"/>
        <w:bottom w:val="none" w:sz="0" w:space="0" w:color="auto"/>
        <w:right w:val="none" w:sz="0" w:space="0" w:color="auto"/>
      </w:divBdr>
    </w:div>
    <w:div w:id="240604479">
      <w:bodyDiv w:val="1"/>
      <w:marLeft w:val="0"/>
      <w:marRight w:val="0"/>
      <w:marTop w:val="0"/>
      <w:marBottom w:val="0"/>
      <w:divBdr>
        <w:top w:val="none" w:sz="0" w:space="0" w:color="auto"/>
        <w:left w:val="none" w:sz="0" w:space="0" w:color="auto"/>
        <w:bottom w:val="none" w:sz="0" w:space="0" w:color="auto"/>
        <w:right w:val="none" w:sz="0" w:space="0" w:color="auto"/>
      </w:divBdr>
      <w:divsChild>
        <w:div w:id="1489906094">
          <w:marLeft w:val="0"/>
          <w:marRight w:val="0"/>
          <w:marTop w:val="0"/>
          <w:marBottom w:val="0"/>
          <w:divBdr>
            <w:top w:val="none" w:sz="0" w:space="0" w:color="auto"/>
            <w:left w:val="none" w:sz="0" w:space="0" w:color="auto"/>
            <w:bottom w:val="none" w:sz="0" w:space="0" w:color="auto"/>
            <w:right w:val="none" w:sz="0" w:space="0" w:color="auto"/>
          </w:divBdr>
        </w:div>
      </w:divsChild>
    </w:div>
    <w:div w:id="515113941">
      <w:bodyDiv w:val="1"/>
      <w:marLeft w:val="0"/>
      <w:marRight w:val="0"/>
      <w:marTop w:val="0"/>
      <w:marBottom w:val="0"/>
      <w:divBdr>
        <w:top w:val="none" w:sz="0" w:space="0" w:color="auto"/>
        <w:left w:val="none" w:sz="0" w:space="0" w:color="auto"/>
        <w:bottom w:val="none" w:sz="0" w:space="0" w:color="auto"/>
        <w:right w:val="none" w:sz="0" w:space="0" w:color="auto"/>
      </w:divBdr>
      <w:divsChild>
        <w:div w:id="1646547547">
          <w:marLeft w:val="0"/>
          <w:marRight w:val="0"/>
          <w:marTop w:val="0"/>
          <w:marBottom w:val="0"/>
          <w:divBdr>
            <w:top w:val="none" w:sz="0" w:space="0" w:color="auto"/>
            <w:left w:val="none" w:sz="0" w:space="0" w:color="auto"/>
            <w:bottom w:val="none" w:sz="0" w:space="0" w:color="auto"/>
            <w:right w:val="none" w:sz="0" w:space="0" w:color="auto"/>
          </w:divBdr>
        </w:div>
      </w:divsChild>
    </w:div>
    <w:div w:id="1020622174">
      <w:bodyDiv w:val="1"/>
      <w:marLeft w:val="0"/>
      <w:marRight w:val="0"/>
      <w:marTop w:val="0"/>
      <w:marBottom w:val="0"/>
      <w:divBdr>
        <w:top w:val="none" w:sz="0" w:space="0" w:color="auto"/>
        <w:left w:val="none" w:sz="0" w:space="0" w:color="auto"/>
        <w:bottom w:val="none" w:sz="0" w:space="0" w:color="auto"/>
        <w:right w:val="none" w:sz="0" w:space="0" w:color="auto"/>
      </w:divBdr>
    </w:div>
    <w:div w:id="1024013618">
      <w:bodyDiv w:val="1"/>
      <w:marLeft w:val="0"/>
      <w:marRight w:val="0"/>
      <w:marTop w:val="0"/>
      <w:marBottom w:val="0"/>
      <w:divBdr>
        <w:top w:val="none" w:sz="0" w:space="0" w:color="auto"/>
        <w:left w:val="none" w:sz="0" w:space="0" w:color="auto"/>
        <w:bottom w:val="none" w:sz="0" w:space="0" w:color="auto"/>
        <w:right w:val="none" w:sz="0" w:space="0" w:color="auto"/>
      </w:divBdr>
    </w:div>
    <w:div w:id="1102920943">
      <w:bodyDiv w:val="1"/>
      <w:marLeft w:val="0"/>
      <w:marRight w:val="0"/>
      <w:marTop w:val="0"/>
      <w:marBottom w:val="0"/>
      <w:divBdr>
        <w:top w:val="none" w:sz="0" w:space="0" w:color="auto"/>
        <w:left w:val="none" w:sz="0" w:space="0" w:color="auto"/>
        <w:bottom w:val="none" w:sz="0" w:space="0" w:color="auto"/>
        <w:right w:val="none" w:sz="0" w:space="0" w:color="auto"/>
      </w:divBdr>
    </w:div>
    <w:div w:id="1236359013">
      <w:bodyDiv w:val="1"/>
      <w:marLeft w:val="0"/>
      <w:marRight w:val="0"/>
      <w:marTop w:val="0"/>
      <w:marBottom w:val="0"/>
      <w:divBdr>
        <w:top w:val="none" w:sz="0" w:space="0" w:color="auto"/>
        <w:left w:val="none" w:sz="0" w:space="0" w:color="auto"/>
        <w:bottom w:val="none" w:sz="0" w:space="0" w:color="auto"/>
        <w:right w:val="none" w:sz="0" w:space="0" w:color="auto"/>
      </w:divBdr>
      <w:divsChild>
        <w:div w:id="1093165745">
          <w:marLeft w:val="0"/>
          <w:marRight w:val="0"/>
          <w:marTop w:val="0"/>
          <w:marBottom w:val="0"/>
          <w:divBdr>
            <w:top w:val="none" w:sz="0" w:space="0" w:color="auto"/>
            <w:left w:val="none" w:sz="0" w:space="0" w:color="auto"/>
            <w:bottom w:val="none" w:sz="0" w:space="0" w:color="auto"/>
            <w:right w:val="none" w:sz="0" w:space="0" w:color="auto"/>
          </w:divBdr>
        </w:div>
      </w:divsChild>
    </w:div>
    <w:div w:id="1464883209">
      <w:bodyDiv w:val="1"/>
      <w:marLeft w:val="0"/>
      <w:marRight w:val="0"/>
      <w:marTop w:val="0"/>
      <w:marBottom w:val="0"/>
      <w:divBdr>
        <w:top w:val="none" w:sz="0" w:space="0" w:color="auto"/>
        <w:left w:val="none" w:sz="0" w:space="0" w:color="auto"/>
        <w:bottom w:val="none" w:sz="0" w:space="0" w:color="auto"/>
        <w:right w:val="none" w:sz="0" w:space="0" w:color="auto"/>
      </w:divBdr>
    </w:div>
    <w:div w:id="1516847287">
      <w:bodyDiv w:val="1"/>
      <w:marLeft w:val="0"/>
      <w:marRight w:val="0"/>
      <w:marTop w:val="0"/>
      <w:marBottom w:val="0"/>
      <w:divBdr>
        <w:top w:val="none" w:sz="0" w:space="0" w:color="auto"/>
        <w:left w:val="none" w:sz="0" w:space="0" w:color="auto"/>
        <w:bottom w:val="none" w:sz="0" w:space="0" w:color="auto"/>
        <w:right w:val="none" w:sz="0" w:space="0" w:color="auto"/>
      </w:divBdr>
    </w:div>
    <w:div w:id="1749307530">
      <w:bodyDiv w:val="1"/>
      <w:marLeft w:val="0"/>
      <w:marRight w:val="0"/>
      <w:marTop w:val="0"/>
      <w:marBottom w:val="0"/>
      <w:divBdr>
        <w:top w:val="none" w:sz="0" w:space="0" w:color="auto"/>
        <w:left w:val="none" w:sz="0" w:space="0" w:color="auto"/>
        <w:bottom w:val="none" w:sz="0" w:space="0" w:color="auto"/>
        <w:right w:val="none" w:sz="0" w:space="0" w:color="auto"/>
      </w:divBdr>
      <w:divsChild>
        <w:div w:id="1550530343">
          <w:marLeft w:val="0"/>
          <w:marRight w:val="0"/>
          <w:marTop w:val="0"/>
          <w:marBottom w:val="0"/>
          <w:divBdr>
            <w:top w:val="none" w:sz="0" w:space="0" w:color="auto"/>
            <w:left w:val="none" w:sz="0" w:space="0" w:color="auto"/>
            <w:bottom w:val="none" w:sz="0" w:space="0" w:color="auto"/>
            <w:right w:val="none" w:sz="0" w:space="0" w:color="auto"/>
          </w:divBdr>
        </w:div>
      </w:divsChild>
    </w:div>
    <w:div w:id="1917131403">
      <w:bodyDiv w:val="1"/>
      <w:marLeft w:val="0"/>
      <w:marRight w:val="0"/>
      <w:marTop w:val="0"/>
      <w:marBottom w:val="0"/>
      <w:divBdr>
        <w:top w:val="none" w:sz="0" w:space="0" w:color="auto"/>
        <w:left w:val="none" w:sz="0" w:space="0" w:color="auto"/>
        <w:bottom w:val="none" w:sz="0" w:space="0" w:color="auto"/>
        <w:right w:val="none" w:sz="0" w:space="0" w:color="auto"/>
      </w:divBdr>
    </w:div>
    <w:div w:id="1970554799">
      <w:bodyDiv w:val="1"/>
      <w:marLeft w:val="0"/>
      <w:marRight w:val="0"/>
      <w:marTop w:val="0"/>
      <w:marBottom w:val="0"/>
      <w:divBdr>
        <w:top w:val="none" w:sz="0" w:space="0" w:color="auto"/>
        <w:left w:val="none" w:sz="0" w:space="0" w:color="auto"/>
        <w:bottom w:val="none" w:sz="0" w:space="0" w:color="auto"/>
        <w:right w:val="none" w:sz="0" w:space="0" w:color="auto"/>
      </w:divBdr>
    </w:div>
    <w:div w:id="1996109942">
      <w:bodyDiv w:val="1"/>
      <w:marLeft w:val="0"/>
      <w:marRight w:val="0"/>
      <w:marTop w:val="0"/>
      <w:marBottom w:val="0"/>
      <w:divBdr>
        <w:top w:val="none" w:sz="0" w:space="0" w:color="auto"/>
        <w:left w:val="none" w:sz="0" w:space="0" w:color="auto"/>
        <w:bottom w:val="none" w:sz="0" w:space="0" w:color="auto"/>
        <w:right w:val="none" w:sz="0" w:space="0" w:color="auto"/>
      </w:divBdr>
    </w:div>
    <w:div w:id="202632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S</dc:creator>
  <cp:keywords/>
  <dc:description/>
  <cp:lastModifiedBy>Nagarajan S</cp:lastModifiedBy>
  <cp:revision>1</cp:revision>
  <dcterms:created xsi:type="dcterms:W3CDTF">2025-06-06T16:47:00Z</dcterms:created>
  <dcterms:modified xsi:type="dcterms:W3CDTF">2025-06-06T16:59:00Z</dcterms:modified>
</cp:coreProperties>
</file>