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media/image19.jpeg" ContentType="image/jpeg"/>
  <Override PartName="/word/media/image20.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before="120" w:after="120" w:line="24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CONTENT</w:t>
      </w:r>
    </w:p>
    <w:tbl>
      <w:tblPr>
        <w:tblW w:w="8707" w:type="dxa"/>
        <w:jc w:val="center"/>
        <w:tblInd w:w="41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0"/>
        <w:gridCol w:w="6300"/>
        <w:gridCol w:w="1147"/>
      </w:tblGrid>
      <w:tr>
        <w:tblPrEx>
          <w:shd w:val="clear" w:color="auto" w:fill="ced7e7"/>
        </w:tblPrEx>
        <w:trPr>
          <w:trHeight w:val="6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SL. NO.</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TITLE</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PAGE NO.</w:t>
            </w:r>
          </w:p>
        </w:tc>
      </w:tr>
      <w:tr>
        <w:tblPrEx>
          <w:shd w:val="clear" w:color="auto" w:fill="ced7e7"/>
        </w:tblPrEx>
        <w:trPr>
          <w:trHeight w:val="163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both"/>
              <w:rPr>
                <w:rFonts w:ascii="Times New Roman" w:cs="Times New Roman" w:hAnsi="Times New Roman" w:eastAsia="Times New Roman"/>
                <w:b w:val="1"/>
                <w:bCs w:val="1"/>
                <w:i w:val="1"/>
                <w:iCs w:val="1"/>
                <w:kern w:val="0"/>
                <w:sz w:val="24"/>
                <w:szCs w:val="24"/>
                <w:shd w:val="nil" w:color="auto" w:fill="auto"/>
              </w:rPr>
            </w:pPr>
            <w:r>
              <w:rPr>
                <w:rFonts w:ascii="Times New Roman" w:hAnsi="Times New Roman"/>
                <w:b w:val="1"/>
                <w:bCs w:val="1"/>
                <w:i w:val="0"/>
                <w:iCs w:val="0"/>
                <w:kern w:val="0"/>
                <w:sz w:val="24"/>
                <w:szCs w:val="24"/>
                <w:shd w:val="nil" w:color="auto" w:fill="auto"/>
                <w:rtl w:val="0"/>
                <w:lang w:val="en-US"/>
              </w:rPr>
              <w:t xml:space="preserve">BIOCHEMICAL ACTIVITY IN THE HAEMOLYMPH OF SILKWORM, </w:t>
            </w:r>
            <w:r>
              <w:rPr>
                <w:rFonts w:ascii="Times New Roman" w:hAnsi="Times New Roman"/>
                <w:b w:val="1"/>
                <w:bCs w:val="1"/>
                <w:i w:val="1"/>
                <w:iCs w:val="1"/>
                <w:kern w:val="0"/>
                <w:sz w:val="24"/>
                <w:szCs w:val="24"/>
                <w:shd w:val="nil" w:color="auto" w:fill="auto"/>
                <w:rtl w:val="0"/>
                <w:lang w:val="en-US"/>
              </w:rPr>
              <w:t xml:space="preserve">BOMBYX MORI </w:t>
            </w:r>
            <w:r>
              <w:rPr>
                <w:rFonts w:ascii="Times New Roman" w:hAnsi="Times New Roman" w:hint="default"/>
                <w:b w:val="1"/>
                <w:bCs w:val="1"/>
                <w:i w:val="0"/>
                <w:iCs w:val="0"/>
                <w:kern w:val="0"/>
                <w:sz w:val="24"/>
                <w:szCs w:val="24"/>
                <w:shd w:val="nil" w:color="auto" w:fill="auto"/>
                <w:rtl w:val="0"/>
                <w:lang w:val="en-US"/>
              </w:rPr>
              <w:t> </w:t>
            </w:r>
            <w:r>
              <w:rPr>
                <w:rFonts w:ascii="Times New Roman" w:hAnsi="Times New Roman"/>
                <w:b w:val="1"/>
                <w:bCs w:val="1"/>
                <w:i w:val="0"/>
                <w:iCs w:val="0"/>
                <w:kern w:val="0"/>
                <w:sz w:val="24"/>
                <w:szCs w:val="24"/>
                <w:shd w:val="nil" w:color="auto" w:fill="auto"/>
                <w:rtl w:val="0"/>
                <w:lang w:val="en-US"/>
              </w:rPr>
              <w:t xml:space="preserve">L. DURING INFECTION OF FUNGAL PATHOGEN, </w:t>
            </w:r>
            <w:r>
              <w:rPr>
                <w:rFonts w:ascii="Times New Roman" w:hAnsi="Times New Roman"/>
                <w:b w:val="1"/>
                <w:bCs w:val="1"/>
                <w:i w:val="1"/>
                <w:iCs w:val="1"/>
                <w:kern w:val="0"/>
                <w:sz w:val="24"/>
                <w:szCs w:val="24"/>
                <w:shd w:val="nil" w:color="auto" w:fill="auto"/>
                <w:rtl w:val="0"/>
                <w:lang w:val="en-US"/>
              </w:rPr>
              <w:t>METARHIZIUM</w:t>
            </w:r>
            <w:r>
              <w:rPr>
                <w:rFonts w:ascii="Times New Roman" w:hAnsi="Times New Roman" w:hint="default"/>
                <w:b w:val="1"/>
                <w:bCs w:val="1"/>
                <w:i w:val="1"/>
                <w:iCs w:val="1"/>
                <w:kern w:val="0"/>
                <w:sz w:val="24"/>
                <w:szCs w:val="24"/>
                <w:shd w:val="nil" w:color="auto" w:fill="auto"/>
                <w:rtl w:val="0"/>
                <w:lang w:val="en-US"/>
              </w:rPr>
              <w:t xml:space="preserve">  </w:t>
            </w:r>
            <w:r>
              <w:rPr>
                <w:rFonts w:ascii="Times New Roman" w:hAnsi="Times New Roman"/>
                <w:b w:val="1"/>
                <w:bCs w:val="1"/>
                <w:i w:val="1"/>
                <w:iCs w:val="1"/>
                <w:kern w:val="0"/>
                <w:sz w:val="24"/>
                <w:szCs w:val="24"/>
                <w:shd w:val="nil" w:color="auto" w:fill="auto"/>
                <w:rtl w:val="0"/>
                <w:lang w:val="en-US"/>
              </w:rPr>
              <w:t xml:space="preserve">ANISOPLIAE </w:t>
            </w:r>
          </w:p>
          <w:p>
            <w:pPr>
              <w:pStyle w:val="Normal.0"/>
              <w:bidi w:val="0"/>
              <w:spacing w:before="120" w:after="120" w:line="240" w:lineRule="auto"/>
              <w:ind w:left="0" w:right="0" w:firstLine="0"/>
              <w:jc w:val="left"/>
              <w:rPr>
                <w:rtl w:val="0"/>
              </w:rPr>
            </w:pPr>
            <w:r>
              <w:rPr>
                <w:rFonts w:ascii="Times New Roman" w:hAnsi="Times New Roman"/>
                <w:i w:val="1"/>
                <w:iCs w:val="1"/>
                <w:kern w:val="0"/>
                <w:sz w:val="24"/>
                <w:szCs w:val="24"/>
                <w:shd w:val="nil" w:color="auto" w:fill="auto"/>
                <w:rtl w:val="0"/>
                <w:lang w:val="en-US"/>
              </w:rPr>
              <w:t>Anisha.S.P.</w:t>
            </w:r>
            <w:r>
              <w:rPr>
                <w:rFonts w:ascii="Times New Roman" w:hAnsi="Times New Roman" w:hint="default"/>
                <w:i w:val="1"/>
                <w:iCs w:val="1"/>
                <w:kern w:val="0"/>
                <w:sz w:val="24"/>
                <w:szCs w:val="24"/>
                <w:shd w:val="nil" w:color="auto" w:fill="auto"/>
                <w:rtl w:val="0"/>
                <w:lang w:val="en-US"/>
              </w:rPr>
              <w:t xml:space="preserve">  </w:t>
            </w:r>
            <w:r>
              <w:rPr>
                <w:rFonts w:ascii="Times New Roman" w:hAnsi="Times New Roman"/>
                <w:i w:val="1"/>
                <w:iCs w:val="1"/>
                <w:kern w:val="0"/>
                <w:sz w:val="24"/>
                <w:szCs w:val="24"/>
                <w:shd w:val="nil" w:color="auto" w:fill="auto"/>
                <w:rtl w:val="0"/>
                <w:lang w:val="en-US"/>
              </w:rPr>
              <w:t>and</w:t>
            </w:r>
            <w:r>
              <w:rPr>
                <w:rFonts w:ascii="Times New Roman" w:hAnsi="Times New Roman" w:hint="default"/>
                <w:i w:val="1"/>
                <w:iCs w:val="1"/>
                <w:kern w:val="0"/>
                <w:sz w:val="24"/>
                <w:szCs w:val="24"/>
                <w:shd w:val="nil" w:color="auto" w:fill="auto"/>
                <w:rtl w:val="0"/>
                <w:lang w:val="en-US"/>
              </w:rPr>
              <w:t> </w:t>
            </w:r>
            <w:r>
              <w:rPr>
                <w:rFonts w:ascii="Times New Roman" w:hAnsi="Times New Roman"/>
                <w:i w:val="1"/>
                <w:iCs w:val="1"/>
                <w:kern w:val="0"/>
                <w:sz w:val="24"/>
                <w:szCs w:val="24"/>
                <w:shd w:val="nil" w:color="auto" w:fill="auto"/>
                <w:rtl w:val="0"/>
                <w:lang w:val="en-US"/>
              </w:rPr>
              <w:t>Yasmin.N.</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4</w:t>
            </w:r>
          </w:p>
        </w:tc>
      </w:tr>
      <w:tr>
        <w:tblPrEx>
          <w:shd w:val="clear" w:color="auto" w:fill="ced7e7"/>
        </w:tblPrEx>
        <w:trPr>
          <w:trHeight w:val="163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2</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both"/>
              <w:rPr>
                <w:b w:val="1"/>
                <w:bCs w:val="1"/>
                <w:kern w:val="0"/>
                <w:shd w:val="nil" w:color="auto" w:fill="auto"/>
              </w:rPr>
            </w:pPr>
            <w:r>
              <w:rPr>
                <w:b w:val="1"/>
                <w:bCs w:val="1"/>
                <w:kern w:val="0"/>
                <w:shd w:val="nil" w:color="auto" w:fill="auto"/>
                <w:rtl w:val="0"/>
                <w:lang w:val="en-US"/>
              </w:rPr>
              <w:t>SEASONAL AND INTERANNUAL VARIATIONS I  PHYSICOCHEMICAL PARAMETERS OF SIRPUR LAKE (RAMSAR WETLAND), MADHYA PRADESH, INDIA.</w:t>
            </w:r>
            <w:r>
              <w:rPr>
                <w:b w:val="1"/>
                <w:bCs w:val="1"/>
                <w:kern w:val="0"/>
                <w:shd w:val="nil" w:color="auto" w:fill="auto"/>
                <w:rtl w:val="0"/>
                <w:lang w:val="en-US"/>
              </w:rPr>
              <w:t xml:space="preserve">  </w:t>
            </w:r>
          </w:p>
          <w:p>
            <w:pPr>
              <w:pStyle w:val="Normal (Web)"/>
              <w:bidi w:val="0"/>
              <w:spacing w:before="120" w:after="120" w:line="240" w:lineRule="auto"/>
              <w:ind w:left="0" w:right="0" w:firstLine="0"/>
              <w:jc w:val="left"/>
              <w:rPr>
                <w:rtl w:val="0"/>
              </w:rPr>
            </w:pPr>
            <w:r>
              <w:rPr>
                <w:i w:val="1"/>
                <w:iCs w:val="1"/>
                <w:kern w:val="0"/>
                <w:shd w:val="nil" w:color="auto" w:fill="auto"/>
                <w:rtl w:val="0"/>
                <w:lang w:val="en-US"/>
              </w:rPr>
              <w:t>Michael Antony Packiam. T , Prakasam.T and Deepa Jaiswal</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10</w:t>
            </w:r>
          </w:p>
        </w:tc>
      </w:tr>
      <w:tr>
        <w:tblPrEx>
          <w:shd w:val="clear" w:color="auto" w:fill="ced7e7"/>
        </w:tblPrEx>
        <w:trPr>
          <w:trHeight w:val="9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3</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both"/>
            </w:pPr>
            <w:r>
              <w:rPr>
                <w:b w:val="1"/>
                <w:bCs w:val="1"/>
                <w:kern w:val="0"/>
                <w:shd w:val="nil" w:color="auto" w:fill="auto"/>
                <w:rtl w:val="0"/>
                <w:lang w:val="en-US"/>
              </w:rPr>
              <w:t>INSECT DIVERSITY AS A TOOL FOR BIODIVERSITY                                      CONSERVATION IN AN EDUCATIONAL CAMPU</w:t>
            </w:r>
            <w:r>
              <w:rPr>
                <w:kern w:val="0"/>
                <w:shd w:val="nil" w:color="auto" w:fill="auto"/>
                <w:rtl w:val="0"/>
                <w:lang w:val="en-US"/>
              </w:rPr>
              <w:t xml:space="preserve">S. </w:t>
            </w:r>
            <w:r>
              <w:rPr>
                <w:i w:val="1"/>
                <w:iCs w:val="1"/>
                <w:kern w:val="0"/>
                <w:shd w:val="nil" w:color="auto" w:fill="auto"/>
                <w:rtl w:val="0"/>
                <w:lang w:val="en-US"/>
              </w:rPr>
              <w:t>Benishma, Jenila.G. J. and Ahila Angelin.</w:t>
            </w:r>
            <w:r>
              <w:rPr>
                <w:kern w:val="0"/>
                <w:shd w:val="nil" w:color="auto" w:fill="auto"/>
                <w:rtl w:val="0"/>
                <w:lang w:val="en-US"/>
              </w:rPr>
              <w:t xml:space="preserve"> </w:t>
            </w:r>
            <w:r>
              <w:rPr>
                <w:i w:val="1"/>
                <w:iCs w:val="1"/>
                <w:kern w:val="0"/>
                <w:shd w:val="nil" w:color="auto" w:fill="auto"/>
                <w:rtl w:val="0"/>
                <w:lang w:val="en-US"/>
              </w:rPr>
              <w:t xml:space="preserve">J.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32</w:t>
            </w:r>
          </w:p>
        </w:tc>
      </w:tr>
      <w:tr>
        <w:tblPrEx>
          <w:shd w:val="clear" w:color="auto" w:fill="ced7e7"/>
        </w:tblPrEx>
        <w:trPr>
          <w:trHeight w:val="12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4</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pPr>
            <w:r>
              <w:rPr>
                <w:b w:val="1"/>
                <w:bCs w:val="1"/>
                <w:kern w:val="0"/>
                <w:shd w:val="nil" w:color="auto" w:fill="auto"/>
                <w:rtl w:val="0"/>
                <w:lang w:val="en-US"/>
              </w:rPr>
              <w:t xml:space="preserve">WATER QUALITY ASSESSMENT OF FIVE DIFFERENT SOURCES TO DETERMINE SUITABILITY FOR AQUATIC ORGANISMS                                                              </w:t>
            </w:r>
            <w:r>
              <w:rPr>
                <w:i w:val="1"/>
                <w:iCs w:val="1"/>
                <w:kern w:val="0"/>
                <w:shd w:val="nil" w:color="auto" w:fill="auto"/>
                <w:rtl w:val="0"/>
                <w:lang w:val="en-US"/>
              </w:rPr>
              <w:t>Rosenda Clare E. and  Vinoliya Josephine Mary.</w:t>
            </w:r>
            <w:r>
              <w:rPr>
                <w:kern w:val="0"/>
                <w:shd w:val="nil" w:color="auto" w:fill="auto"/>
                <w:rtl w:val="0"/>
                <w:lang w:val="en-US"/>
              </w:rPr>
              <w:t xml:space="preserve"> </w:t>
            </w:r>
            <w:r>
              <w:rPr>
                <w:i w:val="1"/>
                <w:iCs w:val="1"/>
                <w:kern w:val="0"/>
                <w:shd w:val="nil" w:color="auto" w:fill="auto"/>
                <w:rtl w:val="0"/>
                <w:lang w:val="en-US"/>
              </w:rPr>
              <w:t xml:space="preserve">J.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44</w:t>
            </w:r>
          </w:p>
        </w:tc>
      </w:tr>
      <w:tr>
        <w:tblPrEx>
          <w:shd w:val="clear" w:color="auto" w:fill="ced7e7"/>
        </w:tblPrEx>
        <w:trPr>
          <w:trHeight w:val="15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center"/>
          </w:tcPr>
          <w:p>
            <w:pPr>
              <w:pStyle w:val="Normal (Web)"/>
              <w:spacing w:before="120" w:after="120" w:line="240" w:lineRule="auto"/>
              <w:ind w:right="72"/>
              <w:jc w:val="center"/>
            </w:pPr>
            <w:r>
              <w:rPr>
                <w:b w:val="1"/>
                <w:bCs w:val="1"/>
                <w:kern w:val="0"/>
                <w:shd w:val="nil" w:color="auto" w:fill="auto"/>
                <w:rtl w:val="0"/>
                <w:lang w:val="en-US"/>
              </w:rPr>
              <w:t>5</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center"/>
          </w:tcPr>
          <w:p>
            <w:pPr>
              <w:pStyle w:val="Normal (Web)"/>
              <w:spacing w:before="120" w:after="120" w:line="240" w:lineRule="auto"/>
              <w:ind w:right="72"/>
              <w:jc w:val="both"/>
            </w:pPr>
            <w:r>
              <w:rPr>
                <w:b w:val="1"/>
                <w:bCs w:val="1"/>
                <w:kern w:val="0"/>
                <w:shd w:val="nil" w:color="auto" w:fill="auto"/>
                <w:rtl w:val="0"/>
                <w:lang w:val="en-US"/>
              </w:rPr>
              <w:t>BACTERIAL CLEARANCE DYNAMICS AND TOTAL HAEMOCYTE</w:t>
            </w:r>
            <w:r>
              <w:rPr>
                <w:b w:val="1"/>
                <w:bCs w:val="1"/>
                <w:kern w:val="0"/>
                <w:shd w:val="nil" w:color="auto" w:fill="auto"/>
                <w:rtl w:val="0"/>
                <w:lang w:val="en-US"/>
              </w:rPr>
              <w:t xml:space="preserve">  </w:t>
            </w:r>
            <w:r>
              <w:rPr>
                <w:b w:val="1"/>
                <w:bCs w:val="1"/>
                <w:kern w:val="0"/>
                <w:shd w:val="nil" w:color="auto" w:fill="auto"/>
                <w:rtl w:val="0"/>
                <w:lang w:val="en-US"/>
              </w:rPr>
              <w:t>RESPONSES IN SHHRIMP FOLLOWING EXPERIMENT CHALLENGE WITH MAJOR BACTERIAL PATHOGENS</w:t>
            </w:r>
            <w:r>
              <w:rPr>
                <w:b w:val="1"/>
                <w:bCs w:val="1"/>
                <w:kern w:val="0"/>
                <w:shd w:val="nil" w:color="auto" w:fill="auto"/>
                <w:rtl w:val="0"/>
                <w:lang w:val="en-US"/>
              </w:rPr>
              <w:t xml:space="preserve">                                                         </w:t>
            </w:r>
            <w:r>
              <w:rPr>
                <w:i w:val="1"/>
                <w:iCs w:val="1"/>
                <w:kern w:val="0"/>
                <w:shd w:val="nil" w:color="auto" w:fill="auto"/>
                <w:rtl w:val="0"/>
                <w:lang w:val="en-US"/>
              </w:rPr>
              <w:t>Alrich Michael.M, and Raja Jeya Sekar</w:t>
            </w:r>
            <w:r>
              <w:rPr>
                <w:b w:val="1"/>
                <w:bCs w:val="1"/>
                <w:i w:val="1"/>
                <w:iCs w:val="1"/>
                <w:kern w:val="0"/>
                <w:shd w:val="nil" w:color="auto" w:fill="auto"/>
                <w:rtl w:val="0"/>
                <w:lang w:val="en-US"/>
              </w:rPr>
              <w:t xml:space="preserve"> .</w:t>
            </w:r>
            <w:r>
              <w:rPr>
                <w:i w:val="1"/>
                <w:iCs w:val="1"/>
                <w:kern w:val="0"/>
                <w:shd w:val="nil" w:color="auto" w:fill="auto"/>
                <w:rtl w:val="0"/>
                <w:lang w:val="en-US"/>
              </w:rPr>
              <w:t>R.</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54</w:t>
            </w:r>
          </w:p>
        </w:tc>
      </w:tr>
      <w:tr>
        <w:tblPrEx>
          <w:shd w:val="clear" w:color="auto" w:fill="ced7e7"/>
        </w:tblPrEx>
        <w:trPr>
          <w:trHeight w:val="24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6</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both"/>
            </w:pPr>
            <w:r>
              <w:rPr>
                <w:b w:val="1"/>
                <w:bCs w:val="1"/>
                <w:kern w:val="0"/>
                <w:shd w:val="nil" w:color="auto" w:fill="auto"/>
                <w:rtl w:val="0"/>
                <w:lang w:val="en-US"/>
              </w:rPr>
              <w:t>PLANT-DERIVED SAPONINS FROM SOYBEAN (</w:t>
            </w:r>
            <w:r>
              <w:rPr>
                <w:b w:val="1"/>
                <w:bCs w:val="1"/>
                <w:i w:val="1"/>
                <w:iCs w:val="1"/>
                <w:kern w:val="0"/>
                <w:shd w:val="nil" w:color="auto" w:fill="auto"/>
                <w:rtl w:val="0"/>
                <w:lang w:val="en-US"/>
              </w:rPr>
              <w:t>GLYCINE MAX</w:t>
            </w:r>
            <w:r>
              <w:rPr>
                <w:b w:val="1"/>
                <w:bCs w:val="1"/>
                <w:kern w:val="0"/>
                <w:shd w:val="nil" w:color="auto" w:fill="auto"/>
                <w:rtl w:val="0"/>
                <w:lang w:val="en-US"/>
              </w:rPr>
              <w:t>), FENUGREEK (</w:t>
            </w:r>
            <w:r>
              <w:rPr>
                <w:b w:val="1"/>
                <w:bCs w:val="1"/>
                <w:i w:val="1"/>
                <w:iCs w:val="1"/>
                <w:kern w:val="0"/>
                <w:shd w:val="nil" w:color="auto" w:fill="auto"/>
                <w:rtl w:val="0"/>
                <w:lang w:val="en-US"/>
              </w:rPr>
              <w:t>TRIGONELLA FOENUM-GRAECUM</w:t>
            </w:r>
            <w:r>
              <w:rPr>
                <w:b w:val="1"/>
                <w:bCs w:val="1"/>
                <w:kern w:val="0"/>
                <w:shd w:val="nil" w:color="auto" w:fill="auto"/>
                <w:rtl w:val="0"/>
                <w:lang w:val="en-US"/>
              </w:rPr>
              <w:t>), SOAPNUT (</w:t>
            </w:r>
            <w:r>
              <w:rPr>
                <w:b w:val="1"/>
                <w:bCs w:val="1"/>
                <w:i w:val="1"/>
                <w:iCs w:val="1"/>
                <w:kern w:val="0"/>
                <w:shd w:val="nil" w:color="auto" w:fill="auto"/>
                <w:rtl w:val="0"/>
                <w:lang w:val="en-US"/>
              </w:rPr>
              <w:t>SAPINDUSMUKOROSSI</w:t>
            </w:r>
            <w:r>
              <w:rPr>
                <w:b w:val="1"/>
                <w:bCs w:val="1"/>
                <w:kern w:val="0"/>
                <w:shd w:val="nil" w:color="auto" w:fill="auto"/>
                <w:rtl w:val="0"/>
                <w:lang w:val="en-US"/>
              </w:rPr>
              <w:t>), AND SHIKAKAI (</w:t>
            </w:r>
            <w:r>
              <w:rPr>
                <w:b w:val="1"/>
                <w:bCs w:val="1"/>
                <w:i w:val="1"/>
                <w:iCs w:val="1"/>
                <w:kern w:val="0"/>
                <w:shd w:val="nil" w:color="auto" w:fill="auto"/>
                <w:rtl w:val="0"/>
                <w:lang w:val="en-US"/>
              </w:rPr>
              <w:t>ACACIA CONCINNA</w:t>
            </w:r>
            <w:r>
              <w:rPr>
                <w:b w:val="1"/>
                <w:bCs w:val="1"/>
                <w:kern w:val="0"/>
                <w:shd w:val="nil" w:color="auto" w:fill="auto"/>
                <w:rtl w:val="0"/>
                <w:lang w:val="en-US"/>
              </w:rPr>
              <w:t xml:space="preserve">): A COMPREHENSIVE REVIEW OF THEIR IMMUNOADJUVANT POTENTIAL AND APPLICATIONS IN IgY PRODUCTION                       </w:t>
            </w:r>
            <w:r>
              <w:rPr>
                <w:i w:val="1"/>
                <w:iCs w:val="1"/>
                <w:kern w:val="0"/>
                <w:shd w:val="nil" w:color="auto" w:fill="auto"/>
                <w:rtl w:val="0"/>
                <w:lang w:val="en-US"/>
              </w:rPr>
              <w:t xml:space="preserve">Benisha.R. and  Kumaran.T.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62</w:t>
            </w:r>
          </w:p>
        </w:tc>
      </w:tr>
      <w:tr>
        <w:tblPrEx>
          <w:shd w:val="clear" w:color="auto" w:fill="ced7e7"/>
        </w:tblPrEx>
        <w:trPr>
          <w:trHeight w:val="12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7</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pPr>
            <w:r>
              <w:rPr>
                <w:b w:val="1"/>
                <w:bCs w:val="1"/>
                <w:kern w:val="0"/>
                <w:shd w:val="nil" w:color="auto" w:fill="auto"/>
                <w:rtl w:val="0"/>
                <w:lang w:val="en-US"/>
              </w:rPr>
              <w:t xml:space="preserve">MUCUS OF TERRESTRIAL SLUG </w:t>
            </w:r>
            <w:r>
              <w:rPr>
                <w:b w:val="1"/>
                <w:bCs w:val="1"/>
                <w:i w:val="1"/>
                <w:iCs w:val="1"/>
                <w:kern w:val="0"/>
                <w:shd w:val="nil" w:color="auto" w:fill="auto"/>
                <w:rtl w:val="0"/>
                <w:lang w:val="en-US"/>
              </w:rPr>
              <w:t>LAEVICAULISALTE</w:t>
            </w:r>
            <w:r>
              <w:rPr>
                <w:b w:val="1"/>
                <w:bCs w:val="1"/>
                <w:kern w:val="0"/>
                <w:shd w:val="nil" w:color="auto" w:fill="auto"/>
                <w:rtl w:val="0"/>
                <w:lang w:val="en-US"/>
              </w:rPr>
              <w:t xml:space="preserve"> AS A SOURCE OF NOVEL ANTIMICROBIAL COMPOUNDS                                                                                            </w:t>
            </w:r>
            <w:r>
              <w:rPr>
                <w:i w:val="1"/>
                <w:iCs w:val="1"/>
                <w:kern w:val="0"/>
                <w:shd w:val="nil" w:color="auto" w:fill="auto"/>
                <w:rtl w:val="0"/>
                <w:lang w:val="en-US"/>
              </w:rPr>
              <w:t>Suja P.S, Nija.C  and Navinchandran.M</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76</w:t>
            </w:r>
          </w:p>
        </w:tc>
      </w:tr>
      <w:tr>
        <w:tblPrEx>
          <w:shd w:val="clear" w:color="auto" w:fill="ced7e7"/>
        </w:tblPrEx>
        <w:trPr>
          <w:trHeight w:val="9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0" w:line="240" w:lineRule="auto"/>
              <w:jc w:val="center"/>
            </w:pPr>
            <w:r>
              <w:rPr>
                <w:b w:val="1"/>
                <w:bCs w:val="1"/>
                <w:kern w:val="0"/>
                <w:shd w:val="nil" w:color="auto" w:fill="auto"/>
                <w:rtl w:val="0"/>
                <w:lang w:val="en-US"/>
              </w:rPr>
              <w:t>8</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0" w:line="240" w:lineRule="auto"/>
              <w:jc w:val="both"/>
            </w:pPr>
            <w:r>
              <w:rPr>
                <w:b w:val="1"/>
                <w:bCs w:val="1"/>
                <w:kern w:val="0"/>
                <w:shd w:val="nil" w:color="auto" w:fill="auto"/>
                <w:rtl w:val="0"/>
                <w:lang w:val="en-US"/>
              </w:rPr>
              <w:t xml:space="preserve">COMPARATIVE EVOLUTIONARY ANALYSIS OF THE TP53 GENE ACROSS RODENTS AND HUMANS                                    </w:t>
            </w:r>
            <w:r>
              <w:rPr>
                <w:i w:val="1"/>
                <w:iCs w:val="1"/>
                <w:kern w:val="0"/>
                <w:shd w:val="nil" w:color="auto" w:fill="auto"/>
                <w:rtl w:val="0"/>
                <w:lang w:val="en-US"/>
              </w:rPr>
              <w:t>Joel Jas J, J. Vijila Jasmin and Kumaran.</w:t>
            </w:r>
            <w:r>
              <w:rPr>
                <w:kern w:val="0"/>
                <w:shd w:val="nil" w:color="auto" w:fill="auto"/>
                <w:rtl w:val="0"/>
                <w:lang w:val="en-US"/>
              </w:rPr>
              <w:t xml:space="preserve"> </w:t>
            </w:r>
            <w:r>
              <w:rPr>
                <w:i w:val="1"/>
                <w:iCs w:val="1"/>
                <w:kern w:val="0"/>
                <w:shd w:val="nil" w:color="auto" w:fill="auto"/>
                <w:rtl w:val="0"/>
                <w:lang w:val="en-US"/>
              </w:rPr>
              <w:t xml:space="preserve">T.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87</w:t>
            </w:r>
          </w:p>
        </w:tc>
      </w:tr>
    </w:tbl>
    <w:p>
      <w:pPr>
        <w:pStyle w:val="Normal.0"/>
        <w:widowControl w:val="0"/>
        <w:spacing w:before="120" w:after="120" w:line="240" w:lineRule="auto"/>
        <w:ind w:left="306" w:hanging="306"/>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widowControl w:val="0"/>
        <w:spacing w:before="120" w:after="120" w:line="240" w:lineRule="auto"/>
        <w:ind w:left="198" w:hanging="198"/>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pPr>
    </w:p>
    <w:p>
      <w:pPr>
        <w:pStyle w:val="Normal.0"/>
      </w:pPr>
    </w:p>
    <w:p>
      <w:pPr>
        <w:pStyle w:val="Normal.0"/>
      </w:pPr>
    </w:p>
    <w:tbl>
      <w:tblPr>
        <w:tblW w:w="8707" w:type="dxa"/>
        <w:jc w:val="left"/>
        <w:tblInd w:w="41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0"/>
        <w:gridCol w:w="6300"/>
        <w:gridCol w:w="1147"/>
      </w:tblGrid>
      <w:tr>
        <w:tblPrEx>
          <w:shd w:val="clear" w:color="auto" w:fill="ced7e7"/>
        </w:tblPrEx>
        <w:trPr>
          <w:trHeight w:val="15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0" w:line="240" w:lineRule="auto"/>
              <w:jc w:val="center"/>
            </w:pPr>
            <w:r>
              <w:rPr>
                <w:b w:val="1"/>
                <w:bCs w:val="1"/>
                <w:kern w:val="0"/>
                <w:shd w:val="nil" w:color="auto" w:fill="auto"/>
                <w:rtl w:val="0"/>
                <w:lang w:val="en-US"/>
              </w:rPr>
              <w:t>9</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0" w:line="240" w:lineRule="auto"/>
              <w:jc w:val="both"/>
            </w:pPr>
            <w:r>
              <w:rPr>
                <w:b w:val="1"/>
                <w:bCs w:val="1"/>
                <w:kern w:val="0"/>
                <w:shd w:val="nil" w:color="auto" w:fill="auto"/>
                <w:rtl w:val="0"/>
                <w:lang w:val="en-US"/>
              </w:rPr>
              <w:t xml:space="preserve">DIVERSITY AND SEASONAL POPULATION DYNAMICS OF INSECT FAUNA ASSOCIATED WITH AGRICULTURAL ECOSYSTEM IN THOOTHUKUDI DISTRICT OF TAMIL NADU                                                              </w:t>
            </w:r>
            <w:r>
              <w:rPr>
                <w:i w:val="1"/>
                <w:iCs w:val="1"/>
                <w:kern w:val="0"/>
                <w:shd w:val="nil" w:color="auto" w:fill="auto"/>
                <w:rtl w:val="0"/>
                <w:lang w:val="en-US"/>
              </w:rPr>
              <w:t>Thanasing.G.</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104</w:t>
            </w:r>
          </w:p>
        </w:tc>
      </w:tr>
      <w:tr>
        <w:tblPrEx>
          <w:shd w:val="clear" w:color="auto" w:fill="ced7e7"/>
        </w:tblPrEx>
        <w:trPr>
          <w:trHeight w:val="15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10</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both"/>
            </w:pPr>
            <w:r>
              <w:rPr>
                <w:b w:val="1"/>
                <w:bCs w:val="1"/>
                <w:kern w:val="0"/>
                <w:shd w:val="nil" w:color="auto" w:fill="auto"/>
                <w:rtl w:val="0"/>
                <w:lang w:val="en-US"/>
              </w:rPr>
              <w:t>DIVERSITY OF MEALYBUGS AND THEIR SUSTAINABLE CONTROL MEASURES IN THE KALAKKAD REGION, TIRUNELVELI DISTRICT,  TAMIL NADU</w:t>
            </w:r>
            <w:r>
              <w:rPr>
                <w:b w:val="1"/>
                <w:bCs w:val="1"/>
                <w:kern w:val="0"/>
                <w:shd w:val="nil" w:color="auto" w:fill="auto"/>
                <w:lang w:val="en-US"/>
              </w:rPr>
              <w:br w:type="textWrapping"/>
            </w:r>
            <w:r>
              <w:rPr>
                <w:i w:val="1"/>
                <w:iCs w:val="1"/>
                <w:kern w:val="0"/>
                <w:shd w:val="nil" w:color="auto" w:fill="auto"/>
                <w:rtl w:val="0"/>
                <w:lang w:val="en-US"/>
              </w:rPr>
              <w:t xml:space="preserve"> Suja.</w:t>
            </w:r>
            <w:r>
              <w:rPr>
                <w:b w:val="1"/>
                <w:bCs w:val="1"/>
                <w:kern w:val="0"/>
                <w:shd w:val="nil" w:color="auto" w:fill="auto"/>
                <w:rtl w:val="0"/>
                <w:lang w:val="en-US"/>
              </w:rPr>
              <w:t xml:space="preserve"> </w:t>
            </w:r>
            <w:r>
              <w:rPr>
                <w:i w:val="1"/>
                <w:iCs w:val="1"/>
                <w:kern w:val="0"/>
                <w:shd w:val="nil" w:color="auto" w:fill="auto"/>
                <w:rtl w:val="0"/>
                <w:lang w:val="en-US"/>
              </w:rPr>
              <w:t>M., R. S. Dhivya.</w:t>
            </w:r>
            <w:r>
              <w:rPr>
                <w:b w:val="1"/>
                <w:bCs w:val="1"/>
                <w:kern w:val="0"/>
                <w:shd w:val="nil" w:color="auto" w:fill="auto"/>
                <w:rtl w:val="0"/>
                <w:lang w:val="en-US"/>
              </w:rPr>
              <w:t xml:space="preserve"> </w:t>
            </w:r>
            <w:r>
              <w:rPr>
                <w:i w:val="1"/>
                <w:iCs w:val="1"/>
                <w:kern w:val="0"/>
                <w:shd w:val="nil" w:color="auto" w:fill="auto"/>
                <w:rtl w:val="0"/>
                <w:lang w:val="en-US"/>
              </w:rPr>
              <w:t xml:space="preserve">R. S.  and J. Vijila Jasmin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119</w:t>
            </w:r>
          </w:p>
        </w:tc>
      </w:tr>
      <w:tr>
        <w:tblPrEx>
          <w:shd w:val="clear" w:color="auto" w:fill="ced7e7"/>
        </w:tblPrEx>
        <w:trPr>
          <w:trHeight w:val="12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11</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both"/>
            </w:pPr>
            <w:r>
              <w:rPr>
                <w:b w:val="1"/>
                <w:bCs w:val="1"/>
                <w:kern w:val="0"/>
                <w:shd w:val="nil" w:color="auto" w:fill="auto"/>
                <w:rtl w:val="0"/>
                <w:lang w:val="en-US"/>
              </w:rPr>
              <w:t xml:space="preserve">ANTIBACTERIAL POTENTIAL AND METABOLITE PROFILING OF A MARINE </w:t>
            </w:r>
            <w:r>
              <w:rPr>
                <w:b w:val="1"/>
                <w:bCs w:val="1"/>
                <w:i w:val="1"/>
                <w:iCs w:val="1"/>
                <w:kern w:val="0"/>
                <w:shd w:val="nil" w:color="auto" w:fill="auto"/>
                <w:rtl w:val="0"/>
                <w:lang w:val="en-US"/>
              </w:rPr>
              <w:t xml:space="preserve">ALCALIGENES FAECALIS </w:t>
            </w:r>
            <w:r>
              <w:rPr>
                <w:b w:val="1"/>
                <w:bCs w:val="1"/>
                <w:kern w:val="0"/>
                <w:shd w:val="nil" w:color="auto" w:fill="auto"/>
                <w:rtl w:val="0"/>
                <w:lang w:val="en-US"/>
              </w:rPr>
              <w:t xml:space="preserve">STRAIN FROM POLLUTED COASTAL SEDIMENTS                                 </w:t>
            </w:r>
            <w:r>
              <w:rPr>
                <w:i w:val="1"/>
                <w:iCs w:val="1"/>
                <w:kern w:val="0"/>
                <w:shd w:val="nil" w:color="auto" w:fill="auto"/>
                <w:rtl w:val="0"/>
                <w:lang w:val="en-US"/>
              </w:rPr>
              <w:t>Mary Essolin .S, Dhivya R.S</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126</w:t>
            </w:r>
          </w:p>
        </w:tc>
      </w:tr>
      <w:tr>
        <w:tblPrEx>
          <w:shd w:val="clear" w:color="auto" w:fill="ced7e7"/>
        </w:tblPrEx>
        <w:trPr>
          <w:trHeight w:val="18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12</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pPr>
            <w:r>
              <w:rPr>
                <w:b w:val="1"/>
                <w:bCs w:val="1"/>
                <w:kern w:val="0"/>
                <w:shd w:val="nil" w:color="auto" w:fill="auto"/>
                <w:rtl w:val="0"/>
                <w:lang w:val="en-US"/>
              </w:rPr>
              <w:t xml:space="preserve">DISTRIBUTION, PHYTOCHEMICAL COMPOSITION, AND ANTICANCER POTENTIAL OF MEDICINAL PLANTS FROM THE SOUTHERN WESTERN GHATS OF TAMIL NADU                                                                          </w:t>
            </w:r>
            <w:r>
              <w:rPr>
                <w:i w:val="1"/>
                <w:iCs w:val="1"/>
                <w:kern w:val="0"/>
                <w:shd w:val="nil" w:color="auto" w:fill="auto"/>
                <w:rtl w:val="0"/>
                <w:lang w:val="en-US"/>
              </w:rPr>
              <w:t>Prathika.M, Jenifer Tamizharasi. M., Sujithra. S. and                         Kumaran.</w:t>
            </w:r>
            <w:r>
              <w:rPr>
                <w:b w:val="1"/>
                <w:bCs w:val="1"/>
                <w:kern w:val="0"/>
                <w:shd w:val="nil" w:color="auto" w:fill="auto"/>
                <w:rtl w:val="0"/>
                <w:lang w:val="en-US"/>
              </w:rPr>
              <w:t xml:space="preserve"> </w:t>
            </w:r>
            <w:r>
              <w:rPr>
                <w:i w:val="1"/>
                <w:iCs w:val="1"/>
                <w:kern w:val="0"/>
                <w:shd w:val="nil" w:color="auto" w:fill="auto"/>
                <w:rtl w:val="0"/>
                <w:lang w:val="en-US"/>
              </w:rPr>
              <w:t>T</w:t>
            </w:r>
            <w:r>
              <w:rPr>
                <w:i w:val="1"/>
                <w:iCs w:val="1"/>
                <w:kern w:val="0"/>
                <w:shd w:val="nil" w:color="auto" w:fill="auto"/>
                <w:vertAlign w:val="superscript"/>
                <w:rtl w:val="0"/>
                <w:lang w:val="en-US"/>
              </w:rPr>
              <w:t xml:space="preserve">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133</w:t>
            </w:r>
          </w:p>
        </w:tc>
      </w:tr>
      <w:tr>
        <w:tblPrEx>
          <w:shd w:val="clear" w:color="auto" w:fill="ced7e7"/>
        </w:tblPrEx>
        <w:trPr>
          <w:trHeight w:val="15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13</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pPr>
            <w:r>
              <w:rPr>
                <w:rFonts w:ascii="Times New Roman" w:hAnsi="Times New Roman"/>
                <w:b w:val="1"/>
                <w:bCs w:val="1"/>
                <w:kern w:val="0"/>
                <w:sz w:val="24"/>
                <w:szCs w:val="24"/>
                <w:shd w:val="nil" w:color="auto" w:fill="auto"/>
                <w:rtl w:val="0"/>
                <w:lang w:val="en-US"/>
              </w:rPr>
              <w:t xml:space="preserve">EXPLORING THE PROBIOTIC MICROBIOTA OF </w:t>
            </w:r>
            <w:r>
              <w:rPr>
                <w:rFonts w:ascii="Times New Roman" w:hAnsi="Times New Roman"/>
                <w:b w:val="1"/>
                <w:bCs w:val="1"/>
                <w:i w:val="1"/>
                <w:iCs w:val="1"/>
                <w:kern w:val="0"/>
                <w:sz w:val="24"/>
                <w:szCs w:val="24"/>
                <w:shd w:val="nil" w:color="auto" w:fill="auto"/>
                <w:rtl w:val="0"/>
                <w:lang w:val="en-US"/>
              </w:rPr>
              <w:t>PALMYRA (BORASSUS FLABELLIFER)</w:t>
            </w:r>
            <w:r>
              <w:rPr>
                <w:rFonts w:ascii="Times New Roman" w:hAnsi="Times New Roman"/>
                <w:b w:val="1"/>
                <w:bCs w:val="1"/>
                <w:kern w:val="0"/>
                <w:sz w:val="24"/>
                <w:szCs w:val="24"/>
                <w:shd w:val="nil" w:color="auto" w:fill="auto"/>
                <w:rtl w:val="0"/>
                <w:lang w:val="en-US"/>
              </w:rPr>
              <w:t xml:space="preserve"> INFLORESCENCE SAP FOR FUNCTIONAL FOOD APPLICATIONS                                                                     </w:t>
            </w:r>
            <w:r>
              <w:rPr>
                <w:rFonts w:ascii="Times New Roman" w:hAnsi="Times New Roman"/>
                <w:i w:val="1"/>
                <w:iCs w:val="1"/>
                <w:kern w:val="0"/>
                <w:sz w:val="24"/>
                <w:szCs w:val="24"/>
                <w:shd w:val="nil" w:color="auto" w:fill="auto"/>
                <w:rtl w:val="0"/>
                <w:lang w:val="en-US"/>
              </w:rPr>
              <w:t>Jebajosilin.B. and</w:t>
            </w:r>
            <w:r>
              <w:rPr>
                <w:rFonts w:ascii="Times New Roman" w:hAnsi="Times New Roman" w:hint="default"/>
                <w:i w:val="1"/>
                <w:iCs w:val="1"/>
                <w:kern w:val="0"/>
                <w:sz w:val="24"/>
                <w:szCs w:val="24"/>
                <w:shd w:val="nil" w:color="auto" w:fill="auto"/>
                <w:rtl w:val="0"/>
                <w:lang w:val="en-US"/>
              </w:rPr>
              <w:t> </w:t>
            </w:r>
            <w:r>
              <w:rPr>
                <w:rFonts w:ascii="Times New Roman" w:hAnsi="Times New Roman"/>
                <w:i w:val="1"/>
                <w:iCs w:val="1"/>
                <w:kern w:val="0"/>
                <w:sz w:val="24"/>
                <w:szCs w:val="24"/>
                <w:shd w:val="nil" w:color="auto" w:fill="auto"/>
                <w:rtl w:val="0"/>
                <w:lang w:val="en-US"/>
              </w:rPr>
              <w:t>T.Kumaran.</w:t>
            </w:r>
            <w:r>
              <w:rPr>
                <w:rFonts w:ascii="Times New Roman" w:hAnsi="Times New Roman" w:hint="default"/>
                <w:i w:val="1"/>
                <w:iCs w:val="1"/>
                <w:kern w:val="0"/>
                <w:sz w:val="24"/>
                <w:szCs w:val="24"/>
                <w:shd w:val="nil" w:color="auto" w:fill="auto"/>
                <w:rtl w:val="0"/>
                <w:lang w:val="en-US"/>
              </w:rPr>
              <w:t> </w:t>
            </w:r>
            <w:r>
              <w:rPr>
                <w:rFonts w:ascii="Times New Roman" w:hAnsi="Times New Roman"/>
                <w:i w:val="1"/>
                <w:iCs w:val="1"/>
                <w:kern w:val="0"/>
                <w:sz w:val="24"/>
                <w:szCs w:val="24"/>
                <w:shd w:val="nil" w:color="auto" w:fill="auto"/>
                <w:rtl w:val="0"/>
                <w:lang w:val="en-US"/>
              </w:rPr>
              <w:t>T</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145</w:t>
            </w:r>
          </w:p>
        </w:tc>
      </w:tr>
      <w:tr>
        <w:tblPrEx>
          <w:shd w:val="clear" w:color="auto" w:fill="ced7e7"/>
        </w:tblPrEx>
        <w:trPr>
          <w:trHeight w:val="85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14</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both"/>
            </w:pPr>
            <w:r>
              <w:rPr>
                <w:rFonts w:ascii="Times New Roman" w:hAnsi="Times New Roman"/>
                <w:b w:val="1"/>
                <w:bCs w:val="1"/>
                <w:kern w:val="0"/>
                <w:shd w:val="nil" w:color="auto" w:fill="auto"/>
                <w:rtl w:val="0"/>
                <w:lang w:val="en-US"/>
              </w:rPr>
              <w:t xml:space="preserve">INVESTIGATING ANTIBIOTIC RESISTANCE </w:t>
            </w:r>
            <w:r>
              <w:rPr>
                <w:rFonts w:ascii="Times New Roman" w:hAnsi="Times New Roman"/>
                <w:b w:val="1"/>
                <w:bCs w:val="1"/>
                <w:kern w:val="0"/>
                <w:sz w:val="24"/>
                <w:szCs w:val="24"/>
                <w:shd w:val="nil" w:color="auto" w:fill="auto"/>
                <w:rtl w:val="0"/>
                <w:lang w:val="en-US"/>
              </w:rPr>
              <w:t>BACTERIA</w:t>
            </w:r>
            <w:r>
              <w:rPr>
                <w:rFonts w:ascii="Times New Roman" w:hAnsi="Times New Roman"/>
                <w:b w:val="1"/>
                <w:bCs w:val="1"/>
                <w:kern w:val="0"/>
                <w:shd w:val="nil" w:color="auto" w:fill="auto"/>
                <w:rtl w:val="0"/>
                <w:lang w:val="en-US"/>
              </w:rPr>
              <w:t xml:space="preserve">                                                        IN NON -CLINICAL ENVIRONMENT                                             </w:t>
            </w:r>
            <w:r>
              <w:rPr>
                <w:rFonts w:ascii="Times New Roman" w:hAnsi="Times New Roman"/>
                <w:kern w:val="0"/>
                <w:sz w:val="24"/>
                <w:szCs w:val="24"/>
                <w:shd w:val="nil" w:color="auto" w:fill="auto"/>
                <w:rtl w:val="0"/>
                <w:lang w:val="en-US"/>
              </w:rPr>
              <w:t>Navya.B.S</w:t>
            </w:r>
            <w:r>
              <w:rPr>
                <w:rFonts w:ascii="Times New Roman" w:hAnsi="Times New Roman"/>
                <w:kern w:val="0"/>
                <w:sz w:val="24"/>
                <w:szCs w:val="24"/>
                <w:shd w:val="nil" w:color="auto" w:fill="auto"/>
                <w:vertAlign w:val="superscript"/>
                <w:rtl w:val="0"/>
                <w:lang w:val="en-US"/>
              </w:rPr>
              <w:t xml:space="preserve"> </w:t>
            </w:r>
            <w:r>
              <w:rPr>
                <w:rFonts w:ascii="Times New Roman" w:hAnsi="Times New Roman"/>
                <w:kern w:val="0"/>
                <w:sz w:val="24"/>
                <w:szCs w:val="24"/>
                <w:shd w:val="nil" w:color="auto" w:fill="auto"/>
                <w:rtl w:val="0"/>
                <w:lang w:val="en-US"/>
              </w:rPr>
              <w:t>and Dhivya</w:t>
            </w:r>
            <w:r>
              <w:rPr>
                <w:rFonts w:ascii="Times New Roman" w:hAnsi="Times New Roman"/>
                <w:kern w:val="0"/>
                <w:sz w:val="24"/>
                <w:szCs w:val="24"/>
                <w:shd w:val="nil" w:color="auto" w:fill="auto"/>
                <w:vertAlign w:val="superscript"/>
                <w:rtl w:val="0"/>
                <w:lang w:val="en-US"/>
              </w:rPr>
              <w:t xml:space="preserve"> </w:t>
            </w:r>
            <w:r>
              <w:rPr>
                <w:rFonts w:ascii="Times New Roman" w:hAnsi="Times New Roman"/>
                <w:b w:val="1"/>
                <w:bCs w:val="1"/>
                <w:kern w:val="0"/>
                <w:sz w:val="24"/>
                <w:szCs w:val="24"/>
                <w:shd w:val="nil" w:color="auto" w:fill="auto"/>
                <w:vertAlign w:val="superscript"/>
                <w:rtl w:val="0"/>
                <w:lang w:val="en-US"/>
              </w:rPr>
              <w:t>.</w:t>
            </w:r>
            <w:r>
              <w:rPr>
                <w:rFonts w:ascii="Times New Roman" w:hAnsi="Times New Roman"/>
                <w:kern w:val="0"/>
                <w:sz w:val="24"/>
                <w:szCs w:val="24"/>
                <w:shd w:val="nil" w:color="auto" w:fill="auto"/>
                <w:rtl w:val="0"/>
                <w:lang w:val="en-US"/>
              </w:rPr>
              <w:t>R.S</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158</w:t>
            </w:r>
          </w:p>
        </w:tc>
      </w:tr>
      <w:tr>
        <w:tblPrEx>
          <w:shd w:val="clear" w:color="auto" w:fill="ced7e7"/>
        </w:tblPrEx>
        <w:trPr>
          <w:trHeight w:val="12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15</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pPr>
            <w:r>
              <w:rPr>
                <w:b w:val="1"/>
                <w:bCs w:val="1"/>
                <w:kern w:val="0"/>
                <w:shd w:val="nil" w:color="auto" w:fill="auto"/>
                <w:rtl w:val="0"/>
                <w:lang w:val="en-US"/>
              </w:rPr>
              <w:t xml:space="preserve">INNOVATIONS IN FARMING: ADVANCING ENVIRONMENTAL SUSTAINABILITY FOR A GREENER FUTURE                                                                                                     </w:t>
            </w:r>
            <w:r>
              <w:rPr>
                <w:kern w:val="0"/>
                <w:shd w:val="nil" w:color="auto" w:fill="auto"/>
                <w:rtl w:val="0"/>
                <w:lang w:val="en-US"/>
              </w:rPr>
              <w:t xml:space="preserve"> </w:t>
            </w:r>
            <w:r>
              <w:rPr>
                <w:i w:val="1"/>
                <w:iCs w:val="1"/>
                <w:kern w:val="0"/>
                <w:shd w:val="nil" w:color="auto" w:fill="auto"/>
                <w:rtl w:val="0"/>
                <w:lang w:val="en-US"/>
              </w:rPr>
              <w:t>Aravind Perumal.</w:t>
            </w:r>
            <w:r>
              <w:rPr>
                <w:b w:val="1"/>
                <w:bCs w:val="1"/>
                <w:i w:val="1"/>
                <w:iCs w:val="1"/>
                <w:kern w:val="0"/>
                <w:shd w:val="nil" w:color="auto" w:fill="auto"/>
                <w:rtl w:val="0"/>
                <w:lang w:val="en-US"/>
              </w:rPr>
              <w:t xml:space="preserve"> </w:t>
            </w:r>
            <w:r>
              <w:rPr>
                <w:i w:val="1"/>
                <w:iCs w:val="1"/>
                <w:kern w:val="0"/>
                <w:shd w:val="nil" w:color="auto" w:fill="auto"/>
                <w:rtl w:val="0"/>
                <w:lang w:val="en-US"/>
              </w:rPr>
              <w:t xml:space="preserve">P and Petchiammal. M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168</w:t>
            </w:r>
          </w:p>
        </w:tc>
      </w:tr>
      <w:tr>
        <w:tblPrEx>
          <w:shd w:val="clear" w:color="auto" w:fill="ced7e7"/>
        </w:tblPrEx>
        <w:trPr>
          <w:trHeight w:val="15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16</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both"/>
            </w:pPr>
            <w:r>
              <w:rPr>
                <w:b w:val="1"/>
                <w:bCs w:val="1"/>
                <w:kern w:val="0"/>
                <w:shd w:val="nil" w:color="auto" w:fill="auto"/>
                <w:rtl w:val="0"/>
                <w:lang w:val="en-US"/>
              </w:rPr>
              <w:t xml:space="preserve">PHYTOCHEMICAL SCREENING AND ANTIBACTERIAL EFFECT OF </w:t>
            </w:r>
            <w:r>
              <w:rPr>
                <w:b w:val="1"/>
                <w:bCs w:val="1"/>
                <w:i w:val="1"/>
                <w:iCs w:val="1"/>
                <w:kern w:val="0"/>
                <w:shd w:val="nil" w:color="auto" w:fill="auto"/>
                <w:rtl w:val="0"/>
                <w:lang w:val="en-US"/>
              </w:rPr>
              <w:t>LEUCAS ASPERA</w:t>
            </w:r>
            <w:r>
              <w:rPr>
                <w:b w:val="1"/>
                <w:bCs w:val="1"/>
                <w:kern w:val="0"/>
                <w:shd w:val="nil" w:color="auto" w:fill="auto"/>
                <w:rtl w:val="0"/>
                <w:lang w:val="en-US"/>
              </w:rPr>
              <w:t xml:space="preserve"> PLANT EXTRACTS AGAINST AQUATIC FISH PATHOGEN </w:t>
            </w:r>
            <w:r>
              <w:rPr>
                <w:b w:val="1"/>
                <w:bCs w:val="1"/>
                <w:i w:val="1"/>
                <w:iCs w:val="1"/>
                <w:kern w:val="0"/>
                <w:shd w:val="nil" w:color="auto" w:fill="auto"/>
                <w:rtl w:val="0"/>
                <w:lang w:val="en-US"/>
              </w:rPr>
              <w:t xml:space="preserve">AEROMONAS VERONII                                                                                     </w:t>
            </w:r>
            <w:r>
              <w:rPr>
                <w:kern w:val="0"/>
                <w:shd w:val="nil" w:color="auto" w:fill="auto"/>
                <w:rtl w:val="0"/>
                <w:lang w:val="en-US"/>
              </w:rPr>
              <w:t xml:space="preserve"> </w:t>
            </w:r>
            <w:r>
              <w:rPr>
                <w:i w:val="1"/>
                <w:iCs w:val="1"/>
                <w:kern w:val="0"/>
                <w:shd w:val="nil" w:color="auto" w:fill="auto"/>
                <w:rtl w:val="0"/>
                <w:lang w:val="en-US"/>
              </w:rPr>
              <w:t>Frylin Kanaga. J.</w:t>
            </w:r>
            <w:r>
              <w:rPr>
                <w:i w:val="1"/>
                <w:iCs w:val="1"/>
                <w:kern w:val="0"/>
                <w:shd w:val="nil" w:color="auto" w:fill="auto"/>
                <w:vertAlign w:val="superscript"/>
                <w:rtl w:val="0"/>
                <w:lang w:val="en-US"/>
              </w:rPr>
              <w:t xml:space="preserve"> </w:t>
            </w:r>
            <w:r>
              <w:rPr>
                <w:i w:val="1"/>
                <w:iCs w:val="1"/>
                <w:kern w:val="0"/>
                <w:shd w:val="nil" w:color="auto" w:fill="auto"/>
                <w:rtl w:val="0"/>
                <w:lang w:val="en-US"/>
              </w:rPr>
              <w:t>, Sreeja. S.J and Raja Jeya Sekar</w:t>
            </w:r>
            <w:r>
              <w:rPr>
                <w:i w:val="1"/>
                <w:iCs w:val="1"/>
                <w:kern w:val="0"/>
                <w:shd w:val="nil" w:color="auto" w:fill="auto"/>
                <w:vertAlign w:val="superscript"/>
                <w:rtl w:val="0"/>
                <w:lang w:val="en-US"/>
              </w:rPr>
              <w:t xml:space="preserve"> . </w:t>
            </w:r>
            <w:r>
              <w:rPr>
                <w:i w:val="1"/>
                <w:iCs w:val="1"/>
                <w:kern w:val="0"/>
                <w:shd w:val="nil" w:color="auto" w:fill="auto"/>
                <w:rtl w:val="0"/>
                <w:lang w:val="en-US"/>
              </w:rPr>
              <w:t>R.</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178</w:t>
            </w:r>
          </w:p>
        </w:tc>
      </w:tr>
      <w:tr>
        <w:tblPrEx>
          <w:shd w:val="clear" w:color="auto" w:fill="ced7e7"/>
        </w:tblPrEx>
        <w:trPr>
          <w:trHeight w:val="18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17</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pPr>
            <w:r>
              <w:rPr>
                <w:b w:val="1"/>
                <w:bCs w:val="1"/>
                <w:kern w:val="0"/>
                <w:shd w:val="nil" w:color="auto" w:fill="auto"/>
                <w:rtl w:val="0"/>
                <w:lang w:val="en-US"/>
              </w:rPr>
              <w:t xml:space="preserve">PHYTOGENIC POTENTIAL OF </w:t>
            </w:r>
            <w:r>
              <w:rPr>
                <w:b w:val="1"/>
                <w:bCs w:val="1"/>
                <w:i w:val="1"/>
                <w:iCs w:val="1"/>
                <w:kern w:val="0"/>
                <w:shd w:val="nil" w:color="auto" w:fill="auto"/>
                <w:rtl w:val="0"/>
                <w:lang w:val="en-US"/>
              </w:rPr>
              <w:t>PSIDIUM GUAJAVA</w:t>
            </w:r>
            <w:r>
              <w:rPr>
                <w:b w:val="1"/>
                <w:bCs w:val="1"/>
                <w:kern w:val="0"/>
                <w:shd w:val="nil" w:color="auto" w:fill="auto"/>
                <w:rtl w:val="0"/>
                <w:lang w:val="en-US"/>
              </w:rPr>
              <w:t xml:space="preserve"> LEAVES IN ORNAMENTAL AQUACULTURE: ENHANCING GROWTH AND RESISTANCE TO </w:t>
            </w:r>
            <w:r>
              <w:rPr>
                <w:b w:val="1"/>
                <w:bCs w:val="1"/>
                <w:i w:val="1"/>
                <w:iCs w:val="1"/>
                <w:kern w:val="0"/>
                <w:shd w:val="nil" w:color="auto" w:fill="auto"/>
                <w:rtl w:val="0"/>
                <w:lang w:val="en-US"/>
              </w:rPr>
              <w:t>AEROMONAS HYDROPHILA</w:t>
            </w:r>
            <w:r>
              <w:rPr>
                <w:b w:val="1"/>
                <w:bCs w:val="1"/>
                <w:kern w:val="0"/>
                <w:shd w:val="nil" w:color="auto" w:fill="auto"/>
                <w:rtl w:val="0"/>
                <w:lang w:val="en-US"/>
              </w:rPr>
              <w:t xml:space="preserve"> ST1 IN </w:t>
            </w:r>
            <w:r>
              <w:rPr>
                <w:b w:val="1"/>
                <w:bCs w:val="1"/>
                <w:i w:val="1"/>
                <w:iCs w:val="1"/>
                <w:kern w:val="0"/>
                <w:shd w:val="nil" w:color="auto" w:fill="auto"/>
                <w:rtl w:val="0"/>
                <w:lang w:val="en-US"/>
              </w:rPr>
              <w:t xml:space="preserve">POECILIA SPHENOPS.                                                                                          </w:t>
            </w:r>
            <w:r>
              <w:rPr>
                <w:i w:val="1"/>
                <w:iCs w:val="1"/>
                <w:kern w:val="0"/>
                <w:shd w:val="nil" w:color="auto" w:fill="auto"/>
                <w:rtl w:val="0"/>
                <w:lang w:val="en-US"/>
              </w:rPr>
              <w:t>Harish. A, Raja Jeya Sekar. R and Vijila. S.M.</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183</w:t>
            </w:r>
          </w:p>
        </w:tc>
      </w:tr>
      <w:tr>
        <w:tblPrEx>
          <w:shd w:val="clear" w:color="auto" w:fill="ced7e7"/>
        </w:tblPrEx>
        <w:trPr>
          <w:trHeight w:val="15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after="0" w:line="240" w:lineRule="auto"/>
              <w:jc w:val="center"/>
            </w:pPr>
            <w:r>
              <w:rPr>
                <w:b w:val="1"/>
                <w:bCs w:val="1"/>
                <w:kern w:val="0"/>
                <w:shd w:val="nil" w:color="auto" w:fill="auto"/>
                <w:rtl w:val="0"/>
                <w:lang w:val="en-US"/>
              </w:rPr>
              <w:t>18</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743"/>
            </w:tcMar>
            <w:vAlign w:val="center"/>
          </w:tcPr>
          <w:p>
            <w:pPr>
              <w:pStyle w:val="Normal (Web)"/>
              <w:spacing w:after="0" w:line="240" w:lineRule="auto"/>
              <w:ind w:right="663"/>
            </w:pPr>
            <w:r>
              <w:rPr>
                <w:b w:val="1"/>
                <w:bCs w:val="1"/>
                <w:kern w:val="0"/>
                <w:shd w:val="nil" w:color="auto" w:fill="auto"/>
                <w:rtl w:val="0"/>
                <w:lang w:val="en-US"/>
              </w:rPr>
              <w:t xml:space="preserve">ISOLATION AND CHARACTERISATION OF EFFICIENT HYDROCARBON </w:t>
            </w:r>
            <w:r>
              <w:rPr>
                <w:b w:val="1"/>
                <w:bCs w:val="1"/>
                <w:kern w:val="0"/>
                <w:shd w:val="nil" w:color="auto" w:fill="auto"/>
                <w:rtl w:val="0"/>
                <w:lang w:val="en-US"/>
              </w:rPr>
              <w:t xml:space="preserve">– </w:t>
            </w:r>
            <w:r>
              <w:rPr>
                <w:b w:val="1"/>
                <w:bCs w:val="1"/>
                <w:kern w:val="0"/>
                <w:shd w:val="nil" w:color="auto" w:fill="auto"/>
                <w:rtl w:val="0"/>
                <w:lang w:val="en-US"/>
              </w:rPr>
              <w:t>DEGRADING BACTERIA FROM PETROLEUM CONTAMINATED OIL</w:t>
            </w:r>
            <w:r>
              <w:rPr>
                <w:b w:val="1"/>
                <w:bCs w:val="1"/>
                <w:kern w:val="0"/>
                <w:shd w:val="nil" w:color="auto" w:fill="auto"/>
                <w:rtl w:val="0"/>
                <w:lang w:val="en-US"/>
              </w:rPr>
              <w:t xml:space="preserve">                                                 </w:t>
            </w:r>
            <w:r>
              <w:rPr>
                <w:i w:val="1"/>
                <w:iCs w:val="1"/>
                <w:kern w:val="0"/>
                <w:shd w:val="nil" w:color="auto" w:fill="auto"/>
                <w:rtl w:val="0"/>
                <w:lang w:val="en-US"/>
              </w:rPr>
              <w:t>Alex G. J</w:t>
            </w:r>
            <w:r>
              <w:rPr>
                <w:i w:val="1"/>
                <w:iCs w:val="1"/>
                <w:kern w:val="0"/>
                <w:shd w:val="nil" w:color="auto" w:fill="auto"/>
                <w:vertAlign w:val="superscript"/>
                <w:rtl w:val="0"/>
                <w:lang w:val="en-US"/>
              </w:rPr>
              <w:t xml:space="preserve"> </w:t>
            </w:r>
            <w:r>
              <w:rPr>
                <w:i w:val="1"/>
                <w:iCs w:val="1"/>
                <w:kern w:val="0"/>
                <w:shd w:val="nil" w:color="auto" w:fill="auto"/>
                <w:rtl w:val="0"/>
                <w:lang w:val="en-US"/>
              </w:rPr>
              <w:t>and Dhivya.R.S.</w:t>
            </w:r>
            <w:r>
              <w:rPr>
                <w:i w:val="1"/>
                <w:iCs w:val="1"/>
                <w:kern w:val="0"/>
                <w:shd w:val="nil" w:color="auto" w:fill="auto"/>
                <w:rtl w:val="0"/>
                <w:lang w:val="en-US"/>
              </w:rPr>
              <w:t>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193</w:t>
            </w:r>
          </w:p>
        </w:tc>
      </w:tr>
      <w:tr>
        <w:tblPrEx>
          <w:shd w:val="clear" w:color="auto" w:fill="ced7e7"/>
        </w:tblPrEx>
        <w:trPr>
          <w:trHeight w:val="133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sz w:val="24"/>
                <w:szCs w:val="24"/>
                <w:shd w:val="nil" w:color="auto" w:fill="auto"/>
                <w:rtl w:val="0"/>
                <w:lang w:val="en-US"/>
              </w:rPr>
              <w:t>19</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both"/>
              <w:rPr>
                <w:rFonts w:ascii="Times New Roman" w:cs="Times New Roman" w:hAnsi="Times New Roman" w:eastAsia="Times New Roman"/>
                <w:b w:val="1"/>
                <w:bCs w:val="1"/>
                <w:sz w:val="24"/>
                <w:szCs w:val="24"/>
                <w:shd w:val="nil" w:color="auto" w:fill="auto"/>
              </w:rPr>
            </w:pPr>
            <w:r>
              <w:rPr>
                <w:rFonts w:ascii="Times New Roman" w:hAnsi="Times New Roman"/>
                <w:b w:val="1"/>
                <w:bCs w:val="1"/>
                <w:sz w:val="24"/>
                <w:szCs w:val="24"/>
                <w:shd w:val="nil" w:color="auto" w:fill="auto"/>
                <w:rtl w:val="0"/>
                <w:lang w:val="en-US"/>
              </w:rPr>
              <w:t>IMPACT OF SKILL DEVELOPMENT PROGRAMMES ON FISHERMEN'S PRODUCTIVITY IN THE GIG ECONOMY</w:t>
            </w:r>
          </w:p>
          <w:p>
            <w:pPr>
              <w:pStyle w:val="Normal.0"/>
              <w:bidi w:val="0"/>
              <w:spacing w:before="120" w:after="120" w:line="240" w:lineRule="auto"/>
              <w:ind w:left="0" w:right="0" w:firstLine="0"/>
              <w:jc w:val="left"/>
              <w:rPr>
                <w:rtl w:val="0"/>
              </w:rPr>
            </w:pPr>
            <w:r>
              <w:rPr>
                <w:rFonts w:ascii="Times New Roman" w:hAnsi="Times New Roman"/>
                <w:i w:val="1"/>
                <w:iCs w:val="1"/>
                <w:sz w:val="24"/>
                <w:szCs w:val="24"/>
                <w:shd w:val="nil" w:color="auto" w:fill="auto"/>
                <w:rtl w:val="0"/>
                <w:lang w:val="en-US"/>
              </w:rPr>
              <w:t>Velammal. K.,  and</w:t>
            </w:r>
            <w:r>
              <w:rPr>
                <w:rFonts w:ascii="Times New Roman" w:hAnsi="Times New Roman"/>
                <w:b w:val="1"/>
                <w:bCs w:val="1"/>
                <w:i w:val="1"/>
                <w:iCs w:val="1"/>
                <w:sz w:val="24"/>
                <w:szCs w:val="24"/>
                <w:shd w:val="nil" w:color="auto" w:fill="auto"/>
                <w:rtl w:val="0"/>
                <w:lang w:val="en-US"/>
              </w:rPr>
              <w:t xml:space="preserve"> </w:t>
            </w:r>
            <w:r>
              <w:rPr>
                <w:rFonts w:ascii="Times New Roman" w:hAnsi="Times New Roman"/>
                <w:i w:val="1"/>
                <w:iCs w:val="1"/>
                <w:sz w:val="24"/>
                <w:szCs w:val="24"/>
                <w:shd w:val="nil" w:color="auto" w:fill="auto"/>
                <w:rtl w:val="0"/>
                <w:lang w:val="en-US"/>
              </w:rPr>
              <w:t>Victoria . D.G.M.</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199</w:t>
            </w:r>
          </w:p>
        </w:tc>
      </w:tr>
      <w:tr>
        <w:tblPrEx>
          <w:shd w:val="clear" w:color="auto" w:fill="ced7e7"/>
        </w:tblPrEx>
        <w:trPr>
          <w:trHeight w:val="9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Times New Roman" w:hAnsi="Times New Roman"/>
                <w:b w:val="1"/>
                <w:bCs w:val="1"/>
                <w:sz w:val="24"/>
                <w:szCs w:val="24"/>
                <w:shd w:val="nil" w:color="auto" w:fill="auto"/>
                <w:rtl w:val="0"/>
                <w:lang w:val="en-US"/>
              </w:rPr>
              <w:t>20</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both"/>
              <w:rPr>
                <w:rFonts w:ascii="Times New Roman" w:cs="Times New Roman" w:hAnsi="Times New Roman" w:eastAsia="Times New Roman"/>
                <w:b w:val="1"/>
                <w:bCs w:val="1"/>
                <w:sz w:val="24"/>
                <w:szCs w:val="24"/>
                <w:shd w:val="nil" w:color="auto" w:fill="auto"/>
              </w:rPr>
            </w:pPr>
            <w:r>
              <w:rPr>
                <w:rFonts w:ascii="Times New Roman" w:hAnsi="Times New Roman"/>
                <w:b w:val="1"/>
                <w:bCs w:val="1"/>
                <w:sz w:val="24"/>
                <w:szCs w:val="24"/>
                <w:shd w:val="nil" w:color="auto" w:fill="auto"/>
                <w:rtl w:val="0"/>
                <w:lang w:val="en-US"/>
              </w:rPr>
              <w:t>ARTIFICIAL INTELLIGENCE IN MODERN HUMAN HEALTH</w:t>
            </w:r>
          </w:p>
          <w:p>
            <w:pPr>
              <w:pStyle w:val="Normal.0"/>
              <w:bidi w:val="0"/>
              <w:spacing w:after="0" w:line="240" w:lineRule="auto"/>
              <w:ind w:left="0" w:right="0" w:firstLine="0"/>
              <w:jc w:val="left"/>
              <w:rPr>
                <w:rtl w:val="0"/>
              </w:rPr>
            </w:pPr>
            <w:r>
              <w:rPr>
                <w:rFonts w:ascii="Times New Roman" w:hAnsi="Times New Roman"/>
                <w:i w:val="1"/>
                <w:iCs w:val="1"/>
                <w:sz w:val="24"/>
                <w:szCs w:val="24"/>
                <w:shd w:val="nil" w:color="auto" w:fill="auto"/>
                <w:rtl w:val="0"/>
                <w:lang w:val="en-US"/>
              </w:rPr>
              <w:t>Vidhya.V.,  Sini Bhadrasenan Pushpangadan and Priya.</w:t>
            </w:r>
            <w:r>
              <w:rPr>
                <w:rFonts w:ascii="Times New Roman" w:hAnsi="Times New Roman"/>
                <w:i w:val="1"/>
                <w:iCs w:val="1"/>
                <w:sz w:val="24"/>
                <w:szCs w:val="24"/>
                <w:shd w:val="nil" w:color="auto" w:fill="auto"/>
                <w:vertAlign w:val="superscript"/>
                <w:rtl w:val="0"/>
                <w:lang w:val="en-US"/>
              </w:rPr>
              <w:t xml:space="preserve"> </w:t>
            </w:r>
            <w:r>
              <w:rPr>
                <w:rFonts w:ascii="Times New Roman" w:hAnsi="Times New Roman"/>
                <w:i w:val="1"/>
                <w:iCs w:val="1"/>
                <w:sz w:val="24"/>
                <w:szCs w:val="24"/>
                <w:shd w:val="nil" w:color="auto" w:fill="auto"/>
                <w:rtl w:val="0"/>
                <w:lang w:val="en-US"/>
              </w:rPr>
              <w:t>U. S.</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207</w:t>
            </w:r>
          </w:p>
        </w:tc>
      </w:tr>
    </w:tbl>
    <w:p>
      <w:pPr>
        <w:pStyle w:val="Normal.0"/>
        <w:widowControl w:val="0"/>
        <w:spacing w:line="240" w:lineRule="auto"/>
        <w:ind w:left="306" w:hanging="306"/>
      </w:pPr>
    </w:p>
    <w:p>
      <w:pPr>
        <w:pStyle w:val="Normal.0"/>
        <w:widowControl w:val="0"/>
        <w:spacing w:line="240" w:lineRule="auto"/>
        <w:ind w:left="198" w:hanging="198"/>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BIOCHEMICAL ACTIVITY IN THE HAEMOLYMPH OF SILKWORM,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 xml:space="preserve">BOMBYX MORI </w:t>
      </w:r>
      <w:r>
        <w:rPr>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L. DURING INFECTION OF FUNGAL PATHOGEN,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METARHIZIUM</w:t>
      </w:r>
      <w:r>
        <w:rPr>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xml:space="preserve">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ANISOPLIAE</w:t>
      </w:r>
    </w:p>
    <w:p>
      <w:pPr>
        <w:pStyle w:val="Normal.0"/>
        <w:spacing w:after="0" w:line="360" w:lineRule="auto"/>
        <w:jc w:val="center"/>
        <w:rPr>
          <w:rFonts w:ascii="Times New Roman" w:cs="Times New Roman" w:hAnsi="Times New Roman" w:eastAsia="Times New Roman"/>
          <w:i w:val="1"/>
          <w:iCs w:val="1"/>
          <w:kern w:val="0"/>
          <w:sz w:val="24"/>
          <w:szCs w:val="24"/>
        </w:rPr>
      </w:pPr>
      <w:r>
        <w:rPr>
          <w:rFonts w:ascii="Times New Roman" w:hAnsi="Times New Roman"/>
          <w:i w:val="1"/>
          <w:iCs w:val="1"/>
          <w:kern w:val="0"/>
          <w:sz w:val="24"/>
          <w:szCs w:val="24"/>
          <w:rtl w:val="0"/>
          <w:lang w:val="en-US"/>
        </w:rPr>
        <w:t>Anisha</w:t>
      </w:r>
      <w:r>
        <w:rPr>
          <w:rFonts w:ascii="Times New Roman" w:hAnsi="Times New Roman"/>
          <w:i w:val="1"/>
          <w:iCs w:val="1"/>
          <w:kern w:val="0"/>
          <w:sz w:val="24"/>
          <w:szCs w:val="24"/>
          <w:rtl w:val="0"/>
          <w:lang w:val="en-US"/>
        </w:rPr>
        <w:t>,</w:t>
      </w:r>
      <w:r>
        <w:rPr>
          <w:rFonts w:ascii="Times New Roman" w:hAnsi="Times New Roman"/>
          <w:i w:val="1"/>
          <w:iCs w:val="1"/>
          <w:kern w:val="0"/>
          <w:sz w:val="24"/>
          <w:szCs w:val="24"/>
          <w:rtl w:val="0"/>
          <w:lang w:val="en-US"/>
        </w:rPr>
        <w:t>S.P.</w:t>
      </w:r>
      <w:r>
        <w:rPr>
          <w:rFonts w:ascii="Times New Roman" w:hAnsi="Times New Roman"/>
          <w:i w:val="1"/>
          <w:iCs w:val="1"/>
          <w:kern w:val="0"/>
          <w:sz w:val="24"/>
          <w:szCs w:val="24"/>
          <w:vertAlign w:val="superscript"/>
          <w:rtl w:val="0"/>
          <w:lang w:val="en-US"/>
        </w:rPr>
        <w:t>1</w:t>
      </w:r>
      <w:r>
        <w:rPr>
          <w:rFonts w:ascii="Times New Roman" w:hAnsi="Times New Roman" w:hint="default"/>
          <w:i w:val="1"/>
          <w:iCs w:val="1"/>
          <w:kern w:val="0"/>
          <w:sz w:val="24"/>
          <w:szCs w:val="24"/>
          <w:rtl w:val="0"/>
          <w:lang w:val="en-US"/>
        </w:rPr>
        <w:t xml:space="preserve">  </w:t>
      </w:r>
      <w:r>
        <w:rPr>
          <w:rFonts w:ascii="Times New Roman" w:hAnsi="Times New Roman"/>
          <w:i w:val="1"/>
          <w:iCs w:val="1"/>
          <w:kern w:val="0"/>
          <w:sz w:val="24"/>
          <w:szCs w:val="24"/>
          <w:rtl w:val="0"/>
          <w:lang w:val="en-US"/>
        </w:rPr>
        <w:t>and</w:t>
      </w:r>
      <w:r>
        <w:rPr>
          <w:rFonts w:ascii="Times New Roman" w:hAnsi="Times New Roman" w:hint="default"/>
          <w:i w:val="1"/>
          <w:iCs w:val="1"/>
          <w:kern w:val="0"/>
          <w:sz w:val="24"/>
          <w:szCs w:val="24"/>
          <w:rtl w:val="0"/>
          <w:lang w:val="en-US"/>
        </w:rPr>
        <w:t> </w:t>
      </w:r>
      <w:r>
        <w:rPr>
          <w:rFonts w:ascii="Times New Roman" w:hAnsi="Times New Roman"/>
          <w:i w:val="1"/>
          <w:iCs w:val="1"/>
          <w:kern w:val="0"/>
          <w:sz w:val="24"/>
          <w:szCs w:val="24"/>
          <w:rtl w:val="0"/>
          <w:lang w:val="en-US"/>
        </w:rPr>
        <w:t>Yasmin</w:t>
      </w:r>
      <w:r>
        <w:rPr>
          <w:rFonts w:ascii="Times New Roman" w:hAnsi="Times New Roman"/>
          <w:i w:val="1"/>
          <w:iCs w:val="1"/>
          <w:kern w:val="0"/>
          <w:sz w:val="24"/>
          <w:szCs w:val="24"/>
          <w:rtl w:val="0"/>
          <w:lang w:val="en-US"/>
        </w:rPr>
        <w:t>,</w:t>
      </w:r>
      <w:r>
        <w:rPr>
          <w:rFonts w:ascii="Times New Roman" w:hAnsi="Times New Roman"/>
          <w:i w:val="1"/>
          <w:iCs w:val="1"/>
          <w:kern w:val="0"/>
          <w:sz w:val="24"/>
          <w:szCs w:val="24"/>
          <w:rtl w:val="0"/>
          <w:lang w:val="en-US"/>
        </w:rPr>
        <w:t>N.</w:t>
      </w:r>
      <w:r>
        <w:rPr>
          <w:rFonts w:ascii="Times New Roman" w:hAnsi="Times New Roman"/>
          <w:i w:val="1"/>
          <w:iCs w:val="1"/>
          <w:kern w:val="0"/>
          <w:sz w:val="24"/>
          <w:szCs w:val="24"/>
          <w:vertAlign w:val="superscript"/>
          <w:rtl w:val="0"/>
          <w:lang w:val="en-US"/>
        </w:rPr>
        <w:t>2</w:t>
      </w:r>
    </w:p>
    <w:p>
      <w:pPr>
        <w:pStyle w:val="Normal.0"/>
        <w:spacing w:after="0" w:line="360" w:lineRule="auto"/>
        <w:jc w:val="center"/>
        <w:rPr>
          <w:rFonts w:ascii="Times New Roman" w:cs="Times New Roman" w:hAnsi="Times New Roman" w:eastAsia="Times New Roman"/>
          <w:i w:val="1"/>
          <w:iCs w:val="1"/>
          <w:kern w:val="0"/>
          <w:sz w:val="24"/>
          <w:szCs w:val="24"/>
        </w:rPr>
      </w:pP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Fonts w:ascii="Times New Roman" w:hAnsi="Times New Roman"/>
          <w:i w:val="1"/>
          <w:iCs w:val="1"/>
          <w:kern w:val="0"/>
          <w:sz w:val="24"/>
          <w:szCs w:val="24"/>
          <w:rtl w:val="0"/>
          <w:lang w:val="en-US"/>
        </w:rPr>
        <w:t xml:space="preserve">Assistant Professor, P.G &amp; Research. Department of Zoology,S.T Hindu College Nagercoil. </w:t>
      </w:r>
      <w:r>
        <w:rPr>
          <w:rFonts w:ascii="Times New Roman" w:hAnsi="Times New Roman"/>
          <w:i w:val="1"/>
          <w:iCs w:val="1"/>
          <w:kern w:val="0"/>
          <w:sz w:val="24"/>
          <w:szCs w:val="24"/>
          <w:vertAlign w:val="superscript"/>
          <w:rtl w:val="0"/>
          <w:lang w:val="en-US"/>
        </w:rPr>
        <w:t>2</w:t>
      </w:r>
      <w:r>
        <w:rPr>
          <w:rFonts w:ascii="Times New Roman" w:hAnsi="Times New Roman"/>
          <w:i w:val="1"/>
          <w:iCs w:val="1"/>
          <w:kern w:val="0"/>
          <w:sz w:val="24"/>
          <w:szCs w:val="24"/>
          <w:rtl w:val="0"/>
          <w:lang w:val="en-US"/>
        </w:rPr>
        <w:t>Assistant Professor, P.G &amp; Research. Department of Zoology, Muslim Arts College, Manonmaniam</w:t>
      </w:r>
      <w:r>
        <w:rPr>
          <w:rFonts w:ascii="Times New Roman" w:hAnsi="Times New Roman"/>
          <w:i w:val="1"/>
          <w:iCs w:val="1"/>
          <w:kern w:val="0"/>
          <w:sz w:val="24"/>
          <w:szCs w:val="24"/>
          <w:rtl w:val="0"/>
          <w:lang w:val="en-US"/>
        </w:rPr>
        <w:t xml:space="preserve"> </w:t>
      </w:r>
      <w:r>
        <w:rPr>
          <w:rFonts w:ascii="Times New Roman" w:hAnsi="Times New Roman"/>
          <w:i w:val="1"/>
          <w:iCs w:val="1"/>
          <w:kern w:val="0"/>
          <w:sz w:val="24"/>
          <w:szCs w:val="24"/>
          <w:rtl w:val="0"/>
          <w:lang w:val="en-US"/>
        </w:rPr>
        <w:t>Sundaranar University, Tirunelveli, Tamilnadu.</w:t>
      </w:r>
    </w:p>
    <w:p>
      <w:pPr>
        <w:pStyle w:val="Normal.0"/>
        <w:spacing w:after="0" w:line="360" w:lineRule="auto"/>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Fonts w:ascii="Times New Roman" w:cs="Times New Roman" w:hAnsi="Times New Roman" w:eastAsia="Times New Roman"/>
          <w:kern w:val="0"/>
          <w:sz w:val="24"/>
          <w:szCs w:val="24"/>
        </w:rPr>
      </w:pPr>
      <w:r>
        <w:rPr>
          <w:rStyle w:val="Hyperlink.1"/>
          <w:rtl w:val="0"/>
          <w:lang w:val="en-US"/>
        </w:rPr>
        <w:t xml:space="preserve">Fungal diseases of the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Bombyx mori</w:t>
      </w:r>
      <w:r>
        <w:rPr>
          <w:rStyle w:val="Hyperlink.1"/>
          <w:rtl w:val="0"/>
          <w:lang w:val="en-US"/>
        </w:rPr>
        <w:t xml:space="preserve"> caused by the infection of pathogenic fungi</w:t>
      </w:r>
      <w:r>
        <w:rPr>
          <w:rStyle w:val="Hyperlink.1"/>
          <w:rtl w:val="0"/>
          <w:lang w:val="en-US"/>
        </w:rPr>
        <w:t xml:space="preserve">  </w:t>
      </w:r>
      <w:r>
        <w:rPr>
          <w:rStyle w:val="Hyperlink.1"/>
          <w:rtl w:val="0"/>
          <w:lang w:val="en-US"/>
        </w:rPr>
        <w:t xml:space="preserve">muscardines. The fungal diseases of the silkworms are one of the major diseases threatening cocoon production. The muscardine in silkworms are different kinds are identified by the colour and appearance of the dead silkworms. Diseases in silkworms occur throughout the year in all sericulture regions, affecting </w:t>
      </w:r>
      <w:r>
        <w:rPr>
          <w:rFonts w:ascii="Times New Roman" w:hAnsi="Times New Roman"/>
          <w:i w:val="1"/>
          <w:iCs w:val="1"/>
          <w:outline w:val="0"/>
          <w:color w:val="000000"/>
          <w:kern w:val="0"/>
          <w:sz w:val="24"/>
          <w:szCs w:val="24"/>
          <w:u w:color="000000"/>
          <w:rtl w:val="0"/>
          <w:lang w:val="en-US"/>
          <w14:textFill>
            <w14:solidFill>
              <w14:srgbClr w14:val="000000"/>
            </w14:solidFill>
          </w14:textFill>
        </w:rPr>
        <w:t>Bombyx mori</w:t>
      </w:r>
      <w:r>
        <w:rPr>
          <w:rStyle w:val="Hyperlink.1"/>
          <w:rtl w:val="0"/>
          <w:lang w:val="en-US"/>
        </w:rPr>
        <w:t xml:space="preserve"> L. The silkworm larvae fed on mulberry leaves treated with </w:t>
      </w:r>
      <w:r>
        <w:rPr>
          <w:rFonts w:ascii="Times New Roman" w:hAnsi="Times New Roman"/>
          <w:i w:val="1"/>
          <w:iCs w:val="1"/>
          <w:outline w:val="0"/>
          <w:color w:val="000000"/>
          <w:kern w:val="0"/>
          <w:sz w:val="24"/>
          <w:szCs w:val="24"/>
          <w:u w:color="000000"/>
          <w:rtl w:val="0"/>
          <w:lang w:val="en-US"/>
          <w14:textFill>
            <w14:solidFill>
              <w14:srgbClr w14:val="000000"/>
            </w14:solidFill>
          </w14:textFill>
        </w:rPr>
        <w:t>Metarhizium anisopliae</w:t>
      </w:r>
      <w:r>
        <w:rPr>
          <w:rStyle w:val="Hyperlink.1"/>
          <w:rtl w:val="0"/>
          <w:lang w:val="en-US"/>
        </w:rPr>
        <w:t xml:space="preserve"> 1</w:t>
      </w: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st</w:t>
      </w:r>
      <w:r>
        <w:rPr>
          <w:rStyle w:val="Hyperlink.1"/>
          <w:rtl w:val="0"/>
          <w:lang w:val="en-US"/>
        </w:rPr>
        <w:t xml:space="preserve"> day of V</w:t>
      </w: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th</w:t>
      </w:r>
      <w:r>
        <w:rPr>
          <w:rStyle w:val="Hyperlink.1"/>
          <w:rtl w:val="0"/>
          <w:lang w:val="en-US"/>
        </w:rPr>
        <w:t xml:space="preserve"> instar and its effect on protein, lipid, carbohydrate and glycogen content in the haemolymph of infected silkworm were analysed. The present study indicated that, inoculation of fungal pathogen resulted significant reduction in protein, lipid, glycogen and carbohydrate content of haemolymph compared to control group. Significant of biochemical content was noticed in the inoculated group from 1</w:t>
      </w: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st</w:t>
      </w:r>
      <w:r>
        <w:rPr>
          <w:rStyle w:val="Hyperlink.1"/>
          <w:rtl w:val="0"/>
          <w:lang w:val="en-US"/>
        </w:rPr>
        <w:t xml:space="preserve"> to V</w:t>
      </w: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th</w:t>
      </w:r>
      <w:r>
        <w:rPr>
          <w:rStyle w:val="Hyperlink.1"/>
          <w:rtl w:val="0"/>
          <w:lang w:val="en-US"/>
        </w:rPr>
        <w:t xml:space="preserve"> day of the V</w:t>
      </w: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th </w:t>
      </w:r>
      <w:r>
        <w:rPr>
          <w:rStyle w:val="Hyperlink.1"/>
          <w:rtl w:val="0"/>
          <w:lang w:val="en-US"/>
        </w:rPr>
        <w:t>instar silkworm larvae.</w:t>
      </w:r>
      <w:r>
        <w:rPr>
          <w:rStyle w:val="Hyperlink.1"/>
          <w:rtl w:val="0"/>
          <w:lang w:val="en-US"/>
        </w:rPr>
        <w:t> </w:t>
      </w:r>
    </w:p>
    <w:p>
      <w:pPr>
        <w:pStyle w:val="Normal.0"/>
        <w:spacing w:after="0" w:line="360" w:lineRule="auto"/>
        <w:jc w:val="both"/>
        <w:rPr>
          <w:rFonts w:ascii="Times New Roman" w:cs="Times New Roman" w:hAnsi="Times New Roman" w:eastAsia="Times New Roman"/>
          <w:i w:val="1"/>
          <w:iCs w:val="1"/>
          <w:kern w:val="0"/>
          <w:sz w:val="24"/>
          <w:szCs w:val="24"/>
        </w:rPr>
      </w:pPr>
      <w:r>
        <w:rPr>
          <w:rFonts w:ascii="Times New Roman" w:hAnsi="Times New Roman"/>
          <w:b w:val="1"/>
          <w:bCs w:val="1"/>
          <w:i w:val="1"/>
          <w:iCs w:val="1"/>
          <w:kern w:val="0"/>
          <w:sz w:val="24"/>
          <w:szCs w:val="24"/>
          <w:rtl w:val="0"/>
          <w:lang w:val="en-US"/>
        </w:rPr>
        <w:t>Keywords</w:t>
      </w:r>
      <w:r>
        <w:rPr>
          <w:rFonts w:ascii="Times New Roman" w:hAnsi="Times New Roman"/>
          <w:i w:val="1"/>
          <w:iCs w:val="1"/>
          <w:kern w:val="0"/>
          <w:sz w:val="24"/>
          <w:szCs w:val="24"/>
          <w:rtl w:val="0"/>
          <w:lang w:val="en-US"/>
        </w:rPr>
        <w:t>: Silkworm, fungal diseases, Bombyx mori L, muscardine diseases and control measures, biochemical activity.</w:t>
      </w:r>
    </w:p>
    <w:p>
      <w:pPr>
        <w:pStyle w:val="Normal.0"/>
        <w:spacing w:after="0" w:line="360" w:lineRule="auto"/>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ind w:firstLine="720"/>
        <w:jc w:val="both"/>
        <w:rPr>
          <w:rFonts w:ascii="Times New Roman" w:cs="Times New Roman" w:hAnsi="Times New Roman" w:eastAsia="Times New Roman"/>
          <w:kern w:val="0"/>
          <w:sz w:val="24"/>
          <w:szCs w:val="24"/>
        </w:rPr>
      </w:pPr>
      <w:r>
        <w:rPr>
          <w:rStyle w:val="Hyperlink.1"/>
          <w:rtl w:val="0"/>
          <w:lang w:val="en-US"/>
        </w:rPr>
        <w:t xml:space="preserve">Sericulture plays a vital role in the economic upliftment of rural communities as a farm-based, labour-intensive and commercially viable enterprise under the cottage and small-scale sector (Habeanu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2025). Nutrition is a key determinant of silkworm growth, development and productivity, as cocoon and silk yield largely depend on the nutritive quality of mulberry leaves (Etebari, 2002).Essential nutrients such as carbohydrates, proteins, amino acids and vitamins are required for optimal silkworm performance (Khedr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2013). Haemolymph performs multiple physiological functions in insects, including transport of nutrients and hormones, maintenance of osmotic balance and protection against pathogens (Nation, 2016). Carbohydrates serve as the primary energy source in insects and are mainly present as glycogen and trehalose, which are readily converted into glucose to meet energy demands (Shivakumar and Shamitha, 2011).The fungal spore </w:t>
      </w:r>
      <w:r>
        <w:rPr>
          <w:rFonts w:ascii="Times New Roman" w:hAnsi="Times New Roman"/>
          <w:i w:val="1"/>
          <w:iCs w:val="1"/>
          <w:outline w:val="0"/>
          <w:color w:val="000000"/>
          <w:kern w:val="0"/>
          <w:sz w:val="24"/>
          <w:szCs w:val="24"/>
          <w:u w:color="000000"/>
          <w:rtl w:val="0"/>
          <w:lang w:val="en-US"/>
          <w14:textFill>
            <w14:solidFill>
              <w14:srgbClr w14:val="000000"/>
            </w14:solidFill>
          </w14:textFill>
        </w:rPr>
        <w:t>Metarhizium anisopliae</w:t>
      </w:r>
      <w:r>
        <w:rPr>
          <w:rStyle w:val="Hyperlink.1"/>
          <w:rtl w:val="0"/>
          <w:lang w:val="en-US"/>
        </w:rPr>
        <w:t xml:space="preserve"> germinates and proliferates rapidly in the various tissues ultimately causing death of silkworm. Insect haemolymph, a complex mixture of proteins, lipids, carbohydrates, nucleic acids, hormones and their degradation product, is primarily responsible for supplying nutrients, transferring metabolic wastes to maintain normal growth and development. Haemolymph is the only extracellular fluid of insects with diverse functions and reservoir for the products required for every physiological activity of the insect body, thus changes in the composition of haemolymph reflect the physiological and biochemical transformations taking place in the insect tissues (Pawar, 1987). The progress of infection by a pathogen in the host tissue can be monitored by studying the degree of variation in metabolic constituents (Rajitha &amp; Savithri 2014). The present study was designed to find out the biochemical activity of haemolymph in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 mori </w:t>
      </w:r>
      <w:r>
        <w:rPr>
          <w:rStyle w:val="Hyperlink.1"/>
          <w:rtl w:val="0"/>
          <w:lang w:val="en-US"/>
        </w:rPr>
        <w:t xml:space="preserve">during the infection of fungal pathogen, </w:t>
      </w:r>
      <w:r>
        <w:rPr>
          <w:rFonts w:ascii="Times New Roman" w:hAnsi="Times New Roman"/>
          <w:i w:val="1"/>
          <w:iCs w:val="1"/>
          <w:outline w:val="0"/>
          <w:color w:val="000000"/>
          <w:kern w:val="0"/>
          <w:sz w:val="24"/>
          <w:szCs w:val="24"/>
          <w:u w:color="000000"/>
          <w:rtl w:val="0"/>
          <w:lang w:val="en-US"/>
          <w14:textFill>
            <w14:solidFill>
              <w14:srgbClr w14:val="000000"/>
            </w14:solidFill>
          </w14:textFill>
        </w:rPr>
        <w:t>Metarhizium anisopliae.</w:t>
      </w:r>
    </w:p>
    <w:p>
      <w:pPr>
        <w:pStyle w:val="Normal.0"/>
        <w:spacing w:after="0" w:line="360" w:lineRule="auto"/>
        <w:jc w:val="both"/>
        <w:rPr>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They combine with midgut epithelial cells and enter into the nuclei, starting the first cycle of viral production and replication. These processes cause many biochemical changes in larvae, which respond to these biological phenomena by changing many of its metabolisms to defend themselves against pathogen invasion (Etebari</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 xml:space="preserve">2007). The investigation of changes in body fluid and tissues is an appropriate system for studying effects of pathogenic disease. The understanding and identifying these biochemical changes will be very important for discussing many biological stresses. Therefore, it is suggested by Gao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(2006)</w:t>
      </w:r>
    </w:p>
    <w:p>
      <w:pPr>
        <w:pStyle w:val="Normal.0"/>
        <w:spacing w:after="0" w:line="360" w:lineRule="auto"/>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w:t>
        <w:tab/>
        <w:t>MATERIALS AND METHODS</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 xml:space="preserve">Rearing of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B.mori</w:t>
      </w:r>
    </w:p>
    <w:p>
      <w:pPr>
        <w:pStyle w:val="Normal.0"/>
        <w:spacing w:after="0" w:line="360" w:lineRule="auto"/>
        <w:jc w:val="both"/>
        <w:rPr>
          <w:rFonts w:ascii="Times New Roman" w:cs="Times New Roman" w:hAnsi="Times New Roman" w:eastAsia="Times New Roman"/>
          <w:kern w:val="0"/>
          <w:sz w:val="24"/>
          <w:szCs w:val="24"/>
        </w:rPr>
      </w:pPr>
      <w:r>
        <w:rPr>
          <w:rStyle w:val="Hyperlink.1"/>
          <w:rtl w:val="0"/>
          <w:lang w:val="en-US"/>
        </w:rPr>
        <w:t xml:space="preserve">The disease free layings of PM x CSR2 hybrid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B.mori</w:t>
      </w:r>
      <w:r>
        <w:rPr>
          <w:rStyle w:val="Hyperlink.1"/>
          <w:rtl w:val="0"/>
          <w:lang w:val="en-US"/>
        </w:rPr>
        <w:t>was procured from the Government GrainageCenter, Konam, Nagercoil. The silkworm larvae were reared as per rearing method of Krishnaswami [1978].</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2.2. </w:t>
        <w:tab/>
        <w:t>Fungus culture</w:t>
      </w:r>
    </w:p>
    <w:p>
      <w:pPr>
        <w:pStyle w:val="Normal.0"/>
        <w:spacing w:after="0" w:line="360" w:lineRule="auto"/>
        <w:ind w:firstLine="720"/>
        <w:jc w:val="both"/>
        <w:rPr>
          <w:rStyle w:val="Hyperlink.1"/>
        </w:rPr>
      </w:pPr>
      <w:r>
        <w:rPr>
          <w:rStyle w:val="Hyperlink.1"/>
          <w:rtl w:val="0"/>
          <w:lang w:val="en-US"/>
        </w:rPr>
        <w:t xml:space="preserve">The fungal culture of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Metarhizium anisopliae </w:t>
      </w:r>
      <w:r>
        <w:rPr>
          <w:rStyle w:val="Hyperlink.1"/>
          <w:rtl w:val="0"/>
          <w:lang w:val="en-US"/>
        </w:rPr>
        <w:t xml:space="preserve">was obtained from the Institute of Microbial Technology (IMTECH), India. The fungal culture was maintained as per the procedure of Govindan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[1995].</w:t>
      </w:r>
    </w:p>
    <w:p>
      <w:pPr>
        <w:pStyle w:val="Normal.0"/>
        <w:spacing w:after="0" w:line="360" w:lineRule="auto"/>
        <w:ind w:firstLine="720"/>
        <w:jc w:val="both"/>
        <w:rPr>
          <w:rFonts w:ascii="Times New Roman" w:cs="Times New Roman" w:hAnsi="Times New Roman" w:eastAsia="Times New Roman"/>
          <w:kern w:val="0"/>
          <w:sz w:val="24"/>
          <w:szCs w:val="24"/>
        </w:rPr>
      </w:pP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2.3. </w:t>
        <w:tab/>
        <w:t xml:space="preserve">Treatment of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 xml:space="preserve">Metarhizium anisopliae </w:t>
      </w: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to silkworm,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B. mori</w:t>
      </w:r>
    </w:p>
    <w:p>
      <w:pPr>
        <w:pStyle w:val="Normal.0"/>
        <w:spacing w:after="0" w:line="360" w:lineRule="auto"/>
        <w:ind w:firstLine="720"/>
        <w:jc w:val="both"/>
        <w:rPr>
          <w:rFonts w:ascii="Times New Roman" w:cs="Times New Roman" w:hAnsi="Times New Roman" w:eastAsia="Times New Roman"/>
          <w:kern w:val="0"/>
        </w:rPr>
      </w:pP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Metarhizium anisopliae </w:t>
      </w:r>
      <w:r>
        <w:rPr>
          <w:rStyle w:val="Hyperlink.1"/>
          <w:rtl w:val="0"/>
          <w:lang w:val="en-US"/>
        </w:rPr>
        <w:t>was given to freshly moulted, two hours starved fifth instar silkworm larvae. The treated mulberry leaves were shade dried before providing to larvae. One group was fed with pathogen treated mulberry leaves (inoculated control).The another group was fed with fresh mulberry leaves.</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2.4.</w:t>
      </w:r>
      <w:r>
        <w:rPr>
          <w:rStyle w:val="Hyperlink.1"/>
          <w:rtl w:val="0"/>
          <w:lang w:val="en-US"/>
        </w:rPr>
        <w:t xml:space="preserve"> </w:t>
        <w:tab/>
      </w:r>
      <w:r>
        <w:rPr>
          <w:rFonts w:ascii="Times New Roman" w:hAnsi="Times New Roman"/>
          <w:b w:val="1"/>
          <w:bCs w:val="1"/>
          <w:outline w:val="0"/>
          <w:color w:val="000000"/>
          <w:kern w:val="0"/>
          <w:sz w:val="24"/>
          <w:szCs w:val="24"/>
          <w:u w:color="000000"/>
          <w:rtl w:val="0"/>
          <w:lang w:val="en-US"/>
          <w14:textFill>
            <w14:solidFill>
              <w14:srgbClr w14:val="000000"/>
            </w14:solidFill>
          </w14:textFill>
        </w:rPr>
        <w:t>Parameters recorded</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2.4.1 </w:t>
        <w:tab/>
        <w:t>Total protein</w:t>
      </w:r>
      <w:r>
        <w:rPr>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Fonts w:ascii="Times New Roman" w:cs="Times New Roman" w:hAnsi="Times New Roman" w:eastAsia="Times New Roman"/>
          <w:kern w:val="0"/>
          <w:sz w:val="24"/>
          <w:szCs w:val="24"/>
        </w:rPr>
      </w:pPr>
      <w:r>
        <w:rPr>
          <w:rStyle w:val="Hyperlink.1"/>
          <w:rtl w:val="0"/>
          <w:lang w:val="en-US"/>
        </w:rPr>
        <w:t xml:space="preserve">The quantitative estimation of protein in haemolymph was carried out by Lowry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(1951) using crystalline bovine serum albumin (BSA) as standard. The concentration of total protein was expressed in terms of mg of protein per ml of haemolymph.</w:t>
      </w:r>
      <w:r>
        <w:rPr>
          <w:rStyle w:val="Hyperlink.1"/>
          <w:rtl w:val="0"/>
          <w:lang w:val="en-US"/>
        </w:rPr>
        <w:t> </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2.4.2 Carbohydrate</w:t>
      </w:r>
      <w:r>
        <w:rPr>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Fonts w:ascii="Times New Roman" w:cs="Times New Roman" w:hAnsi="Times New Roman" w:eastAsia="Times New Roman"/>
          <w:kern w:val="0"/>
          <w:sz w:val="24"/>
          <w:szCs w:val="24"/>
        </w:rPr>
      </w:pPr>
      <w:r>
        <w:rPr>
          <w:rStyle w:val="Hyperlink.1"/>
          <w:rtl w:val="0"/>
          <w:lang w:val="en-US"/>
        </w:rPr>
        <w:t>The total carbohydrate present in haemolymph of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Bombyx mori </w:t>
      </w:r>
      <w:r>
        <w:rPr>
          <w:rStyle w:val="Hyperlink.1"/>
          <w:rtl w:val="0"/>
          <w:lang w:val="en-US"/>
        </w:rPr>
        <w:t xml:space="preserve">L.) was estimated by Anthrone method (Dubois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1956) using glucose as standard.</w:t>
      </w:r>
      <w:r>
        <w:rPr>
          <w:rStyle w:val="Hyperlink.1"/>
          <w:rtl w:val="0"/>
          <w:lang w:val="en-US"/>
        </w:rPr>
        <w:t> </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2.4.3 Lipids</w:t>
      </w:r>
    </w:p>
    <w:p>
      <w:pPr>
        <w:pStyle w:val="Normal.0"/>
        <w:spacing w:after="0" w:line="360" w:lineRule="auto"/>
        <w:ind w:firstLine="720"/>
        <w:jc w:val="both"/>
        <w:rPr>
          <w:rFonts w:ascii="Times New Roman" w:cs="Times New Roman" w:hAnsi="Times New Roman" w:eastAsia="Times New Roman"/>
          <w:kern w:val="0"/>
          <w:sz w:val="24"/>
          <w:szCs w:val="24"/>
        </w:rPr>
      </w:pPr>
      <w:r>
        <w:rPr>
          <w:rStyle w:val="Hyperlink.1"/>
          <w:rtl w:val="0"/>
          <w:lang w:val="en-US"/>
        </w:rPr>
        <w:t>Estimation of total lipid from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Bombyx mori </w:t>
      </w:r>
      <w:r>
        <w:rPr>
          <w:rStyle w:val="Hyperlink.1"/>
          <w:rtl w:val="0"/>
          <w:lang w:val="en-US"/>
        </w:rPr>
        <w:t>L.) haemolymph was carried out by following the protocol of Barnes and Blackstock (1973)</w:t>
      </w:r>
      <w:r>
        <w:rPr>
          <w:rStyle w:val="Hyperlink.1"/>
          <w:rtl w:val="0"/>
          <w:lang w:val="en-US"/>
        </w:rPr>
        <w:t>  </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2.4.4 Glycogen</w:t>
      </w:r>
      <w:r>
        <w:rPr>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jc w:val="both"/>
        <w:rPr>
          <w:rFonts w:ascii="Times New Roman" w:cs="Times New Roman" w:hAnsi="Times New Roman" w:eastAsia="Times New Roman"/>
          <w:kern w:val="0"/>
          <w:sz w:val="24"/>
          <w:szCs w:val="24"/>
        </w:rPr>
      </w:pPr>
      <w:r>
        <w:rPr>
          <w:rStyle w:val="Hyperlink.1"/>
          <w:rtl w:val="0"/>
          <w:lang w:val="en-US"/>
        </w:rPr>
        <w:t>The glycogen in haemolymph of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Bombyx mori </w:t>
      </w:r>
      <w:r>
        <w:rPr>
          <w:rStyle w:val="Hyperlink.1"/>
          <w:rtl w:val="0"/>
          <w:lang w:val="en-US"/>
        </w:rPr>
        <w:t xml:space="preserve">L.) was estimated by the method of (Caroll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1956).</w:t>
      </w:r>
    </w:p>
    <w:p>
      <w:pPr>
        <w:pStyle w:val="Normal.0"/>
        <w:spacing w:after="0" w:line="360" w:lineRule="auto"/>
        <w:rPr>
          <w:rFonts w:ascii="Times New Roman" w:cs="Times New Roman" w:hAnsi="Times New Roman" w:eastAsia="Times New Roman"/>
          <w:kern w:val="0"/>
          <w:sz w:val="24"/>
          <w:szCs w:val="24"/>
        </w:rPr>
      </w:pPr>
      <w:r>
        <w:rPr>
          <w:rFonts w:ascii="Times New Roman" w:hAnsi="Times New Roman"/>
          <w:kern w:val="0"/>
          <w:sz w:val="24"/>
          <w:szCs w:val="24"/>
          <w:rtl w:val="0"/>
          <w:lang w:val="en-US"/>
        </w:rPr>
        <w:t>3.</w:t>
        <w:tab/>
      </w:r>
      <w:r>
        <w:rPr>
          <w:rFonts w:ascii="Times New Roman" w:hAnsi="Times New Roman"/>
          <w:b w:val="1"/>
          <w:bCs w:val="1"/>
          <w:outline w:val="0"/>
          <w:color w:val="000000"/>
          <w:kern w:val="0"/>
          <w:sz w:val="24"/>
          <w:szCs w:val="24"/>
          <w:u w:color="000000"/>
          <w:rtl w:val="0"/>
          <w:lang w:val="en-US"/>
          <w14:textFill>
            <w14:solidFill>
              <w14:srgbClr w14:val="000000"/>
            </w14:solidFill>
          </w14:textFill>
        </w:rPr>
        <w:t>RESULT AND DISCUSSION</w:t>
      </w:r>
    </w:p>
    <w:p>
      <w:pPr>
        <w:pStyle w:val="Normal.0"/>
        <w:spacing w:after="0" w:line="360" w:lineRule="auto"/>
        <w:jc w:val="both"/>
        <w:rPr>
          <w:rFonts w:ascii="Times New Roman" w:cs="Times New Roman" w:hAnsi="Times New Roman" w:eastAsia="Times New Roman"/>
          <w:outline w:val="0"/>
          <w:color w:val="000000"/>
          <w:kern w:val="0"/>
          <w:u w:color="000000"/>
          <w14:textFill>
            <w14:solidFill>
              <w14:srgbClr w14:val="000000"/>
            </w14:solidFill>
          </w14:textFill>
        </w:rPr>
      </w:pPr>
      <w:r>
        <w:rPr>
          <w:rStyle w:val="Hyperlink.1"/>
          <w:rtl w:val="0"/>
          <w:lang w:val="en-US"/>
        </w:rPr>
        <w:t xml:space="preserve">The results on the investigation of biochemical changes in protein, lipid, carbohydrate and glycogen (mg/ml) content in haemolymph of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Metarhizium anisopliae </w:t>
      </w:r>
      <w:r>
        <w:rPr>
          <w:rStyle w:val="Hyperlink.1"/>
          <w:rtl w:val="0"/>
          <w:lang w:val="en-US"/>
        </w:rPr>
        <w:t xml:space="preserve">infected silkworm larvae are presented in Table 1. Results showed that the larvae fed with </w:t>
      </w:r>
      <w:r>
        <w:rPr>
          <w:rFonts w:ascii="Times New Roman" w:hAnsi="Times New Roman"/>
          <w:i w:val="1"/>
          <w:iCs w:val="1"/>
          <w:outline w:val="0"/>
          <w:color w:val="000000"/>
          <w:kern w:val="0"/>
          <w:sz w:val="24"/>
          <w:szCs w:val="24"/>
          <w:u w:color="000000"/>
          <w:rtl w:val="0"/>
          <w:lang w:val="en-US"/>
          <w14:textFill>
            <w14:solidFill>
              <w14:srgbClr w14:val="000000"/>
            </w14:solidFill>
          </w14:textFill>
        </w:rPr>
        <w:t>Metarhizium anisopliae</w:t>
      </w:r>
      <w:r>
        <w:rPr>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Hyperlink.1"/>
          <w:rtl w:val="0"/>
          <w:lang w:val="en-US"/>
        </w:rPr>
        <w:t>treated leaves at 1st to 5</w:t>
      </w: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th</w:t>
      </w:r>
      <w:r>
        <w:rPr>
          <w:rStyle w:val="Hyperlink.1"/>
          <w:rtl w:val="0"/>
          <w:lang w:val="en-US"/>
        </w:rPr>
        <w:t xml:space="preserve">  </w:t>
      </w:r>
      <w:r>
        <w:rPr>
          <w:rStyle w:val="Hyperlink.1"/>
          <w:rtl w:val="0"/>
          <w:lang w:val="en-US"/>
        </w:rPr>
        <w:t>day of the fifth instar recorded decrease in protein (87.65</w:t>
      </w:r>
      <w:r>
        <w:rPr>
          <w:rStyle w:val="Hyperlink.1"/>
          <w:rtl w:val="0"/>
          <w:lang w:val="en-US"/>
        </w:rPr>
        <w:t>±</w:t>
      </w:r>
      <w:r>
        <w:rPr>
          <w:rStyle w:val="Hyperlink.1"/>
          <w:rtl w:val="0"/>
          <w:lang w:val="en-US"/>
        </w:rPr>
        <w:t>4.89,</w:t>
      </w:r>
      <w:r>
        <w:rPr>
          <w:rStyle w:val="Hyperlink.1"/>
          <w:rtl w:val="0"/>
          <w:lang w:val="en-US"/>
        </w:rPr>
        <w:t xml:space="preserve">  </w:t>
      </w:r>
      <w:r>
        <w:rPr>
          <w:rStyle w:val="Hyperlink.1"/>
          <w:rtl w:val="0"/>
          <w:lang w:val="en-US"/>
        </w:rPr>
        <w:t>99.54</w:t>
      </w:r>
      <w:r>
        <w:rPr>
          <w:rStyle w:val="Hyperlink.1"/>
          <w:rtl w:val="0"/>
          <w:lang w:val="en-US"/>
        </w:rPr>
        <w:t>±</w:t>
      </w:r>
      <w:r>
        <w:rPr>
          <w:rStyle w:val="Hyperlink.1"/>
          <w:rtl w:val="0"/>
          <w:lang w:val="en-US"/>
        </w:rPr>
        <w:t>4.23, 106.67</w:t>
      </w:r>
      <w:r>
        <w:rPr>
          <w:rStyle w:val="Hyperlink.1"/>
          <w:rtl w:val="0"/>
          <w:lang w:val="en-US"/>
        </w:rPr>
        <w:t>±</w:t>
      </w:r>
      <w:r>
        <w:rPr>
          <w:rStyle w:val="Hyperlink.1"/>
          <w:rtl w:val="0"/>
          <w:lang w:val="en-US"/>
        </w:rPr>
        <w:t>5.12, 120.54</w:t>
      </w:r>
      <w:r>
        <w:rPr>
          <w:rStyle w:val="Hyperlink.1"/>
          <w:rtl w:val="0"/>
          <w:lang w:val="en-US"/>
        </w:rPr>
        <w:t>±</w:t>
      </w:r>
      <w:r>
        <w:rPr>
          <w:rStyle w:val="Hyperlink.1"/>
          <w:rtl w:val="0"/>
          <w:lang w:val="en-US"/>
        </w:rPr>
        <w:t>3.26, 130.12</w:t>
      </w:r>
      <w:r>
        <w:rPr>
          <w:rStyle w:val="Hyperlink.1"/>
          <w:rtl w:val="0"/>
          <w:lang w:val="en-US"/>
        </w:rPr>
        <w:t>±</w:t>
      </w:r>
      <w:r>
        <w:rPr>
          <w:rStyle w:val="Hyperlink.1"/>
          <w:rtl w:val="0"/>
          <w:lang w:val="en-US"/>
        </w:rPr>
        <w:t>3.56mg/ ml), lipid (25.12</w:t>
      </w:r>
      <w:r>
        <w:rPr>
          <w:rStyle w:val="Hyperlink.1"/>
          <w:rtl w:val="0"/>
          <w:lang w:val="en-US"/>
        </w:rPr>
        <w:t>±</w:t>
      </w:r>
      <w:r>
        <w:rPr>
          <w:rStyle w:val="Hyperlink.1"/>
          <w:rtl w:val="0"/>
          <w:lang w:val="en-US"/>
        </w:rPr>
        <w:t>1.30, 29.65</w:t>
      </w:r>
      <w:r>
        <w:rPr>
          <w:rStyle w:val="Hyperlink.1"/>
          <w:rtl w:val="0"/>
          <w:lang w:val="en-US"/>
        </w:rPr>
        <w:t>±</w:t>
      </w:r>
      <w:r>
        <w:rPr>
          <w:rStyle w:val="Hyperlink.1"/>
          <w:rtl w:val="0"/>
          <w:lang w:val="en-US"/>
        </w:rPr>
        <w:t>2.54, 26.57</w:t>
      </w:r>
      <w:r>
        <w:rPr>
          <w:rStyle w:val="Hyperlink.1"/>
          <w:rtl w:val="0"/>
          <w:lang w:val="en-US"/>
        </w:rPr>
        <w:t>±</w:t>
      </w:r>
      <w:r>
        <w:rPr>
          <w:rStyle w:val="Hyperlink.1"/>
          <w:rtl w:val="0"/>
          <w:lang w:val="en-US"/>
        </w:rPr>
        <w:t>1.50, 29.56</w:t>
      </w:r>
      <w:r>
        <w:rPr>
          <w:rStyle w:val="Hyperlink.1"/>
          <w:rtl w:val="0"/>
          <w:lang w:val="en-US"/>
        </w:rPr>
        <w:t>±</w:t>
      </w:r>
      <w:r>
        <w:rPr>
          <w:rStyle w:val="Hyperlink.1"/>
          <w:rtl w:val="0"/>
          <w:lang w:val="en-US"/>
        </w:rPr>
        <w:t>2.10, 31.56</w:t>
      </w:r>
      <w:r>
        <w:rPr>
          <w:rStyle w:val="Hyperlink.1"/>
          <w:rtl w:val="0"/>
          <w:lang w:val="en-US"/>
        </w:rPr>
        <w:t>±</w:t>
      </w:r>
      <w:r>
        <w:rPr>
          <w:rStyle w:val="Hyperlink.1"/>
          <w:rtl w:val="0"/>
          <w:lang w:val="en-US"/>
        </w:rPr>
        <w:t>2.37mg / ml) and carbohydrate (3.23</w:t>
      </w:r>
      <w:r>
        <w:rPr>
          <w:rStyle w:val="Hyperlink.1"/>
          <w:rtl w:val="0"/>
          <w:lang w:val="en-US"/>
        </w:rPr>
        <w:t>±</w:t>
      </w:r>
      <w:r>
        <w:rPr>
          <w:rStyle w:val="Hyperlink.1"/>
          <w:rtl w:val="0"/>
          <w:lang w:val="en-US"/>
        </w:rPr>
        <w:t>0.21 to 4.32</w:t>
      </w:r>
      <w:r>
        <w:rPr>
          <w:rStyle w:val="Hyperlink.1"/>
          <w:rtl w:val="0"/>
          <w:lang w:val="en-US"/>
        </w:rPr>
        <w:t>±</w:t>
      </w:r>
      <w:r>
        <w:rPr>
          <w:rStyle w:val="Hyperlink.1"/>
          <w:rtl w:val="0"/>
          <w:lang w:val="en-US"/>
        </w:rPr>
        <w:t>0.85mg/ ml) content compared to control group (25.12</w:t>
      </w:r>
      <w:r>
        <w:rPr>
          <w:rStyle w:val="Hyperlink.1"/>
          <w:rtl w:val="0"/>
          <w:lang w:val="en-US"/>
        </w:rPr>
        <w:t>±</w:t>
      </w:r>
      <w:r>
        <w:rPr>
          <w:rStyle w:val="Hyperlink.1"/>
          <w:rtl w:val="0"/>
          <w:lang w:val="en-US"/>
        </w:rPr>
        <w:t>1.30 to 31.56</w:t>
      </w:r>
      <w:r>
        <w:rPr>
          <w:rStyle w:val="Hyperlink.1"/>
          <w:rtl w:val="0"/>
          <w:lang w:val="en-US"/>
        </w:rPr>
        <w:t>±</w:t>
      </w:r>
      <w:r>
        <w:rPr>
          <w:rStyle w:val="Hyperlink.1"/>
          <w:rtl w:val="0"/>
          <w:lang w:val="en-US"/>
        </w:rPr>
        <w:t>2.37mg/ ml) carbohydrate (3.23</w:t>
      </w:r>
      <w:r>
        <w:rPr>
          <w:rStyle w:val="Hyperlink.1"/>
          <w:rtl w:val="0"/>
          <w:lang w:val="en-US"/>
        </w:rPr>
        <w:t>±</w:t>
      </w:r>
      <w:r>
        <w:rPr>
          <w:rStyle w:val="Hyperlink.1"/>
          <w:rtl w:val="0"/>
          <w:lang w:val="en-US"/>
        </w:rPr>
        <w:t>0.21 to 4.32</w:t>
      </w:r>
      <w:r>
        <w:rPr>
          <w:rStyle w:val="Hyperlink.1"/>
          <w:rtl w:val="0"/>
          <w:lang w:val="en-US"/>
        </w:rPr>
        <w:t>±</w:t>
      </w:r>
      <w:r>
        <w:rPr>
          <w:rStyle w:val="Hyperlink.1"/>
          <w:rtl w:val="0"/>
          <w:lang w:val="en-US"/>
        </w:rPr>
        <w:t xml:space="preserve">0.85mg /ml, respectively). Increased trend of glycogen was noticed in both inoculated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Metarhizium anisopliae </w:t>
      </w:r>
      <w:r>
        <w:rPr>
          <w:rStyle w:val="Hyperlink.1"/>
          <w:rtl w:val="0"/>
          <w:lang w:val="en-US"/>
        </w:rPr>
        <w:t>(2.23</w:t>
      </w:r>
      <w:r>
        <w:rPr>
          <w:rStyle w:val="Hyperlink.1"/>
          <w:rtl w:val="0"/>
          <w:lang w:val="en-US"/>
        </w:rPr>
        <w:t>±</w:t>
      </w:r>
      <w:r>
        <w:rPr>
          <w:rStyle w:val="Hyperlink.1"/>
          <w:rtl w:val="0"/>
          <w:lang w:val="en-US"/>
        </w:rPr>
        <w:t>0.32 to 4.98</w:t>
      </w:r>
      <w:r>
        <w:rPr>
          <w:rStyle w:val="Hyperlink.1"/>
          <w:rtl w:val="0"/>
          <w:lang w:val="en-US"/>
        </w:rPr>
        <w:t>±</w:t>
      </w:r>
      <w:r>
        <w:rPr>
          <w:rStyle w:val="Hyperlink.1"/>
          <w:rtl w:val="0"/>
          <w:lang w:val="en-US"/>
        </w:rPr>
        <w:t>0.22 mg/ml) and control (3.56</w:t>
      </w:r>
      <w:r>
        <w:rPr>
          <w:rStyle w:val="Hyperlink.1"/>
          <w:rtl w:val="0"/>
          <w:lang w:val="en-US"/>
        </w:rPr>
        <w:t>±</w:t>
      </w:r>
      <w:r>
        <w:rPr>
          <w:rStyle w:val="Hyperlink.1"/>
          <w:rtl w:val="0"/>
          <w:lang w:val="en-US"/>
        </w:rPr>
        <w:t>0.21 to 6.98</w:t>
      </w:r>
      <w:r>
        <w:rPr>
          <w:rStyle w:val="Hyperlink.1"/>
          <w:rtl w:val="0"/>
          <w:lang w:val="en-US"/>
        </w:rPr>
        <w:t>±</w:t>
      </w:r>
      <w:r>
        <w:rPr>
          <w:rStyle w:val="Hyperlink.1"/>
          <w:rtl w:val="0"/>
          <w:lang w:val="en-US"/>
        </w:rPr>
        <w:t>1.20mg/ml) groups.</w:t>
      </w:r>
    </w:p>
    <w:p>
      <w:pPr>
        <w:pStyle w:val="Normal.0"/>
        <w:spacing w:after="0" w:line="360" w:lineRule="auto"/>
        <w:jc w:val="both"/>
        <w:rPr>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1: Biochemical changes in proteins, lipids, carbohydrates and glycogen (mg/ml) contents in the haemolymph of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Metarhizium anisopliae</w:t>
      </w:r>
      <w:r>
        <w:rPr>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kern w:val="0"/>
          <w:sz w:val="24"/>
          <w:szCs w:val="24"/>
          <w:u w:color="000000"/>
          <w:rtl w:val="0"/>
          <w:lang w:val="en-US"/>
          <w14:textFill>
            <w14:solidFill>
              <w14:srgbClr w14:val="000000"/>
            </w14:solidFill>
          </w14:textFill>
        </w:rPr>
        <w:t>infected silkworm larvae.</w:t>
      </w:r>
    </w:p>
    <w:tbl>
      <w:tblPr>
        <w:tblW w:w="9108"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38"/>
        <w:gridCol w:w="1530"/>
        <w:gridCol w:w="1440"/>
        <w:gridCol w:w="1530"/>
        <w:gridCol w:w="1530"/>
        <w:gridCol w:w="1440"/>
      </w:tblGrid>
      <w:tr>
        <w:tblPrEx>
          <w:shd w:val="clear" w:color="auto" w:fill="ced7e7"/>
        </w:tblPrEx>
        <w:trPr>
          <w:trHeight w:val="251"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Treatment</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I day</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II day</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III day</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IV day</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V day</w:t>
            </w:r>
          </w:p>
        </w:tc>
      </w:tr>
      <w:tr>
        <w:tblPrEx>
          <w:shd w:val="clear" w:color="auto" w:fill="ced7e7"/>
        </w:tblPrEx>
        <w:trPr>
          <w:trHeight w:val="257"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Control</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95.24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4.30</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97.56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4.76</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112.78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5.32</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134.45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4.98</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145.78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3.21</w:t>
            </w:r>
          </w:p>
        </w:tc>
      </w:tr>
      <w:tr>
        <w:tblPrEx>
          <w:shd w:val="clear" w:color="auto" w:fill="ced7e7"/>
        </w:tblPrEx>
        <w:trPr>
          <w:trHeight w:val="491"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Protein (Inoculated)</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87.65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4.89</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99.54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4.23</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106.67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5.12</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120.54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3.26</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130.12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3.56</w:t>
            </w:r>
          </w:p>
        </w:tc>
      </w:tr>
      <w:tr>
        <w:tblPrEx>
          <w:shd w:val="clear" w:color="auto" w:fill="ced7e7"/>
        </w:tblPrEx>
        <w:trPr>
          <w:trHeight w:val="324"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Control</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3.67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0.43</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4.32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0.65</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4.87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0.78</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5.42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0.95</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5.89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0.54</w:t>
            </w:r>
          </w:p>
        </w:tc>
      </w:tr>
      <w:tr>
        <w:tblPrEx>
          <w:shd w:val="clear" w:color="auto" w:fill="ced7e7"/>
        </w:tblPrEx>
        <w:trPr>
          <w:trHeight w:val="611"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rPr>
                <w:rFonts w:ascii="Times New Roman" w:cs="Times New Roman" w:hAnsi="Times New Roman" w:eastAsia="Times New Roman"/>
                <w:kern w:val="0"/>
                <w:shd w:val="nil" w:color="auto" w:fill="auto"/>
              </w:rPr>
            </w:pPr>
            <w:r>
              <w:rPr>
                <w:rFonts w:ascii="Times New Roman" w:hAnsi="Times New Roman"/>
                <w:kern w:val="0"/>
                <w:shd w:val="nil" w:color="auto" w:fill="auto"/>
                <w:rtl w:val="0"/>
                <w:lang w:val="en-US"/>
              </w:rPr>
              <w:t>Carbohydrate</w:t>
            </w:r>
          </w:p>
          <w:p>
            <w:pPr>
              <w:pStyle w:val="Normal.0"/>
              <w:bidi w:val="0"/>
              <w:spacing w:before="120" w:after="120" w:line="240" w:lineRule="auto"/>
              <w:ind w:left="0" w:right="0" w:firstLine="0"/>
              <w:jc w:val="center"/>
              <w:rPr>
                <w:rtl w:val="0"/>
              </w:rPr>
            </w:pPr>
            <w:r>
              <w:rPr>
                <w:rFonts w:ascii="Times New Roman" w:hAnsi="Times New Roman"/>
                <w:kern w:val="0"/>
                <w:shd w:val="nil" w:color="auto" w:fill="auto"/>
                <w:rtl w:val="0"/>
                <w:lang w:val="en-US"/>
              </w:rPr>
              <w:t>(Inoculated)</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3.23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0.21</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3.76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0.65</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4.54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0.76</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4.23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0.076</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4.32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0.85</w:t>
            </w:r>
          </w:p>
        </w:tc>
      </w:tr>
      <w:tr>
        <w:tblPrEx>
          <w:shd w:val="clear" w:color="auto" w:fill="ced7e7"/>
        </w:tblPrEx>
        <w:trPr>
          <w:trHeight w:val="277"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Control</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30.24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1.54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32.56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2.43</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36.22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1.65</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39.65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2.66</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42.67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1.65</w:t>
            </w:r>
          </w:p>
        </w:tc>
      </w:tr>
      <w:tr>
        <w:tblPrEx>
          <w:shd w:val="clear" w:color="auto" w:fill="ced7e7"/>
        </w:tblPrEx>
        <w:trPr>
          <w:trHeight w:val="611"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rPr>
                <w:rFonts w:ascii="Times New Roman" w:cs="Times New Roman" w:hAnsi="Times New Roman" w:eastAsia="Times New Roman"/>
                <w:kern w:val="0"/>
                <w:shd w:val="nil" w:color="auto" w:fill="auto"/>
              </w:rPr>
            </w:pPr>
            <w:r>
              <w:rPr>
                <w:rFonts w:ascii="Times New Roman" w:hAnsi="Times New Roman"/>
                <w:kern w:val="0"/>
                <w:shd w:val="nil" w:color="auto" w:fill="auto"/>
                <w:rtl w:val="0"/>
                <w:lang w:val="en-US"/>
              </w:rPr>
              <w:t>Lipids</w:t>
            </w:r>
          </w:p>
          <w:p>
            <w:pPr>
              <w:pStyle w:val="Normal.0"/>
              <w:bidi w:val="0"/>
              <w:spacing w:before="120" w:after="120" w:line="240" w:lineRule="auto"/>
              <w:ind w:left="0" w:right="0" w:firstLine="0"/>
              <w:jc w:val="center"/>
              <w:rPr>
                <w:rtl w:val="0"/>
              </w:rPr>
            </w:pPr>
            <w:r>
              <w:rPr>
                <w:rFonts w:ascii="Times New Roman" w:hAnsi="Times New Roman"/>
                <w:kern w:val="0"/>
                <w:shd w:val="nil" w:color="auto" w:fill="auto"/>
                <w:rtl w:val="0"/>
                <w:lang w:val="en-US"/>
              </w:rPr>
              <w:t>(Inoculated)</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25.12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1.30</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29.65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2.54</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26.57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1.50</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29.56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2.10</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31.56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2.37</w:t>
            </w:r>
          </w:p>
        </w:tc>
      </w:tr>
      <w:tr>
        <w:tblPrEx>
          <w:shd w:val="clear" w:color="auto" w:fill="ced7e7"/>
        </w:tblPrEx>
        <w:trPr>
          <w:trHeight w:val="340"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Control</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3.56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0.21</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4.78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0.54</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4.98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0.10</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5.76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1.64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6.98 </w:t>
            </w:r>
            <w:r>
              <w:rPr>
                <w:rFonts w:ascii="Times New Roman" w:hAnsi="Times New Roman" w:hint="default"/>
                <w:kern w:val="0"/>
                <w:shd w:val="nil" w:color="auto" w:fill="auto"/>
                <w:rtl w:val="0"/>
                <w:lang w:val="en-US"/>
              </w:rPr>
              <w:t>±</w:t>
            </w:r>
            <w:r>
              <w:rPr>
                <w:rFonts w:ascii="Times New Roman" w:hAnsi="Times New Roman"/>
                <w:kern w:val="0"/>
                <w:shd w:val="nil" w:color="auto" w:fill="auto"/>
                <w:rtl w:val="0"/>
                <w:lang w:val="en-US"/>
              </w:rPr>
              <w:t>1.20</w:t>
            </w:r>
          </w:p>
        </w:tc>
      </w:tr>
      <w:tr>
        <w:tblPrEx>
          <w:shd w:val="clear" w:color="auto" w:fill="ced7e7"/>
        </w:tblPrEx>
        <w:trPr>
          <w:trHeight w:val="611"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rPr>
                <w:rFonts w:ascii="Times New Roman" w:cs="Times New Roman" w:hAnsi="Times New Roman" w:eastAsia="Times New Roman"/>
                <w:kern w:val="0"/>
                <w:shd w:val="nil" w:color="auto" w:fill="auto"/>
              </w:rPr>
            </w:pPr>
            <w:r>
              <w:rPr>
                <w:rFonts w:ascii="Times New Roman" w:hAnsi="Times New Roman"/>
                <w:kern w:val="0"/>
                <w:shd w:val="nil" w:color="auto" w:fill="auto"/>
                <w:rtl w:val="0"/>
                <w:lang w:val="en-US"/>
              </w:rPr>
              <w:t>Glycogen</w:t>
            </w:r>
          </w:p>
          <w:p>
            <w:pPr>
              <w:pStyle w:val="Normal.0"/>
              <w:bidi w:val="0"/>
              <w:spacing w:before="120" w:after="120" w:line="240" w:lineRule="auto"/>
              <w:ind w:left="0" w:right="0" w:firstLine="0"/>
              <w:jc w:val="center"/>
              <w:rPr>
                <w:rtl w:val="0"/>
              </w:rPr>
            </w:pPr>
            <w:r>
              <w:rPr>
                <w:rFonts w:ascii="Times New Roman" w:hAnsi="Times New Roman"/>
                <w:kern w:val="0"/>
                <w:shd w:val="nil" w:color="auto" w:fill="auto"/>
                <w:rtl w:val="0"/>
                <w:lang w:val="en-US"/>
              </w:rPr>
              <w:t>(Inoculated)</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2.23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0.32</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3.56</w:t>
            </w:r>
            <w:r>
              <w:rPr>
                <w:rFonts w:ascii="Times New Roman" w:hAnsi="Times New Roman" w:hint="default"/>
                <w:kern w:val="0"/>
                <w:shd w:val="nil" w:color="auto" w:fill="auto"/>
                <w:rtl w:val="0"/>
                <w:lang w:val="en-US"/>
              </w:rPr>
              <w:t>±</w:t>
            </w:r>
            <w:r>
              <w:rPr>
                <w:rFonts w:ascii="Times New Roman" w:hAnsi="Times New Roman"/>
                <w:kern w:val="0"/>
                <w:shd w:val="nil" w:color="auto" w:fill="auto"/>
                <w:rtl w:val="0"/>
                <w:lang w:val="en-US"/>
              </w:rPr>
              <w:t>0.53</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3.67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0.75</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4.32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0.43</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4.98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0.22</w:t>
            </w:r>
          </w:p>
        </w:tc>
      </w:tr>
    </w:tbl>
    <w:p>
      <w:pPr>
        <w:pStyle w:val="Normal.0"/>
        <w:widowControl w:val="0"/>
        <w:spacing w:after="0" w:line="240" w:lineRule="auto"/>
        <w:ind w:left="108" w:hanging="108"/>
        <w:jc w:val="center"/>
        <w:rPr>
          <w:rFonts w:ascii="Times New Roman" w:cs="Times New Roman" w:hAnsi="Times New Roman" w:eastAsia="Times New Roman"/>
          <w:b w:val="1"/>
          <w:bCs w:val="1"/>
          <w:kern w:val="0"/>
          <w:sz w:val="24"/>
          <w:szCs w:val="24"/>
        </w:rPr>
      </w:pPr>
    </w:p>
    <w:p>
      <w:pPr>
        <w:pStyle w:val="Normal.0"/>
        <w:widowControl w:val="0"/>
        <w:spacing w:after="0" w:line="240" w:lineRule="auto"/>
        <w:jc w:val="center"/>
        <w:rPr>
          <w:rFonts w:ascii="Times New Roman" w:cs="Times New Roman" w:hAnsi="Times New Roman" w:eastAsia="Times New Roman"/>
          <w:b w:val="1"/>
          <w:bCs w:val="1"/>
          <w:kern w:val="0"/>
          <w:sz w:val="24"/>
          <w:szCs w:val="24"/>
        </w:rPr>
      </w:pPr>
    </w:p>
    <w:p>
      <w:pPr>
        <w:pStyle w:val="Normal.0"/>
        <w:spacing w:after="0" w:line="360" w:lineRule="auto"/>
        <w:jc w:val="both"/>
        <w:rPr>
          <w:rFonts w:ascii="Times New Roman" w:cs="Times New Roman" w:hAnsi="Times New Roman" w:eastAsia="Times New Roman"/>
          <w:kern w:val="0"/>
          <w:sz w:val="24"/>
          <w:szCs w:val="24"/>
        </w:rPr>
      </w:pPr>
      <w:r>
        <w:rPr>
          <w:rStyle w:val="Hyperlink.1"/>
          <w:rtl w:val="0"/>
          <w:lang w:val="en-US"/>
        </w:rPr>
        <w:t>             </w:t>
      </w:r>
    </w:p>
    <w:p>
      <w:pPr>
        <w:pStyle w:val="Normal.0"/>
        <w:spacing w:after="0" w:line="360" w:lineRule="auto"/>
        <w:jc w:val="both"/>
        <w:rPr>
          <w:rFonts w:ascii="Times New Roman" w:cs="Times New Roman" w:hAnsi="Times New Roman" w:eastAsia="Times New Roman"/>
          <w:kern w:val="0"/>
          <w:sz w:val="24"/>
          <w:szCs w:val="24"/>
        </w:rPr>
      </w:pPr>
      <w:r>
        <w:rPr>
          <w:rStyle w:val="Hyperlink.1"/>
          <w:rtl w:val="0"/>
          <w:lang w:val="en-US"/>
        </w:rPr>
        <w:t>          </w:t>
      </w:r>
      <w:r>
        <w:rPr>
          <w:rStyle w:val="Hyperlink.1"/>
          <w:rtl w:val="0"/>
          <w:lang w:val="en-US"/>
        </w:rPr>
        <w:t xml:space="preserve">The data from the table clearly indicate that the inoculation of fungal pathogen resulted gradual reduction of protein, lipid and carbohydrate contents in the haemolymph of fifth instar silkworm larvae. The biochemical parameters such as, proteins, carbohydrates, lipids, nucleic acids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etc.</w:t>
      </w:r>
      <w:r>
        <w:rPr>
          <w:rStyle w:val="Hyperlink.1"/>
          <w:rtl w:val="0"/>
          <w:lang w:val="en-US"/>
        </w:rPr>
        <w:t xml:space="preserve">, vary significantly during the life cycle of all living organisms. They reported decreased protein trend in diseased larvae and suggested that it may be due to drastic degradation of structural proteins. But interestingly there was no increase in amino acid content it means that the proteins degraded might be utilized by pathogen for rapid development. In search of causes of reduction in proteins in infected host Goninan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1998</w:t>
      </w:r>
      <w:r>
        <w:rPr>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Hyperlink.1"/>
          <w:rtl w:val="0"/>
          <w:lang w:val="en-US"/>
        </w:rPr>
        <w:t xml:space="preserve"> explained the quantitative variation in these biomolecules in the body of insects depends upon the nutritional status of the food and their utilization during growth and metamorphosis. Kodaira (1961). This biochemical constituent forms a predominant carbon source of chitin, a participant in energy metabolism and the substrate for protein and lipid synthesis in insects.A breakdown of this according to Manohar Reddy (2004).</w:t>
      </w:r>
      <w:r>
        <w:rPr>
          <w:rStyle w:val="Hyperlink.1"/>
          <w:rtl w:val="0"/>
          <w:lang w:val="en-US"/>
        </w:rPr>
        <w:t xml:space="preserve">  </w:t>
      </w:r>
      <w:r>
        <w:rPr>
          <w:rStyle w:val="Hyperlink.1"/>
          <w:rtl w:val="0"/>
          <w:lang w:val="en-US"/>
        </w:rPr>
        <w:t>The mulberry leaves are rich in carbohydrates, which are stored as</w:t>
      </w:r>
      <w:r>
        <w:rPr>
          <w:rStyle w:val="Hyperlink.1"/>
          <w:rtl w:val="0"/>
          <w:lang w:val="en-US"/>
        </w:rPr>
        <w:t xml:space="preserve">  </w:t>
      </w:r>
      <w:r>
        <w:rPr>
          <w:rStyle w:val="Hyperlink.1"/>
          <w:rtl w:val="0"/>
          <w:lang w:val="en-US"/>
        </w:rPr>
        <w:t>glycogen in silkworms and subsequently utilized for physiological activities and fat accumulation. Similar observations on haemolymph glycogen variation were reported by Manjula et al., (2011).</w:t>
      </w:r>
    </w:p>
    <w:p>
      <w:pPr>
        <w:pStyle w:val="Normal.0"/>
        <w:spacing w:after="0" w:line="360" w:lineRule="auto"/>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jc w:val="both"/>
        <w:rPr>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This agro-cottage-based industry plays a crucial role in the economic development of society. Sericulture and even Moriculture provide significant social and economic benefits, particularly to rural communities. However, silkworm diseases pose a major challenge, often exacerbated by unfavorable weather conditions and unhealthy rearing environments, which facilitate the spread of pathogens. The improper and unscientific use of disinfectants in rearing houses fails to effectively control infections. Moreover, relying solely on disinfectants cannot eliminate all disease-related issues. They reported that the increased value of control treatment group and significant elevation and reduction of biochemical content in infected haemolymph</w:t>
      </w:r>
      <w:r>
        <w:rPr>
          <w:rStyle w:val="Hyperlink.1"/>
          <w:rtl w:val="0"/>
          <w:lang w:val="en-US"/>
        </w:rPr>
        <w:t>  </w:t>
      </w:r>
    </w:p>
    <w:p>
      <w:pPr>
        <w:pStyle w:val="Normal.0"/>
        <w:spacing w:after="0" w:line="360" w:lineRule="auto"/>
        <w:rPr>
          <w:rFonts w:ascii="Times New Roman" w:cs="Times New Roman" w:hAnsi="Times New Roman" w:eastAsia="Times New Roman"/>
          <w:kern w:val="0"/>
          <w:sz w:val="24"/>
          <w:szCs w:val="24"/>
        </w:rPr>
      </w:pPr>
      <w:r>
        <w:rPr>
          <w:rFonts w:ascii="Times New Roman" w:hAnsi="Times New Roman"/>
          <w:kern w:val="0"/>
          <w:sz w:val="24"/>
          <w:szCs w:val="24"/>
          <w:rtl w:val="0"/>
          <w:lang w:val="en-US"/>
        </w:rPr>
        <w:t xml:space="preserve"> </w:t>
      </w:r>
      <w:r>
        <w:rPr>
          <w:rFonts w:ascii="Times New Roman" w:hAnsi="Times New Roman"/>
          <w:b w:val="1"/>
          <w:bCs w:val="1"/>
          <w:kern w:val="0"/>
          <w:sz w:val="24"/>
          <w:szCs w:val="24"/>
          <w:rtl w:val="0"/>
          <w:lang w:val="en-US"/>
        </w:rPr>
        <w:t xml:space="preserve">REFERENCES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Carroll,N.V., Longley,R.W., and  Roe,J.D.</w:t>
      </w:r>
      <w:r>
        <w:rPr>
          <w:rFonts w:ascii="Times New Roman" w:hAnsi="Times New Roman"/>
          <w:kern w:val="0"/>
          <w:sz w:val="24"/>
          <w:szCs w:val="24"/>
          <w:rtl w:val="0"/>
          <w:lang w:val="en-US"/>
        </w:rPr>
        <w:t>,</w:t>
      </w:r>
      <w:r>
        <w:rPr>
          <w:rFonts w:ascii="Times New Roman" w:hAnsi="Times New Roman"/>
          <w:kern w:val="0"/>
          <w:sz w:val="24"/>
          <w:szCs w:val="24"/>
          <w:rtl w:val="0"/>
          <w:lang w:val="en-US"/>
        </w:rPr>
        <w:t xml:space="preserve"> </w:t>
      </w:r>
      <w:r>
        <w:rPr>
          <w:rFonts w:ascii="Times New Roman" w:hAnsi="Times New Roman"/>
          <w:kern w:val="0"/>
          <w:sz w:val="24"/>
          <w:szCs w:val="24"/>
          <w:rtl w:val="0"/>
          <w:lang w:val="en-US"/>
        </w:rPr>
        <w:t>1</w:t>
      </w:r>
      <w:r>
        <w:rPr>
          <w:rFonts w:ascii="Times New Roman" w:hAnsi="Times New Roman"/>
          <w:b w:val="1"/>
          <w:bCs w:val="1"/>
          <w:kern w:val="0"/>
          <w:sz w:val="24"/>
          <w:szCs w:val="24"/>
          <w:rtl w:val="0"/>
          <w:lang w:val="en-US"/>
        </w:rPr>
        <w:t xml:space="preserve">956. </w:t>
      </w:r>
      <w:r>
        <w:rPr>
          <w:rStyle w:val="Hyperlink.1"/>
          <w:rtl w:val="0"/>
          <w:lang w:val="en-US"/>
        </w:rPr>
        <w:t>The determination of glycogen in liver and muscle by use of the anthrone reagent.</w:t>
      </w:r>
      <w:r>
        <w:rPr>
          <w:rFonts w:ascii="Times New Roman" w:hAnsi="Times New Roman"/>
          <w:i w:val="1"/>
          <w:iCs w:val="1"/>
          <w:kern w:val="0"/>
          <w:sz w:val="24"/>
          <w:szCs w:val="24"/>
          <w:rtl w:val="0"/>
          <w:lang w:val="en-US"/>
        </w:rPr>
        <w:t xml:space="preserve"> Journal of Biological Chemistry</w:t>
      </w:r>
      <w:r>
        <w:rPr>
          <w:rStyle w:val="Hyperlink.1"/>
          <w:rtl w:val="0"/>
          <w:lang w:val="en-US"/>
        </w:rPr>
        <w:t>. ;220:583-593</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Dubois ,M., Gilles ,K.A., Hamilton, J.K.,  Rebers, P.A., and  Smith ,F.</w:t>
      </w:r>
      <w:r>
        <w:rPr>
          <w:rFonts w:ascii="Times New Roman" w:hAnsi="Times New Roman"/>
          <w:kern w:val="0"/>
          <w:sz w:val="24"/>
          <w:szCs w:val="24"/>
          <w:rtl w:val="0"/>
          <w:lang w:val="en-US"/>
        </w:rPr>
        <w:t>,</w:t>
      </w:r>
      <w:r>
        <w:rPr>
          <w:rFonts w:ascii="Times New Roman" w:hAnsi="Times New Roman"/>
          <w:kern w:val="0"/>
          <w:sz w:val="24"/>
          <w:szCs w:val="24"/>
          <w:rtl w:val="0"/>
          <w:lang w:val="en-US"/>
        </w:rPr>
        <w:t xml:space="preserve">1956 </w:t>
      </w:r>
      <w:r>
        <w:rPr>
          <w:rStyle w:val="Hyperlink.1"/>
          <w:rtl w:val="0"/>
          <w:lang w:val="en-US"/>
        </w:rPr>
        <w:t xml:space="preserve">Colorimetric method for determination of sugars and related substances. </w:t>
      </w:r>
      <w:r>
        <w:rPr>
          <w:rFonts w:ascii="Times New Roman" w:hAnsi="Times New Roman"/>
          <w:i w:val="1"/>
          <w:iCs w:val="1"/>
          <w:kern w:val="0"/>
          <w:sz w:val="24"/>
          <w:szCs w:val="24"/>
          <w:rtl w:val="0"/>
          <w:lang w:val="en-US"/>
        </w:rPr>
        <w:t>Analytical Chemistry</w:t>
      </w:r>
      <w:r>
        <w:rPr>
          <w:rStyle w:val="Hyperlink.1"/>
          <w:rtl w:val="0"/>
          <w:lang w:val="en-US"/>
        </w:rPr>
        <w:t>. ;28:350-356.</w:t>
      </w:r>
      <w:r>
        <w:rPr>
          <w:rStyle w:val="Hyperlink.1"/>
          <w:rtl w:val="0"/>
          <w:lang w:val="en-US"/>
        </w:rPr>
        <w:t>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Etebari ,K., Bizhannia ,A., R., Sorati ,R.,and Matindoost ,L., 2007. </w:t>
      </w:r>
      <w:r>
        <w:rPr>
          <w:rStyle w:val="Hyperlink.1"/>
          <w:rtl w:val="0"/>
          <w:lang w:val="en-US"/>
        </w:rPr>
        <w:t xml:space="preserve"> Biochemical Changes in Hemolymph of Silkworm Larva Due to Admiral Residue.</w:t>
      </w:r>
      <w:r>
        <w:rPr>
          <w:rFonts w:ascii="Times New Roman" w:hAnsi="Times New Roman"/>
          <w:i w:val="1"/>
          <w:iCs w:val="1"/>
          <w:kern w:val="0"/>
          <w:sz w:val="24"/>
          <w:szCs w:val="24"/>
          <w:rtl w:val="0"/>
          <w:lang w:val="en-US"/>
        </w:rPr>
        <w:t xml:space="preserve"> Pesticide Biochem</w:t>
      </w:r>
      <w:r>
        <w:rPr>
          <w:rStyle w:val="Hyperlink.1"/>
          <w:rtl w:val="0"/>
          <w:lang w:val="en-US"/>
        </w:rPr>
        <w:t xml:space="preserve">. </w:t>
      </w:r>
      <w:r>
        <w:rPr>
          <w:rFonts w:ascii="Times New Roman" w:hAnsi="Times New Roman"/>
          <w:i w:val="1"/>
          <w:iCs w:val="1"/>
          <w:kern w:val="0"/>
          <w:sz w:val="24"/>
          <w:szCs w:val="24"/>
          <w:rtl w:val="0"/>
          <w:lang w:val="en-US"/>
        </w:rPr>
        <w:t>Physiol.,</w:t>
      </w:r>
      <w:r>
        <w:rPr>
          <w:rStyle w:val="Hyperlink.1"/>
          <w:rtl w:val="0"/>
          <w:lang w:val="en-US"/>
        </w:rPr>
        <w:t xml:space="preserve"> 88(1) : 14 - 19.</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Etebari ,K .,2002</w:t>
      </w:r>
      <w:r>
        <w:rPr>
          <w:rStyle w:val="Hyperlink.1"/>
          <w:rtl w:val="0"/>
          <w:lang w:val="en-US"/>
        </w:rPr>
        <w:t xml:space="preserve">. </w:t>
      </w:r>
      <w:r>
        <w:rPr>
          <w:rFonts w:ascii="Times New Roman" w:hAnsi="Times New Roman"/>
          <w:kern w:val="0"/>
          <w:sz w:val="24"/>
          <w:szCs w:val="24"/>
          <w:rtl w:val="0"/>
          <w:lang w:val="en-US"/>
        </w:rPr>
        <w:t xml:space="preserve">Effect of enrichment of mulberry leaves (Morus alba) with some vitamins and nitrogenous compounds on some economic traits and physiological characters of silkworm Bombyx mori L. </w:t>
      </w:r>
      <w:r>
        <w:rPr>
          <w:rFonts w:ascii="Times New Roman" w:hAnsi="Times New Roman"/>
          <w:i w:val="1"/>
          <w:iCs w:val="1"/>
          <w:kern w:val="0"/>
          <w:sz w:val="24"/>
          <w:szCs w:val="24"/>
          <w:rtl w:val="0"/>
          <w:lang w:val="en-US"/>
        </w:rPr>
        <w:t>Isfahan: Isfahan University of Technology</w:t>
      </w:r>
      <w:r>
        <w:rPr>
          <w:rStyle w:val="Hyperlink.1"/>
          <w:rtl w:val="0"/>
          <w:lang w:val="en-US"/>
        </w:rPr>
        <w:t>;</w:t>
      </w:r>
      <w:r>
        <w:rPr>
          <w:rStyle w:val="Hyperlink.1"/>
          <w:rtl w:val="0"/>
          <w:lang w:val="en-US"/>
        </w:rPr>
        <w:t>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Gao,L., Chen ,K., Yao Q., and Chen ,H., 2006</w:t>
      </w:r>
      <w:r>
        <w:rPr>
          <w:rStyle w:val="Hyperlink.1"/>
          <w:rtl w:val="0"/>
          <w:lang w:val="en-US"/>
        </w:rPr>
        <w:t xml:space="preserve">. </w:t>
      </w:r>
      <w:r>
        <w:rPr>
          <w:rFonts w:ascii="Times New Roman" w:hAnsi="Times New Roman"/>
          <w:kern w:val="0"/>
          <w:sz w:val="24"/>
          <w:szCs w:val="24"/>
          <w:rtl w:val="0"/>
          <w:lang w:val="en-US"/>
        </w:rPr>
        <w:t xml:space="preserve">BmNPV infection enhances ubiquitin conjugating enzyme E2 expression in the midgut of BmNPV susceptible silkworm strain. </w:t>
      </w:r>
      <w:r>
        <w:rPr>
          <w:rFonts w:ascii="Times New Roman" w:hAnsi="Times New Roman"/>
          <w:i w:val="1"/>
          <w:iCs w:val="1"/>
          <w:kern w:val="0"/>
          <w:sz w:val="24"/>
          <w:szCs w:val="24"/>
          <w:rtl w:val="0"/>
          <w:lang w:val="en-US"/>
        </w:rPr>
        <w:t>Int. J. Indust. Entomol.,</w:t>
      </w:r>
      <w:r>
        <w:rPr>
          <w:rStyle w:val="Hyperlink.1"/>
          <w:rtl w:val="0"/>
          <w:lang w:val="en-US"/>
        </w:rPr>
        <w:t xml:space="preserve"> 13 : 31 </w:t>
      </w:r>
      <w:r>
        <w:rPr>
          <w:rStyle w:val="Hyperlink.1"/>
          <w:rtl w:val="0"/>
          <w:lang w:val="en-US"/>
        </w:rPr>
        <w:t xml:space="preserve">– </w:t>
      </w:r>
      <w:r>
        <w:rPr>
          <w:rStyle w:val="Hyperlink.1"/>
          <w:rtl w:val="0"/>
          <w:lang w:val="en-US"/>
        </w:rPr>
        <w:t>35.</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Govindan ,R., and  Devaiah ,MC.,</w:t>
      </w: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kern w:val="0"/>
          <w:sz w:val="24"/>
          <w:szCs w:val="24"/>
          <w:u w:color="000000"/>
          <w:rtl w:val="0"/>
          <w:lang w:val="en-US"/>
          <w14:textFill>
            <w14:solidFill>
              <w14:srgbClr w14:val="000000"/>
            </w14:solidFill>
          </w14:textFill>
        </w:rPr>
        <w:t>1995.</w:t>
      </w:r>
      <w:r>
        <w:rPr>
          <w:rStyle w:val="Hyperlink.1"/>
          <w:rtl w:val="0"/>
          <w:lang w:val="en-US"/>
        </w:rPr>
        <w:t xml:space="preserve"> Bacterial flacherie of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S</w:t>
      </w:r>
      <w:r>
        <w:rPr>
          <w:rFonts w:ascii="Times New Roman" w:hAnsi="Times New Roman"/>
          <w:kern w:val="0"/>
          <w:sz w:val="24"/>
          <w:szCs w:val="24"/>
          <w:rtl w:val="0"/>
          <w:lang w:val="en-US"/>
        </w:rPr>
        <w:t xml:space="preserve">ilkworm pathology Technical Bulletin. </w:t>
      </w:r>
      <w:r>
        <w:rPr>
          <w:rFonts w:ascii="Times New Roman" w:hAnsi="Times New Roman"/>
          <w:i w:val="1"/>
          <w:iCs w:val="1"/>
          <w:kern w:val="0"/>
          <w:sz w:val="24"/>
          <w:szCs w:val="24"/>
          <w:rtl w:val="0"/>
          <w:lang w:val="en-US"/>
        </w:rPr>
        <w:t>Department of sericulture, UAS. Bangalore,</w:t>
      </w:r>
      <w:r>
        <w:rPr>
          <w:rFonts w:ascii="Times New Roman" w:hAnsi="Times New Roman"/>
          <w:kern w:val="0"/>
          <w:sz w:val="24"/>
          <w:szCs w:val="24"/>
          <w:rtl w:val="0"/>
          <w:lang w:val="en-US"/>
        </w:rPr>
        <w:t xml:space="preserve"> ; pp. 1- 47.</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Habeanu ,M., Gheorghe ,A., Lefter ,N.A., Dumitru, M., Toma ,S.M., Vlaicu ,P.A., and Mihalcea ,T.,</w:t>
      </w: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kern w:val="0"/>
          <w:sz w:val="24"/>
          <w:szCs w:val="24"/>
          <w:u w:color="000000"/>
          <w:rtl w:val="0"/>
          <w:lang w:val="en-US"/>
          <w14:textFill>
            <w14:solidFill>
              <w14:srgbClr w14:val="000000"/>
            </w14:solidFill>
          </w14:textFill>
        </w:rPr>
        <w:t>2025</w:t>
      </w:r>
      <w:r>
        <w:rPr>
          <w:rStyle w:val="Hyperlink.1"/>
          <w:rtl w:val="0"/>
          <w:lang w:val="en-US"/>
        </w:rPr>
        <w:t xml:space="preserve"> Comparative study of the productive parameters of two breeds of the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Bombyx mori </w:t>
      </w:r>
      <w:r>
        <w:rPr>
          <w:rStyle w:val="Hyperlink.1"/>
          <w:rtl w:val="0"/>
          <w:lang w:val="en-US"/>
        </w:rPr>
        <w:t xml:space="preserve">silkworm fed </w:t>
      </w:r>
      <w:r>
        <w:rPr>
          <w:rFonts w:ascii="Times New Roman" w:hAnsi="Times New Roman"/>
          <w:i w:val="1"/>
          <w:iCs w:val="1"/>
          <w:outline w:val="0"/>
          <w:color w:val="000000"/>
          <w:kern w:val="0"/>
          <w:sz w:val="24"/>
          <w:szCs w:val="24"/>
          <w:u w:color="000000"/>
          <w:rtl w:val="0"/>
          <w:lang w:val="en-US"/>
          <w14:textFill>
            <w14:solidFill>
              <w14:srgbClr w14:val="000000"/>
            </w14:solidFill>
          </w14:textFill>
        </w:rPr>
        <w:t>Rhodotorulaglutinis</w:t>
      </w:r>
      <w:r>
        <w:rPr>
          <w:rStyle w:val="Hyperlink.1"/>
          <w:rtl w:val="0"/>
          <w:lang w:val="en-US"/>
        </w:rPr>
        <w:t>yeast. Insects. ;16(5):482.</w:t>
      </w:r>
      <w:r>
        <w:rPr>
          <w:rStyle w:val="Hyperlink.1"/>
          <w:rtl w:val="0"/>
          <w:lang w:val="en-US"/>
        </w:rPr>
        <w:t>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Khedr ,M.M.A., El-Shafiey, S.N., and Mead ,H.M.I., 2013.</w:t>
      </w:r>
      <w:r>
        <w:rPr>
          <w:rStyle w:val="Hyperlink.1"/>
          <w:rtl w:val="0"/>
          <w:lang w:val="en-US"/>
        </w:rPr>
        <w:t xml:space="preserve"> Influence of fortification of mulberry leaves with natural and synthetic multivitamins on growth and development of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Bombyx mori </w:t>
      </w:r>
      <w:r>
        <w:rPr>
          <w:rStyle w:val="Hyperlink.1"/>
          <w:rtl w:val="0"/>
          <w:lang w:val="en-US"/>
        </w:rPr>
        <w:t xml:space="preserve">L. </w:t>
      </w:r>
      <w:r>
        <w:rPr>
          <w:rFonts w:ascii="Times New Roman" w:hAnsi="Times New Roman"/>
          <w:i w:val="1"/>
          <w:iCs w:val="1"/>
          <w:kern w:val="0"/>
          <w:sz w:val="24"/>
          <w:szCs w:val="24"/>
          <w:rtl w:val="0"/>
          <w:lang w:val="en-US"/>
        </w:rPr>
        <w:t>Egyptian Journal of Plant Protection Pathology</w:t>
      </w:r>
      <w:r>
        <w:rPr>
          <w:rStyle w:val="Hyperlink.1"/>
          <w:rtl w:val="0"/>
          <w:lang w:val="en-US"/>
        </w:rPr>
        <w:t>.;                     4:111-123.</w:t>
      </w:r>
      <w:r>
        <w:rPr>
          <w:rStyle w:val="Hyperlink.1"/>
          <w:rtl w:val="0"/>
          <w:lang w:val="en-US"/>
        </w:rPr>
        <w:t>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Kodaira, Y., 1961.</w:t>
      </w:r>
      <w:r>
        <w:rPr>
          <w:rStyle w:val="Hyperlink.1"/>
          <w:rtl w:val="0"/>
          <w:lang w:val="en-US"/>
        </w:rPr>
        <w:t xml:space="preserve"> Biochemical studies on the muscardine fungi in silkworms,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Bombyx mori. </w:t>
      </w:r>
      <w:r>
        <w:rPr>
          <w:rStyle w:val="Hyperlink.1"/>
          <w:rtl w:val="0"/>
          <w:lang w:val="en-US"/>
        </w:rPr>
        <w:t xml:space="preserve">In: J. Fac. (Ed.), Text. Sci.Tech. 5. </w:t>
      </w:r>
      <w:r>
        <w:rPr>
          <w:rFonts w:ascii="Times New Roman" w:hAnsi="Times New Roman"/>
          <w:i w:val="1"/>
          <w:iCs w:val="1"/>
          <w:kern w:val="0"/>
          <w:sz w:val="24"/>
          <w:szCs w:val="24"/>
          <w:rtl w:val="0"/>
          <w:lang w:val="en-US"/>
        </w:rPr>
        <w:t>Sinshu.University Sericulture.</w:t>
      </w:r>
      <w:r>
        <w:rPr>
          <w:rStyle w:val="Hyperlink.1"/>
          <w:rtl w:val="0"/>
          <w:lang w:val="en-US"/>
        </w:rPr>
        <w:t>; 1-68.</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Krishnaswami S.,</w:t>
      </w: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kern w:val="0"/>
          <w:sz w:val="24"/>
          <w:szCs w:val="24"/>
          <w:u w:color="000000"/>
          <w:rtl w:val="0"/>
          <w:lang w:val="en-US"/>
          <w14:textFill>
            <w14:solidFill>
              <w14:srgbClr w14:val="000000"/>
            </w14:solidFill>
          </w14:textFill>
        </w:rPr>
        <w:t>1978.</w:t>
      </w:r>
      <w:r>
        <w:rPr>
          <w:rStyle w:val="Hyperlink.1"/>
          <w:rtl w:val="0"/>
          <w:lang w:val="en-US"/>
        </w:rPr>
        <w:t xml:space="preserve"> New technology of silkworm rearing. C.S.R.I. and J.I. Central Board, India. Bull.; 2: 1-23.</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Lowry ,L.,(1951)</w:t>
      </w:r>
      <w:r>
        <w:rPr>
          <w:rStyle w:val="Hyperlink.1"/>
          <w:rtl w:val="0"/>
          <w:lang w:val="en-US"/>
        </w:rPr>
        <w:t xml:space="preserve">Rsenbrough OH, Farr NJ, Randall RJ. Protein measurement with Folin phenol reagent. J. </w:t>
      </w:r>
      <w:r>
        <w:rPr>
          <w:rFonts w:ascii="Times New Roman" w:hAnsi="Times New Roman"/>
          <w:i w:val="1"/>
          <w:iCs w:val="1"/>
          <w:kern w:val="0"/>
          <w:sz w:val="24"/>
          <w:szCs w:val="24"/>
          <w:rtl w:val="0"/>
          <w:lang w:val="en-US"/>
        </w:rPr>
        <w:t>Biol. Chem.,</w:t>
      </w:r>
      <w:r>
        <w:rPr>
          <w:rStyle w:val="Hyperlink.1"/>
          <w:rtl w:val="0"/>
          <w:lang w:val="en-US"/>
        </w:rPr>
        <w:t xml:space="preserve"> 193: 265-275.</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Nation, J.L.2016.</w:t>
      </w:r>
      <w:r>
        <w:rPr>
          <w:rStyle w:val="Hyperlink.1"/>
          <w:rtl w:val="0"/>
          <w:lang w:val="en-US"/>
        </w:rPr>
        <w:t xml:space="preserve"> ,Insect physiology and biochemistry. 3rd ed. </w:t>
      </w:r>
      <w:r>
        <w:rPr>
          <w:rFonts w:ascii="Times New Roman" w:hAnsi="Times New Roman"/>
          <w:i w:val="1"/>
          <w:iCs w:val="1"/>
          <w:kern w:val="0"/>
          <w:sz w:val="24"/>
          <w:szCs w:val="24"/>
          <w:rtl w:val="0"/>
          <w:lang w:val="en-US"/>
        </w:rPr>
        <w:t>Florida: CRC Press</w:t>
      </w:r>
      <w:r>
        <w:rPr>
          <w:rStyle w:val="Hyperlink.1"/>
          <w:rtl w:val="0"/>
          <w:lang w:val="en-US"/>
        </w:rPr>
        <w:t>; p.420-424.</w:t>
      </w:r>
      <w:r>
        <w:rPr>
          <w:rStyle w:val="Hyperlink.1"/>
          <w:rtl w:val="0"/>
          <w:lang w:val="en-US"/>
        </w:rPr>
        <w:t>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Manjula ,S.N., and Vijaya Kumari ,B.,</w:t>
      </w: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kern w:val="0"/>
          <w:sz w:val="24"/>
          <w:szCs w:val="24"/>
          <w:u w:color="000000"/>
          <w:rtl w:val="0"/>
          <w:lang w:val="en-US"/>
          <w14:textFill>
            <w14:solidFill>
              <w14:srgbClr w14:val="000000"/>
            </w14:solidFill>
          </w14:textFill>
        </w:rPr>
        <w:t>2015</w:t>
      </w:r>
      <w:r>
        <w:rPr>
          <w:rStyle w:val="Hyperlink.1"/>
          <w:rtl w:val="0"/>
          <w:lang w:val="en-US"/>
        </w:rPr>
        <w:t xml:space="preserve"> .Evaluation of antioxidant enzyme activities in experimental models. </w:t>
      </w:r>
      <w:r>
        <w:rPr>
          <w:rFonts w:ascii="Times New Roman" w:hAnsi="Times New Roman"/>
          <w:i w:val="1"/>
          <w:iCs w:val="1"/>
          <w:kern w:val="0"/>
          <w:sz w:val="24"/>
          <w:szCs w:val="24"/>
          <w:rtl w:val="0"/>
          <w:lang w:val="en-US"/>
        </w:rPr>
        <w:t>Int J Pharm Sci Rev Res;</w:t>
      </w:r>
      <w:r>
        <w:rPr>
          <w:rStyle w:val="Hyperlink.1"/>
          <w:rtl w:val="0"/>
          <w:lang w:val="en-US"/>
        </w:rPr>
        <w:t>32(1):200-205.</w:t>
      </w:r>
      <w:r>
        <w:rPr>
          <w:rStyle w:val="Hyperlink.1"/>
          <w:rtl w:val="0"/>
          <w:lang w:val="en-US"/>
        </w:rPr>
        <w:t>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Pawar ,V.M., and  Ramakrishnan ,N.,</w:t>
      </w: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kern w:val="0"/>
          <w:sz w:val="24"/>
          <w:szCs w:val="24"/>
          <w:u w:color="000000"/>
          <w:rtl w:val="0"/>
          <w:lang w:val="en-US"/>
          <w14:textFill>
            <w14:solidFill>
              <w14:srgbClr w14:val="000000"/>
            </w14:solidFill>
          </w14:textFill>
        </w:rPr>
        <w:t>1977.</w:t>
      </w:r>
      <w:r>
        <w:rPr>
          <w:rStyle w:val="Hyperlink.1"/>
          <w:rtl w:val="0"/>
          <w:lang w:val="en-US"/>
        </w:rPr>
        <w:t xml:space="preserve"> Biochemical changes in larval haemolymph of Spodoptera litura (Fabricius) due to nuclear polyhedrosis virus infection. </w:t>
      </w:r>
      <w:r>
        <w:rPr>
          <w:rFonts w:ascii="Times New Roman" w:hAnsi="Times New Roman"/>
          <w:i w:val="1"/>
          <w:iCs w:val="1"/>
          <w:kern w:val="0"/>
          <w:sz w:val="24"/>
          <w:szCs w:val="24"/>
          <w:rtl w:val="0"/>
          <w:lang w:val="en-US"/>
        </w:rPr>
        <w:t xml:space="preserve">Indian Journal of </w:t>
      </w:r>
      <w:r>
        <w:rPr>
          <w:rFonts w:ascii="Times New Roman" w:hAnsi="Times New Roman"/>
          <w:kern w:val="0"/>
          <w:sz w:val="24"/>
          <w:szCs w:val="24"/>
          <w:rtl w:val="0"/>
          <w:lang w:val="en-US"/>
        </w:rPr>
        <w:t>Experimental Biology, 15: 755-758.</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Rajitha ,K., and Savithri ,G., 2014.,</w:t>
      </w:r>
      <w:r>
        <w:rPr>
          <w:rStyle w:val="Hyperlink.1"/>
          <w:rtl w:val="0"/>
          <w:lang w:val="en-US"/>
        </w:rPr>
        <w:t xml:space="preserve"> Amino acid profiles in the haemolymph of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Bombyx mori </w:t>
      </w:r>
      <w:r>
        <w:rPr>
          <w:rStyle w:val="Hyperlink.1"/>
          <w:rtl w:val="0"/>
          <w:lang w:val="en-US"/>
        </w:rPr>
        <w:t xml:space="preserve">L. infected with fungal pathogen,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Beauveria bassiana </w:t>
      </w:r>
      <w:r>
        <w:rPr>
          <w:rStyle w:val="Hyperlink.1"/>
          <w:rtl w:val="0"/>
          <w:lang w:val="en-US"/>
        </w:rPr>
        <w:t xml:space="preserve">(Bals) vuill.International . </w:t>
      </w:r>
      <w:r>
        <w:rPr>
          <w:rFonts w:ascii="Times New Roman" w:hAnsi="Times New Roman"/>
          <w:i w:val="1"/>
          <w:iCs w:val="1"/>
          <w:kern w:val="0"/>
          <w:sz w:val="24"/>
          <w:szCs w:val="24"/>
          <w:rtl w:val="0"/>
          <w:lang w:val="en-US"/>
        </w:rPr>
        <w:t>Journal of Applied Biology and Pharmaceutical Technology</w:t>
      </w:r>
      <w:r>
        <w:rPr>
          <w:rStyle w:val="Hyperlink.1"/>
          <w:rtl w:val="0"/>
          <w:lang w:val="en-US"/>
        </w:rPr>
        <w:t>, 5(1): 163-166.</w:t>
      </w:r>
    </w:p>
    <w:p>
      <w:pPr>
        <w:pStyle w:val="Normal.0"/>
        <w:spacing w:after="0" w:line="360" w:lineRule="auto"/>
        <w:ind w:left="720" w:hanging="720"/>
        <w:jc w:val="both"/>
        <w:rPr>
          <w:rFonts w:ascii="Times New Roman" w:cs="Times New Roman" w:hAnsi="Times New Roman" w:eastAsia="Times New Roman"/>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Shivakumar ,G., and  Shamitha, G.,</w:t>
      </w: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kern w:val="0"/>
          <w:sz w:val="24"/>
          <w:szCs w:val="24"/>
          <w:u w:color="000000"/>
          <w:rtl w:val="0"/>
          <w:lang w:val="en-US"/>
          <w14:textFill>
            <w14:solidFill>
              <w14:srgbClr w14:val="000000"/>
            </w14:solidFill>
          </w14:textFill>
        </w:rPr>
        <w:t>2011.,</w:t>
      </w:r>
      <w:r>
        <w:rPr>
          <w:rStyle w:val="Hyperlink.1"/>
          <w:rtl w:val="0"/>
          <w:lang w:val="en-US"/>
        </w:rPr>
        <w:t xml:space="preserve"> Comparative studies of trehalase activity in the outdoor and total indoor reared tasar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Antheraea mylitta </w:t>
      </w:r>
      <w:r>
        <w:rPr>
          <w:rStyle w:val="Hyperlink.1"/>
          <w:rtl w:val="0"/>
          <w:lang w:val="en-US"/>
        </w:rPr>
        <w:t xml:space="preserve">Drury (Daba TV). Asian </w:t>
      </w:r>
      <w:r>
        <w:rPr>
          <w:rFonts w:ascii="Times New Roman" w:hAnsi="Times New Roman"/>
          <w:i w:val="1"/>
          <w:iCs w:val="1"/>
          <w:kern w:val="0"/>
          <w:sz w:val="24"/>
          <w:szCs w:val="24"/>
          <w:rtl w:val="0"/>
          <w:lang w:val="en-US"/>
        </w:rPr>
        <w:t>Journal of Experimental Biological Sciences.</w:t>
      </w:r>
      <w:r>
        <w:rPr>
          <w:rStyle w:val="Hyperlink.1"/>
          <w:rtl w:val="0"/>
          <w:lang w:val="en-US"/>
        </w:rPr>
        <w:t xml:space="preserve"> 2:265-269.</w:t>
      </w:r>
      <w:r>
        <w:rPr>
          <w:rStyle w:val="Hyperlink.1"/>
          <w:rtl w:val="0"/>
          <w:lang w:val="en-US"/>
        </w:rPr>
        <w:t> </w:t>
      </w:r>
    </w:p>
    <w:p>
      <w:pPr>
        <w:pStyle w:val="Normal.0"/>
        <w:spacing w:after="0" w:line="360" w:lineRule="auto"/>
        <w:ind w:left="720" w:hanging="720"/>
        <w:rPr>
          <w:rFonts w:ascii="Times New Roman" w:cs="Times New Roman" w:hAnsi="Times New Roman" w:eastAsia="Times New Roman"/>
          <w:sz w:val="24"/>
          <w:szCs w:val="24"/>
        </w:rPr>
      </w:pPr>
    </w:p>
    <w:p>
      <w:pPr>
        <w:pStyle w:val="Normal.0"/>
        <w:spacing w:after="0" w:line="360" w:lineRule="auto"/>
        <w:ind w:left="720" w:hanging="720"/>
        <w:rPr>
          <w:rFonts w:ascii="Times New Roman" w:cs="Times New Roman" w:hAnsi="Times New Roman" w:eastAsia="Times New Roman"/>
          <w:sz w:val="24"/>
          <w:szCs w:val="24"/>
        </w:rPr>
      </w:pPr>
    </w:p>
    <w:p>
      <w:pPr>
        <w:pStyle w:val="Normal.0"/>
        <w:spacing w:after="0" w:line="360" w:lineRule="auto"/>
        <w:ind w:left="720" w:hanging="720"/>
        <w:rPr>
          <w:rFonts w:ascii="Times New Roman" w:cs="Times New Roman" w:hAnsi="Times New Roman" w:eastAsia="Times New Roman"/>
          <w:sz w:val="24"/>
          <w:szCs w:val="24"/>
        </w:rPr>
      </w:pPr>
    </w:p>
    <w:p>
      <w:pPr>
        <w:pStyle w:val="Normal.0"/>
        <w:spacing w:after="0" w:line="360" w:lineRule="auto"/>
        <w:ind w:left="720" w:hanging="720"/>
        <w:rPr>
          <w:rFonts w:ascii="Times New Roman" w:cs="Times New Roman" w:hAnsi="Times New Roman" w:eastAsia="Times New Roman"/>
          <w:sz w:val="24"/>
          <w:szCs w:val="24"/>
        </w:rPr>
      </w:pPr>
    </w:p>
    <w:p>
      <w:pPr>
        <w:pStyle w:val="Normal (Web)"/>
        <w:spacing w:after="0" w:line="360" w:lineRule="auto"/>
        <w:jc w:val="center"/>
        <w:rPr>
          <w:kern w:val="0"/>
        </w:rPr>
      </w:pPr>
      <w:r>
        <w:rPr>
          <w:b w:val="1"/>
          <w:bCs w:val="1"/>
          <w:outline w:val="0"/>
          <w:color w:val="000000"/>
          <w:kern w:val="0"/>
          <w:u w:color="000000"/>
          <w:rtl w:val="0"/>
          <w:lang w:val="en-US"/>
          <w14:textFill>
            <w14:solidFill>
              <w14:srgbClr w14:val="000000"/>
            </w14:solidFill>
          </w14:textFill>
        </w:rPr>
        <w:t>SEASONAL AND INTERANNUAL VARIATIONS I  PHYSICOCHEMICAL PARAMETERS OF SIRPUR LAKE (RAMSAR WETLAND),                                         MADHYA PRADESH, INDIA.</w:t>
      </w:r>
      <w:r>
        <w:rPr>
          <w:b w:val="1"/>
          <w:bCs w:val="1"/>
          <w:outline w:val="0"/>
          <w:color w:val="000000"/>
          <w:kern w:val="0"/>
          <w:u w:color="000000"/>
          <w:rtl w:val="0"/>
          <w:lang w:val="en-US"/>
          <w14:textFill>
            <w14:solidFill>
              <w14:srgbClr w14:val="000000"/>
            </w14:solidFill>
          </w14:textFill>
        </w:rPr>
        <w:t> </w:t>
      </w:r>
    </w:p>
    <w:p>
      <w:pPr>
        <w:pStyle w:val="Normal.0"/>
        <w:spacing w:after="0" w:line="360" w:lineRule="auto"/>
        <w:jc w:val="center"/>
        <w:rPr>
          <w:rFonts w:ascii="Times New Roman" w:cs="Times New Roman" w:hAnsi="Times New Roman" w:eastAsia="Times New Roman"/>
          <w:i w:val="1"/>
          <w:iCs w:val="1"/>
          <w:kern w:val="0"/>
          <w:sz w:val="24"/>
          <w:szCs w:val="24"/>
        </w:rPr>
      </w:pPr>
      <w:r>
        <w:rPr>
          <w:rFonts w:ascii="Times New Roman" w:hAnsi="Times New Roman"/>
          <w:i w:val="1"/>
          <w:iCs w:val="1"/>
          <w:kern w:val="0"/>
          <w:sz w:val="24"/>
          <w:szCs w:val="24"/>
          <w:rtl w:val="0"/>
          <w:lang w:val="en-US"/>
        </w:rPr>
        <w:t>Michael Antony Packiam. T</w:t>
      </w:r>
      <w:r>
        <w:rPr>
          <w:rFonts w:ascii="Times New Roman" w:hAnsi="Times New Roman"/>
          <w:i w:val="1"/>
          <w:iCs w:val="1"/>
          <w:kern w:val="0"/>
          <w:sz w:val="24"/>
          <w:szCs w:val="24"/>
          <w:vertAlign w:val="superscript"/>
          <w:rtl w:val="0"/>
          <w:lang w:val="en-US"/>
        </w:rPr>
        <w:t>1</w:t>
      </w:r>
      <w:r>
        <w:rPr>
          <w:rFonts w:ascii="Times New Roman" w:hAnsi="Times New Roman"/>
          <w:i w:val="1"/>
          <w:iCs w:val="1"/>
          <w:kern w:val="0"/>
          <w:sz w:val="24"/>
          <w:szCs w:val="24"/>
          <w:rtl w:val="0"/>
          <w:lang w:val="en-US"/>
        </w:rPr>
        <w:t xml:space="preserve"> , Prakasam</w:t>
      </w:r>
      <w:r>
        <w:rPr>
          <w:rFonts w:ascii="Times New Roman" w:hAnsi="Times New Roman"/>
          <w:i w:val="1"/>
          <w:iCs w:val="1"/>
          <w:kern w:val="0"/>
          <w:sz w:val="24"/>
          <w:szCs w:val="24"/>
          <w:rtl w:val="0"/>
          <w:lang w:val="en-US"/>
        </w:rPr>
        <w:t>.T</w:t>
      </w:r>
      <w:r>
        <w:rPr>
          <w:rFonts w:ascii="Times New Roman" w:hAnsi="Times New Roman"/>
          <w:i w:val="1"/>
          <w:iCs w:val="1"/>
          <w:kern w:val="0"/>
          <w:sz w:val="24"/>
          <w:szCs w:val="24"/>
          <w:rtl w:val="0"/>
          <w:lang w:val="en-US"/>
        </w:rPr>
        <w:t xml:space="preserve"> </w:t>
      </w:r>
      <w:r>
        <w:rPr>
          <w:rFonts w:ascii="Times New Roman" w:hAnsi="Times New Roman"/>
          <w:i w:val="1"/>
          <w:iCs w:val="1"/>
          <w:kern w:val="0"/>
          <w:sz w:val="24"/>
          <w:szCs w:val="24"/>
          <w:vertAlign w:val="superscript"/>
          <w:rtl w:val="0"/>
          <w:lang w:val="en-US"/>
        </w:rPr>
        <w:t>2</w:t>
      </w:r>
      <w:r>
        <w:rPr>
          <w:rFonts w:ascii="Times New Roman" w:hAnsi="Times New Roman"/>
          <w:i w:val="1"/>
          <w:iCs w:val="1"/>
          <w:kern w:val="0"/>
          <w:sz w:val="24"/>
          <w:szCs w:val="24"/>
          <w:rtl w:val="0"/>
          <w:lang w:val="en-US"/>
        </w:rPr>
        <w:t xml:space="preserve"> And Deepa Jaiswal</w:t>
      </w:r>
      <w:r>
        <w:rPr>
          <w:rFonts w:ascii="Times New Roman" w:hAnsi="Times New Roman"/>
          <w:i w:val="1"/>
          <w:iCs w:val="1"/>
          <w:kern w:val="0"/>
          <w:sz w:val="24"/>
          <w:szCs w:val="24"/>
          <w:vertAlign w:val="superscript"/>
          <w:rtl w:val="0"/>
          <w:lang w:val="en-US"/>
        </w:rPr>
        <w:t>3</w:t>
      </w:r>
    </w:p>
    <w:p>
      <w:pPr>
        <w:pStyle w:val="Normal.0"/>
        <w:spacing w:after="0" w:line="360" w:lineRule="auto"/>
        <w:jc w:val="center"/>
        <w:rPr>
          <w:rFonts w:ascii="Times New Roman" w:cs="Times New Roman" w:hAnsi="Times New Roman" w:eastAsia="Times New Roman"/>
          <w:i w:val="1"/>
          <w:iCs w:val="1"/>
          <w:kern w:val="0"/>
          <w:sz w:val="24"/>
          <w:szCs w:val="24"/>
        </w:rPr>
      </w:pPr>
      <w:r>
        <w:rPr>
          <w:rFonts w:ascii="Times New Roman" w:hAnsi="Times New Roman"/>
          <w:i w:val="1"/>
          <w:iCs w:val="1"/>
          <w:kern w:val="0"/>
          <w:sz w:val="24"/>
          <w:szCs w:val="24"/>
          <w:vertAlign w:val="superscript"/>
          <w:rtl w:val="0"/>
          <w:lang w:val="en-US"/>
        </w:rPr>
        <w:t>1,2.</w:t>
      </w:r>
      <w:r>
        <w:rPr>
          <w:rFonts w:ascii="Times New Roman" w:hAnsi="Times New Roman"/>
          <w:i w:val="1"/>
          <w:iCs w:val="1"/>
          <w:kern w:val="0"/>
          <w:sz w:val="24"/>
          <w:szCs w:val="24"/>
          <w:rtl w:val="0"/>
          <w:lang w:val="en-US"/>
        </w:rPr>
        <w:t xml:space="preserve"> PG Research Department of Zoology, S.T. Hindu College, Nagercoil - 629002, </w:t>
      </w:r>
    </w:p>
    <w:p>
      <w:pPr>
        <w:pStyle w:val="Normal.0"/>
        <w:spacing w:after="0" w:line="360" w:lineRule="auto"/>
        <w:jc w:val="center"/>
        <w:rPr>
          <w:rFonts w:ascii="Times New Roman" w:cs="Times New Roman" w:hAnsi="Times New Roman" w:eastAsia="Times New Roman"/>
          <w:i w:val="1"/>
          <w:iCs w:val="1"/>
          <w:kern w:val="0"/>
          <w:sz w:val="24"/>
          <w:szCs w:val="24"/>
        </w:rPr>
      </w:pPr>
      <w:r>
        <w:rPr>
          <w:rFonts w:ascii="Times New Roman" w:hAnsi="Times New Roman"/>
          <w:i w:val="1"/>
          <w:iCs w:val="1"/>
          <w:kern w:val="0"/>
          <w:sz w:val="24"/>
          <w:szCs w:val="24"/>
          <w:rtl w:val="0"/>
          <w:lang w:val="en-US"/>
        </w:rPr>
        <w:t>Affiliated to Manonmaniam Sundaranar University, Tirunelveli - 627 012, Tamil Nadu</w:t>
      </w:r>
    </w:p>
    <w:p>
      <w:pPr>
        <w:pStyle w:val="Normal.0"/>
        <w:spacing w:after="0" w:line="360" w:lineRule="auto"/>
        <w:jc w:val="center"/>
        <w:rPr>
          <w:rStyle w:val="None"/>
          <w:rFonts w:ascii="Times New Roman" w:cs="Times New Roman" w:hAnsi="Times New Roman" w:eastAsia="Times New Roman"/>
          <w:kern w:val="0"/>
          <w:sz w:val="24"/>
          <w:szCs w:val="24"/>
        </w:rPr>
      </w:pPr>
      <w:r>
        <w:rPr>
          <w:rFonts w:ascii="Times New Roman" w:hAnsi="Times New Roman"/>
          <w:i w:val="1"/>
          <w:iCs w:val="1"/>
          <w:kern w:val="0"/>
          <w:sz w:val="24"/>
          <w:szCs w:val="24"/>
          <w:vertAlign w:val="superscript"/>
          <w:rtl w:val="0"/>
          <w:lang w:val="en-US"/>
        </w:rPr>
        <w:t>3</w:t>
      </w:r>
      <w:r>
        <w:rPr>
          <w:rFonts w:ascii="Times New Roman" w:hAnsi="Times New Roman"/>
          <w:i w:val="1"/>
          <w:iCs w:val="1"/>
          <w:kern w:val="0"/>
          <w:sz w:val="24"/>
          <w:szCs w:val="24"/>
          <w:rtl w:val="0"/>
          <w:lang w:val="en-US"/>
        </w:rPr>
        <w:t xml:space="preserve">Freshwater Biology Regional Center, Zoological Survey of India, Hyderabad, Telangana, </w:t>
      </w:r>
      <w:r>
        <w:rPr>
          <w:rStyle w:val="Hyperlink.1"/>
          <w:rtl w:val="0"/>
          <w:lang w:val="en-US"/>
        </w:rPr>
        <w:t>India.</w:t>
      </w:r>
      <w:r>
        <w:rPr>
          <w:rFonts w:ascii="Times New Roman" w:hAnsi="Times New Roman"/>
          <w:kern w:val="0"/>
          <w:sz w:val="24"/>
          <w:szCs w:val="24"/>
          <w:rtl w:val="0"/>
          <w:lang w:val="en-US"/>
        </w:rPr>
        <w:t xml:space="preserve"> E</w:t>
      </w:r>
      <w:r>
        <w:rPr>
          <w:rStyle w:val="Hyperlink.1"/>
          <w:rtl w:val="0"/>
          <w:lang w:val="en-US"/>
        </w:rPr>
        <w:t xml:space="preserve">mail: </w:t>
      </w:r>
      <w:r>
        <w:rPr>
          <w:rStyle w:val="Hyperlink.0"/>
        </w:rPr>
        <w:fldChar w:fldCharType="begin" w:fldLock="0"/>
      </w:r>
      <w:r>
        <w:rPr>
          <w:rStyle w:val="Hyperlink.0"/>
        </w:rPr>
        <w:instrText xml:space="preserve"> HYPERLINK "mailto:michaelantoney45925@gmail.com"</w:instrText>
      </w:r>
      <w:r>
        <w:rPr>
          <w:rStyle w:val="Hyperlink.0"/>
        </w:rPr>
        <w:fldChar w:fldCharType="separate" w:fldLock="0"/>
      </w:r>
      <w:r>
        <w:rPr>
          <w:rStyle w:val="Hyperlink.0"/>
          <w:rtl w:val="0"/>
          <w:lang w:val="en-US"/>
        </w:rPr>
        <w:t>michaelantoney45925@gmail.com</w:t>
      </w:r>
      <w:r>
        <w:rPr/>
        <w:fldChar w:fldCharType="end" w:fldLock="0"/>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study analysed the seasonal and inter-annual variations in the physicochemical parameters of the Sirpur wetland, a Ramsar site in Madhya Pradesh, India. Samples were collected seasonally from four sampling stations between summer 2024 and winter 2026, and fourteen physicochemical parameters were analysed.</w:t>
      </w:r>
      <w:r>
        <w:rPr>
          <w:rStyle w:val="Hyperlink.1"/>
          <w:rtl w:val="0"/>
          <w:lang w:val="en-US"/>
        </w:rPr>
        <w:t xml:space="preserve">  </w:t>
      </w:r>
      <w:r>
        <w:rPr>
          <w:rStyle w:val="Hyperlink.1"/>
          <w:rtl w:val="0"/>
          <w:lang w:val="en-US"/>
        </w:rPr>
        <w:t xml:space="preserve">Atmospheric temperature was highest during summer of 2025 (30.85 </w:t>
      </w:r>
      <w:r>
        <w:rPr>
          <w:rStyle w:val="Hyperlink.1"/>
          <w:rtl w:val="0"/>
          <w:lang w:val="en-US"/>
        </w:rPr>
        <w:t xml:space="preserve">± </w:t>
      </w:r>
      <w:r>
        <w:rPr>
          <w:rStyle w:val="Hyperlink.1"/>
          <w:rtl w:val="0"/>
          <w:lang w:val="en-US"/>
        </w:rPr>
        <w:t xml:space="preserve">2.9 </w:t>
      </w:r>
      <w:r>
        <w:rPr>
          <w:rStyle w:val="Hyperlink.1"/>
          <w:rtl w:val="0"/>
          <w:lang w:val="en-US"/>
        </w:rPr>
        <w:t>°</w:t>
      </w:r>
      <w:r>
        <w:rPr>
          <w:rStyle w:val="Hyperlink.1"/>
          <w:rtl w:val="0"/>
          <w:lang w:val="en-US"/>
        </w:rPr>
        <w:t xml:space="preserve">C) and the lowest during monsoon 2024 (20.7 </w:t>
      </w:r>
      <w:r>
        <w:rPr>
          <w:rStyle w:val="Hyperlink.1"/>
          <w:rtl w:val="0"/>
          <w:lang w:val="en-US"/>
        </w:rPr>
        <w:t xml:space="preserve">± </w:t>
      </w:r>
      <w:r>
        <w:rPr>
          <w:rStyle w:val="Hyperlink.1"/>
          <w:rtl w:val="0"/>
          <w:lang w:val="en-US"/>
        </w:rPr>
        <w:t xml:space="preserve">2.12 </w:t>
      </w:r>
      <w:r>
        <w:rPr>
          <w:rStyle w:val="Hyperlink.1"/>
          <w:rtl w:val="0"/>
          <w:lang w:val="en-US"/>
        </w:rPr>
        <w:t>°</w:t>
      </w:r>
      <w:r>
        <w:rPr>
          <w:rStyle w:val="Hyperlink.1"/>
          <w:rtl w:val="0"/>
          <w:lang w:val="en-US"/>
        </w:rPr>
        <w:t xml:space="preserve">C). Surface water temperature showed a similar trend, with the maximum of 28.45 </w:t>
      </w:r>
      <w:r>
        <w:rPr>
          <w:rStyle w:val="Hyperlink.1"/>
          <w:rtl w:val="0"/>
          <w:lang w:val="en-US"/>
        </w:rPr>
        <w:t xml:space="preserve">± </w:t>
      </w:r>
      <w:r>
        <w:rPr>
          <w:rStyle w:val="Hyperlink.1"/>
          <w:rtl w:val="0"/>
          <w:lang w:val="en-US"/>
        </w:rPr>
        <w:t xml:space="preserve">3.4 </w:t>
      </w:r>
      <w:r>
        <w:rPr>
          <w:rStyle w:val="Hyperlink.1"/>
          <w:rtl w:val="0"/>
          <w:lang w:val="en-US"/>
        </w:rPr>
        <w:t>°</w:t>
      </w:r>
      <w:r>
        <w:rPr>
          <w:rStyle w:val="Hyperlink.1"/>
          <w:rtl w:val="0"/>
          <w:lang w:val="en-US"/>
        </w:rPr>
        <w:t xml:space="preserve">C in summer 2025 and a lowest of 18.65 </w:t>
      </w:r>
      <w:r>
        <w:rPr>
          <w:rStyle w:val="Hyperlink.1"/>
          <w:rtl w:val="0"/>
          <w:lang w:val="en-US"/>
        </w:rPr>
        <w:t xml:space="preserve">± </w:t>
      </w:r>
      <w:r>
        <w:rPr>
          <w:rStyle w:val="Hyperlink.1"/>
          <w:rtl w:val="0"/>
          <w:lang w:val="en-US"/>
        </w:rPr>
        <w:t xml:space="preserve">1.08 </w:t>
      </w:r>
      <w:r>
        <w:rPr>
          <w:rStyle w:val="Hyperlink.1"/>
          <w:rtl w:val="0"/>
          <w:lang w:val="en-US"/>
        </w:rPr>
        <w:t>°</w:t>
      </w:r>
      <w:r>
        <w:rPr>
          <w:rStyle w:val="Hyperlink.1"/>
          <w:rtl w:val="0"/>
          <w:lang w:val="en-US"/>
        </w:rPr>
        <w:t xml:space="preserve">C during monsoon 2024. Electrical conductivity was recorded during monsoon 2024 (0.50 </w:t>
      </w:r>
      <w:r>
        <w:rPr>
          <w:rStyle w:val="Hyperlink.1"/>
          <w:rtl w:val="0"/>
          <w:lang w:val="en-US"/>
        </w:rPr>
        <w:t xml:space="preserve">± </w:t>
      </w:r>
      <w:r>
        <w:rPr>
          <w:rStyle w:val="Hyperlink.1"/>
          <w:rtl w:val="0"/>
          <w:lang w:val="en-US"/>
        </w:rPr>
        <w:t xml:space="preserve">0.04 </w:t>
      </w:r>
      <w:r>
        <w:rPr>
          <w:rStyle w:val="Hyperlink.1"/>
          <w:rtl w:val="0"/>
          <w:lang w:val="en-US"/>
        </w:rPr>
        <w:t>µ</w:t>
      </w:r>
      <w:r>
        <w:rPr>
          <w:rStyle w:val="Hyperlink.1"/>
          <w:rtl w:val="0"/>
          <w:lang w:val="en-US"/>
        </w:rPr>
        <w:t xml:space="preserve">S/cm) and highest was during summer 2024 (0.72 </w:t>
      </w:r>
      <w:r>
        <w:rPr>
          <w:rStyle w:val="Hyperlink.1"/>
          <w:rtl w:val="0"/>
          <w:lang w:val="en-US"/>
        </w:rPr>
        <w:t xml:space="preserve">± </w:t>
      </w:r>
      <w:r>
        <w:rPr>
          <w:rStyle w:val="Hyperlink.1"/>
          <w:rtl w:val="0"/>
          <w:lang w:val="en-US"/>
        </w:rPr>
        <w:t xml:space="preserve">0.2 </w:t>
      </w:r>
      <w:r>
        <w:rPr>
          <w:rStyle w:val="Hyperlink.1"/>
          <w:rtl w:val="0"/>
          <w:lang w:val="en-US"/>
        </w:rPr>
        <w:t>µ</w:t>
      </w:r>
      <w:r>
        <w:rPr>
          <w:rStyle w:val="Hyperlink.1"/>
          <w:rtl w:val="0"/>
          <w:lang w:val="en-US"/>
        </w:rPr>
        <w:t xml:space="preserve">S/cm). The wetland water was moderately alkaline (pH 8.16-8.49) throughout the study period, with significant seasonal variation. The highest value of total dissolved solids (360 </w:t>
      </w:r>
      <w:r>
        <w:rPr>
          <w:rStyle w:val="Hyperlink.1"/>
          <w:rtl w:val="0"/>
          <w:lang w:val="en-US"/>
        </w:rPr>
        <w:t xml:space="preserve">± </w:t>
      </w:r>
      <w:r>
        <w:rPr>
          <w:rStyle w:val="Hyperlink.1"/>
          <w:rtl w:val="0"/>
          <w:lang w:val="en-US"/>
        </w:rPr>
        <w:t xml:space="preserve">108.7 mg/L), total hardness (437 </w:t>
      </w:r>
      <w:r>
        <w:rPr>
          <w:rStyle w:val="Hyperlink.1"/>
          <w:rtl w:val="0"/>
          <w:lang w:val="en-US"/>
        </w:rPr>
        <w:t xml:space="preserve">± </w:t>
      </w:r>
      <w:r>
        <w:rPr>
          <w:rStyle w:val="Hyperlink.1"/>
          <w:rtl w:val="0"/>
          <w:lang w:val="en-US"/>
        </w:rPr>
        <w:t xml:space="preserve">116.4 mg/L) and calcium (256.3 </w:t>
      </w:r>
      <w:r>
        <w:rPr>
          <w:rStyle w:val="Hyperlink.1"/>
          <w:rtl w:val="0"/>
          <w:lang w:val="en-US"/>
        </w:rPr>
        <w:t xml:space="preserve">± </w:t>
      </w:r>
      <w:r>
        <w:rPr>
          <w:rStyle w:val="Hyperlink.1"/>
          <w:rtl w:val="0"/>
          <w:lang w:val="en-US"/>
        </w:rPr>
        <w:t xml:space="preserve">112.5 mg/L) were recorded during summer, whereas the lowest value occurred during monsoon 2024. Nutrient concentrations also showed considerably variation, with nitrate being 10 mg/L, while ammonia observed its highest value 1.27 </w:t>
      </w:r>
      <w:r>
        <w:rPr>
          <w:rStyle w:val="Hyperlink.1"/>
          <w:rtl w:val="0"/>
          <w:lang w:val="en-US"/>
        </w:rPr>
        <w:t xml:space="preserve">± </w:t>
      </w:r>
      <w:r>
        <w:rPr>
          <w:rStyle w:val="Hyperlink.1"/>
          <w:rtl w:val="0"/>
          <w:lang w:val="en-US"/>
        </w:rPr>
        <w:t xml:space="preserve">0.9 mg/L during winter 2026. The highest dissolved oxygen concentration was winter 2025 (5.03 </w:t>
      </w:r>
      <w:r>
        <w:rPr>
          <w:rStyle w:val="Hyperlink.1"/>
          <w:rtl w:val="0"/>
          <w:lang w:val="en-US"/>
        </w:rPr>
        <w:t xml:space="preserve">± </w:t>
      </w:r>
      <w:r>
        <w:rPr>
          <w:rStyle w:val="Hyperlink.1"/>
          <w:rtl w:val="0"/>
          <w:lang w:val="en-US"/>
        </w:rPr>
        <w:t xml:space="preserve">2 mg/L), while the lowest concentration was recorded during monsoon 2025 and winter 2026 (0.775 </w:t>
      </w:r>
      <w:r>
        <w:rPr>
          <w:rStyle w:val="Hyperlink.1"/>
          <w:rtl w:val="0"/>
          <w:lang w:val="en-US"/>
        </w:rPr>
        <w:t xml:space="preserve">± </w:t>
      </w:r>
      <w:r>
        <w:rPr>
          <w:rStyle w:val="Hyperlink.1"/>
          <w:rtl w:val="0"/>
          <w:lang w:val="en-US"/>
        </w:rPr>
        <w:t>0.7 mg/L). Statistical analysis (Pearson correlation analysis, Principal component analysis (PCA), was performed. The results indicate the need for regular seasonal monitoring, control of sewage and agricultural runoff and protection of Sirpur wetland to prevent further eutrophication and to sustain its ecological health and conservation value.</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rPr>
      </w:pPr>
      <w:r>
        <w:rPr>
          <w:rStyle w:val="None"/>
          <w:rFonts w:ascii="Times New Roman" w:hAnsi="Times New Roman"/>
          <w:b w:val="1"/>
          <w:bCs w:val="1"/>
          <w:i w:val="1"/>
          <w:iCs w:val="1"/>
          <w:kern w:val="0"/>
          <w:sz w:val="24"/>
          <w:szCs w:val="24"/>
          <w:rtl w:val="0"/>
          <w:lang w:val="en-US"/>
        </w:rPr>
        <w:t>Key words:</w:t>
      </w:r>
      <w:r>
        <w:rPr>
          <w:rStyle w:val="None"/>
          <w:rFonts w:ascii="Times New Roman" w:hAnsi="Times New Roman"/>
          <w:i w:val="1"/>
          <w:iCs w:val="1"/>
          <w:kern w:val="0"/>
          <w:sz w:val="24"/>
          <w:szCs w:val="24"/>
          <w:rtl w:val="0"/>
          <w:lang w:val="en-US"/>
        </w:rPr>
        <w:t xml:space="preserve"> Ramsar wetland; seasonal variation; interannual variation; physicochemical parameters; dissolved oxygen.</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Wetlands are among the most important and diverse ecosystems on Earth, and they serve as transitional zones between terrestrial and aquatic habitats, encompassing a variety of environments such as freshwater wetlands, peatlands, mangroves, estuaries, and seasonally flooded plains (Xu et al., 2019; Chakraborty et al., 2023). Although they cover only about 6 to 8% of the Earth's surface, they are vital for maintaining global biodiversity, biogeochemical cycles, and hydrological functions (Junk et al., 2013). Despite their limited distribution, wetlands provide essential services, such as drinking water supply, fisheries, flood regulation, carbon sequestration, and the transmission of cultural values (Mitsch et al., 2015; Zedler and Kercher, 2005). Their complex structures and ecological gradients foster densely distributed microhabitats; globally, approximately 40% of species depend on wetlands for survival, including a particularly high number of freshwater fish, turtles, amphibians such as frogs, and seasonal migratory birds (Wickramasingha et al., 2026). However, these ecosystems face threats from agricultural expansion, urbanization, pollution, invasive species, and climate change, these pressures have led to extensive wetland loss, biodiversity decline, and worldwide functional degradation (Desta et al., 2012; Junk et al., 2013).</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Wetlands play several important functions that help to protect humans and the environment (Silvius et al., 2000). They function as natural barriers, soaking up floodwater and releasing it slowly, and therefore minimise the severity of floods (Griffiths et al., 2024). They also stabilise shorelines and river banks and assist groundwater recharge, which together reduce flood risks and help protect human communities and important infrastructure (Stein, 2025; Wainger et al., 2026). Wetland soils, especially peatlands and coastal salt marshes, are essential carbon stores and hence play a vital role in mitigating climate change (Moomaw et al., 2018). When wetlands are drained or destroyed, the stored carbon is released, leading to uncontrolled emissions and a large rise in human-caused carbon emissions (Raturi et al., 2024). Wetlands are also important for global fisheries, as breeding grounds and habitats for many freshwater and marine species and as a source of livelihood and nutrient security for millions of people worldwide (Assessment, 2005). Historically, wetlands have supported agricultural development through nutrient-rich sediments and water regulation; floodplain farming and rice cultivation are exemplary cases (Adhya and Banerjee, 2022). However, the conversion of wetlands to intensive agricultural land is threatening the essential ecological processes that underpin long-term agricultural productivity, underscoring the urgent need to protect and restore wetlands as a key component of socio-ecological and economic resilience (Solanki, 2026).</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Wetland of international importance constitutes official international recognition that the ecosystem meets one or more of nine criteria (including ecological representativeness, biodiversity significance, support for threatened species, or importance for populations of waterbirds and fish).</w:t>
      </w:r>
      <w:r>
        <w:rPr>
          <w:rStyle w:val="Hyperlink.1"/>
          <w:rtl w:val="0"/>
          <w:lang w:val="en-US"/>
        </w:rPr>
        <w:t xml:space="preserve">  </w:t>
      </w:r>
      <w:r>
        <w:rPr>
          <w:rStyle w:val="Hyperlink.1"/>
          <w:rtl w:val="0"/>
          <w:lang w:val="en-US"/>
        </w:rPr>
        <w:t>As a result, the site is brought under the scope of a global conservation responsibility, with contracting parties required to promote sustainable use, integrate wetland management into land use planning, and periodically report on their ecological status (Lynch et al., 2016; Caro-Becerra et al., 2019). The significance of Ramsar sites goes far beyond the symbolic act of designation: collectively, these wetlands form some of the world</w:t>
      </w:r>
      <w:r>
        <w:rPr>
          <w:rStyle w:val="Hyperlink.1"/>
          <w:rtl w:val="0"/>
          <w:lang w:val="en-US"/>
        </w:rPr>
        <w:t>’</w:t>
      </w:r>
      <w:r>
        <w:rPr>
          <w:rStyle w:val="Hyperlink.1"/>
          <w:rtl w:val="0"/>
          <w:lang w:val="en-US"/>
        </w:rPr>
        <w:t>s most ecologically representative and functionally irreplaceable habitats in the context of the planet</w:t>
      </w:r>
      <w:r>
        <w:rPr>
          <w:rStyle w:val="Hyperlink.1"/>
          <w:rtl w:val="0"/>
          <w:lang w:val="en-US"/>
        </w:rPr>
        <w:t>’</w:t>
      </w:r>
      <w:r>
        <w:rPr>
          <w:rStyle w:val="Hyperlink.1"/>
          <w:rtl w:val="0"/>
          <w:lang w:val="en-US"/>
        </w:rPr>
        <w:t>s freshwater, coastal, and marine environments (Kaden et al., 2026).</w:t>
      </w:r>
      <w:r>
        <w:rPr>
          <w:rStyle w:val="Hyperlink.1"/>
          <w:rtl w:val="0"/>
          <w:lang w:val="en-US"/>
        </w:rPr>
        <w:t xml:space="preserve">  </w:t>
      </w:r>
      <w:r>
        <w:rPr>
          <w:rStyle w:val="Hyperlink.1"/>
          <w:rtl w:val="0"/>
          <w:lang w:val="en-US"/>
        </w:rPr>
        <w:t>They provide essential ecosystem services such as flood regulation, carbon sequestration, water quality purification, fisheries production, and biodiversity conservation to hundreds of millions of people living upstream and downstream (Keddy et al., 2009; Davidson, 2013).</w:t>
      </w:r>
      <w:r>
        <w:rPr>
          <w:rStyle w:val="Hyperlink.1"/>
          <w:rtl w:val="0"/>
          <w:lang w:val="en-US"/>
        </w:rPr>
        <w:t xml:space="preserve">  </w:t>
      </w:r>
      <w:r>
        <w:rPr>
          <w:rStyle w:val="Hyperlink.1"/>
          <w:rtl w:val="0"/>
          <w:lang w:val="en-US"/>
        </w:rPr>
        <w:t>Amid increasingly degraded landscapes where many globally threatened and endemic species have already disappeared, they often serve as last refuges (Montagnini et al., 2022). The conservation priorities under the Ramsar legal framework are shaped by a dual principle of safeguarding ecological character and ensuring sustainable use (Finlayson et al., 2011). This places obligations on contracting parties not only to prevent the decline of designated sites but also to undertake efforts for the restoration of damaged wetlands manage invasive species, regulate hydrological changes, and control sources of pollution (Dickens et al., 2003).</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Monitoring water quality by hydrological parameters is crucial for understanding and protecting the health of aquatic environments (Bieroza et al., 2023). Water quality in rivers, lakes, and freshwater ecosystems is never entirely stable; it is always changing owing to natural cycles and human activities (Carpenter et al., 2011). Natural factors such as rainfall, temperature, and evaporation change the physical and chemical properties of water by affecting nutrient concentrations, dissolved oxygen levels, and salinity (Khatri et al., 2015). At the same time, anthropogenic factors such as runoff from agricultural areas polluted by fertilizers and pesticides, untreated sewage discharge, increased tourism near water bodies, land use changes, dam construction, and human intervention along riparian zones collectively degrade water quality, threaten aquatic biodiversity, impair the functioning of green ecosystems, and jeopardize humanity</w:t>
      </w:r>
      <w:r>
        <w:rPr>
          <w:rStyle w:val="Hyperlink.1"/>
          <w:rtl w:val="0"/>
          <w:lang w:val="en-US"/>
        </w:rPr>
        <w:t>’</w:t>
      </w:r>
      <w:r>
        <w:rPr>
          <w:rStyle w:val="Hyperlink.1"/>
          <w:rtl w:val="0"/>
          <w:lang w:val="en-US"/>
        </w:rPr>
        <w:t>s right to access clean water (Ogidi and Akpan, 2022). Therefore, regular and systematic monitoring of water quality is indispensable precisely because this process provides a scientific foundation for the early detection of changes, identification of their causes, and the guidance of administrative decisions responsible for the protection of environmental and human interests (Cwikiel et al., 1992; Adu-Manu et al., 2017).</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There are many studies that have extensively recorded seasonal variations in water quality in Ramsar wetlands and other major and large waterbodies in India. Water quality is considered a dynamic quality affected by climatic conditions, especially variations in rainfall and temperature. Studies in major Indian wetlands such as Chilika Lake, Odisha (Panda et al., 2015), Loktak Lake, Manipur (Mayanglambam and Neelam, 2022), and Wular Lake, Kashmir (Zutshi et al., 1980) show significant seasonal fluctuations in the parameters like dissolved oxygen, conductivity, nutrient levels, nitrate saturation ratios, and levels of contamination before, during, and after the monsoon period. Similar long-term studies have been conducted in other Ramsar wetlands such as Keoladeo National Park in Rajasthan (Vijayan, 1991), Rudrasagar Lake (Biswas et al., 2024), Deepor Beel in Assam (Saha et al., 2026) and other Indian wetlands (Debnath et al., 2026), emphasising the significance of water chemistry monitoring in wetland conservation and management. All these investigations are carried out on scientific foundation; they demonstrate the effect of the climate on the water quality of the discussed places.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Although data on climate changes and geological and chemical changes are generally limited to specific source swamps, such as the Ramsar wetlands, there is a growing interest in the study of genetic structure of swamps. Most current studies rely primarily on assessments season estimates; however, this approach is not sufficient to determine the overall impact of annual distribution patterns, biological resilience, and the cumulative impacts of anthropogenic activities on water quality. The reference indicators needed to assess water quality have not yet been fully confirmed. This study aims to (i) to assess seasonal and chemical changes occurring during summer, monsoon, and winter periods, (ii) to identify the relationship between water quality parameters through multivariate analyses. This study supports the implementation of relevant critical habitat management plans in this critical area, based on data obtained from local sources.</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2.1</w:t>
        <w:tab/>
        <w:t>Study Area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Sirpur Wetland, a century old human</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made freshwater lake located on the Indore Dhar Road at the north</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western fringe of Indore city in Madhya Pradesh, central India, covers about 2.7-3.6 km</w:t>
      </w:r>
      <w:r>
        <w:rPr>
          <w:rStyle w:val="Hyperlink.1"/>
          <w:rtl w:val="0"/>
          <w:lang w:val="en-US"/>
        </w:rPr>
        <w:t>²</w:t>
      </w:r>
      <w:r>
        <w:rPr>
          <w:rStyle w:val="Hyperlink.1"/>
          <w:rtl w:val="0"/>
          <w:lang w:val="en-US"/>
        </w:rPr>
        <w:t>, including its protected surroundings and falls under the jurisdiction of the Indore Municipal Corporation (Sharma, 2010). Created by the Holkar rulers over 130 years ago to augment the city</w:t>
      </w:r>
      <w:r>
        <w:rPr>
          <w:rStyle w:val="Hyperlink.1"/>
          <w:rtl w:val="0"/>
          <w:lang w:val="en-US"/>
        </w:rPr>
        <w:t>’</w:t>
      </w:r>
      <w:r>
        <w:rPr>
          <w:rStyle w:val="Hyperlink.1"/>
          <w:rtl w:val="0"/>
          <w:lang w:val="en-US"/>
        </w:rPr>
        <w:t>s water supply, it has since stabilized as a shallow, alkaline, nutrient</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rich urban wetland that flood seasonally during the southwest monsoon and now provides critical hydrological services such as storm water moderation and groundwater recharge for the Indore region. The site supports a mosaic of habitats open water, macrophyte beds, shrub forests, grasslands and plantations that sustain high biodiversity including around 175 terrestrial plant species, multiple macrophytes, about 30 fish species, reptiles and amphibians, and at least 130-189 resident and migratory bird species (Grangrade, 2025; Raj et al., 2026). It was designation as a Ramsar site of international importance on 7 January 2022. The surrounding peri</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urban catchment is characterized by agriculture, small</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scale fisheries, recreation areas and religious sites, and ongoing community</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led restoration and conservation initiatives have enhanced the lake</w:t>
      </w:r>
      <w:r>
        <w:rPr>
          <w:rStyle w:val="Hyperlink.1"/>
          <w:rtl w:val="0"/>
          <w:lang w:val="en-US"/>
        </w:rPr>
        <w:t>’</w:t>
      </w:r>
      <w:r>
        <w:rPr>
          <w:rStyle w:val="Hyperlink.1"/>
          <w:rtl w:val="0"/>
          <w:lang w:val="en-US"/>
        </w:rPr>
        <w:t>s ecological integrity while creating significant opportunities for nature</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based tourism, education and socio</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 xml:space="preserve">cultural engagement within the </w:t>
      </w:r>
      <w:r>
        <w:rPr>
          <w:rStyle w:val="Hyperlink.1"/>
          <w:rtl w:val="0"/>
          <w:lang w:val="en-US"/>
        </w:rPr>
        <w:t>“</w:t>
      </w:r>
      <w:r>
        <w:rPr>
          <w:rStyle w:val="Hyperlink.1"/>
          <w:rtl w:val="0"/>
          <w:lang w:val="en-US"/>
        </w:rPr>
        <w:t>Wetland City</w:t>
      </w:r>
      <w:r>
        <w:rPr>
          <w:rStyle w:val="Hyperlink.1"/>
          <w:rtl w:val="0"/>
          <w:lang w:val="en-US"/>
        </w:rPr>
        <w:t xml:space="preserve">” </w:t>
      </w:r>
      <w:r>
        <w:rPr>
          <w:rStyle w:val="Hyperlink.1"/>
          <w:rtl w:val="0"/>
          <w:lang w:val="en-US"/>
        </w:rPr>
        <w:t>of Indore.</w:t>
      </w:r>
      <w:r>
        <w:rPr>
          <w:rStyle w:val="Hyperlink.1"/>
          <w:rtl w:val="0"/>
          <w:lang w:val="en-US"/>
        </w:rPr>
        <w:t> </w:t>
      </w:r>
    </w:p>
    <w:p>
      <w:pPr>
        <w:pStyle w:val="Normal.0"/>
        <w:spacing w:after="0" w:line="360" w:lineRule="auto"/>
        <w:ind w:firstLine="720"/>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sz w:val="24"/>
          <w:szCs w:val="24"/>
        </w:rPr>
        <w:drawing xmlns:a="http://schemas.openxmlformats.org/drawingml/2006/main">
          <wp:anchor distT="0" distB="0" distL="0" distR="0" simplePos="0" relativeHeight="251659264" behindDoc="0" locked="0" layoutInCell="1" allowOverlap="1">
            <wp:simplePos x="0" y="0"/>
            <wp:positionH relativeFrom="column">
              <wp:posOffset>-75563</wp:posOffset>
            </wp:positionH>
            <wp:positionV relativeFrom="line">
              <wp:posOffset>-111760</wp:posOffset>
            </wp:positionV>
            <wp:extent cx="5814060" cy="4145916"/>
            <wp:effectExtent l="0" t="0" r="0" b="0"/>
            <wp:wrapNone/>
            <wp:docPr id="1073741825" name="officeArt object" descr="image.jpeg"/>
            <wp:cNvGraphicFramePr/>
            <a:graphic xmlns:a="http://schemas.openxmlformats.org/drawingml/2006/main">
              <a:graphicData uri="http://schemas.openxmlformats.org/drawingml/2006/picture">
                <pic:pic xmlns:pic="http://schemas.openxmlformats.org/drawingml/2006/picture">
                  <pic:nvPicPr>
                    <pic:cNvPr id="1073741825" name="image.jpeg" descr="image.jpeg"/>
                    <pic:cNvPicPr>
                      <a:picLocks noChangeAspect="1"/>
                    </pic:cNvPicPr>
                  </pic:nvPicPr>
                  <pic:blipFill>
                    <a:blip r:embed="rId4">
                      <a:extLst/>
                    </a:blip>
                    <a:stretch>
                      <a:fillRect/>
                    </a:stretch>
                  </pic:blipFill>
                  <pic:spPr>
                    <a:xfrm>
                      <a:off x="0" y="0"/>
                      <a:ext cx="5814060" cy="4145916"/>
                    </a:xfrm>
                    <a:prstGeom prst="rect">
                      <a:avLst/>
                    </a:prstGeom>
                    <a:ln w="12700" cap="flat">
                      <a:noFill/>
                      <a:miter lim="400000"/>
                    </a:ln>
                    <a:effectLst/>
                  </pic:spPr>
                </pic:pic>
              </a:graphicData>
            </a:graphic>
          </wp:anchor>
        </w:drawing>
      </w: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 1. Map of Sirpur Wetland showing the locations of the four sampling stations.</w:t>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2.2</w:t>
        <w:tab/>
        <w:t>Sampling design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Water samples were collected during six seasonal surveys from four sampling stations between summer 2024 and winter 2026 encompassing summer (March- May), monsoon (June- September), and winter ( December- February) periods at Sirpur Lake. Four sampling stations (Fig. 1) were strategically established to represent distinct hydrological zones within Sirpur Wetland. At each station, surface water sample approximate depth 0.5m were collected pre-washed polyethylene bottles analyzed for physicochemical parameters following standard protocols. Samples were collected between 8:00 and 10:00 h to minimize diurnal variation, particularly for dissolved oxygen and pH. For each seasonal survey, one composite sample per station was obtained by pooling three sub-samples collected within a 10 m radius, yielding four replicate observations per season (n = 4).</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2.3</w:t>
        <w:tab/>
        <w:t>Water quality analysis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Water quality parameters were measured following Standard Methods for the Examination of Water and Wastewater (APHA, 2017), ensuring methodological consistency and comparability across surveys. In situ measurements included atmospheric and surface water temperature (calibrated mercury thermometer), pH (digital pH meter), electrical conductivity (hand-held digital conductivity meter), total dissolved solids (TDS; gravimetric estimation after oven drying at 105 </w:t>
      </w:r>
      <w:r>
        <w:rPr>
          <w:rStyle w:val="Hyperlink.1"/>
          <w:rtl w:val="0"/>
          <w:lang w:val="en-US"/>
        </w:rPr>
        <w:t>°</w:t>
      </w:r>
      <w:r>
        <w:rPr>
          <w:rStyle w:val="Hyperlink.1"/>
          <w:rtl w:val="0"/>
          <w:lang w:val="en-US"/>
        </w:rPr>
        <w:t>C), dissolved oxygen (DO; Winkler titrimetric method). Laboratory analyses were performed for total hardness and calcium (EDTA titration), total alkalinity (acid titration), chloride (Mohr argentometric method) and dissolved oxygen, nitrite, nitrate, ammonia and phosphate using spectrophotometric colorimetric procedures as specified in APHA (2017)</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2.4</w:t>
        <w:tab/>
        <w:t>Statistical analysis</w:t>
      </w:r>
    </w:p>
    <w:p>
      <w:pPr>
        <w:pStyle w:val="Normal.0"/>
        <w:spacing w:after="0" w:line="360" w:lineRule="auto"/>
        <w:ind w:firstLine="720"/>
        <w:jc w:val="both"/>
        <w:rPr>
          <w:rStyle w:val="None"/>
          <w:rFonts w:ascii="Times New Roman" w:cs="Times New Roman" w:hAnsi="Times New Roman" w:eastAsia="Times New Roman"/>
          <w:kern w:val="0"/>
        </w:rPr>
      </w:pPr>
      <w:r>
        <w:rPr>
          <w:rStyle w:val="Hyperlink.1"/>
          <w:rtl w:val="0"/>
          <w:lang w:val="en-US"/>
        </w:rPr>
        <w:t xml:space="preserve">The water quality data was analysed and calculated as mean </w:t>
      </w:r>
      <w:r>
        <w:rPr>
          <w:rStyle w:val="Hyperlink.1"/>
          <w:rtl w:val="0"/>
          <w:lang w:val="en-US"/>
        </w:rPr>
        <w:t xml:space="preserve">± </w:t>
      </w:r>
      <w:r>
        <w:rPr>
          <w:rStyle w:val="Hyperlink.1"/>
          <w:rtl w:val="0"/>
          <w:lang w:val="en-US"/>
        </w:rPr>
        <w:t>standard deviation for each season of the study period. Pearson correlation analysis was calculated on seasonal average values, and statistical significance was evaluated at p&lt;0.05 and p&lt;0.01 the correlation was visualized as heat map. Principal component analysis (PCA) was applied to standardized (z-score transformed) water quality data to identify the major parameters driving seasonal variations. Eigenvalues, percentage of variance explained, and factor loadings were used to interpret the contribution of individual parameters to each component and to distinguish seasonal patterns in multivariate space. All statistical analyses were carried out using R Software (version 4.3) and PAST software (version 4.15).</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RESULT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w:t>
        <w:tab/>
        <w:t>Water quality parameters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study period revealed pronounced seasonal variations in the physicochemical characteristics of Sirpur Lake (Table 1 &amp; Figure 2). Atmospheric temperature was highest in summer 2025 (30.85 </w:t>
      </w:r>
      <w:r>
        <w:rPr>
          <w:rStyle w:val="Hyperlink.1"/>
          <w:rtl w:val="0"/>
          <w:lang w:val="en-US"/>
        </w:rPr>
        <w:t xml:space="preserve">± </w:t>
      </w:r>
      <w:r>
        <w:rPr>
          <w:rStyle w:val="Hyperlink.1"/>
          <w:rtl w:val="0"/>
          <w:lang w:val="en-US"/>
        </w:rPr>
        <w:t>2.9</w:t>
      </w:r>
      <w:r>
        <w:rPr>
          <w:rStyle w:val="Hyperlink.1"/>
          <w:rtl w:val="0"/>
          <w:lang w:val="en-US"/>
        </w:rPr>
        <w:t>°</w:t>
      </w:r>
      <w:r>
        <w:rPr>
          <w:rStyle w:val="Hyperlink.1"/>
          <w:rtl w:val="0"/>
          <w:lang w:val="en-US"/>
        </w:rPr>
        <w:t xml:space="preserve">C) and lowest in monsoon 2024 (20.7 </w:t>
      </w:r>
      <w:r>
        <w:rPr>
          <w:rStyle w:val="Hyperlink.1"/>
          <w:rtl w:val="0"/>
          <w:lang w:val="en-US"/>
        </w:rPr>
        <w:t xml:space="preserve">± </w:t>
      </w:r>
      <w:r>
        <w:rPr>
          <w:rStyle w:val="Hyperlink.1"/>
          <w:rtl w:val="0"/>
          <w:lang w:val="en-US"/>
        </w:rPr>
        <w:t>2.12</w:t>
      </w:r>
      <w:r>
        <w:rPr>
          <w:rStyle w:val="Hyperlink.1"/>
          <w:rtl w:val="0"/>
          <w:lang w:val="en-US"/>
        </w:rPr>
        <w:t>°</w:t>
      </w:r>
      <w:r>
        <w:rPr>
          <w:rStyle w:val="Hyperlink.1"/>
          <w:rtl w:val="0"/>
          <w:lang w:val="en-US"/>
        </w:rPr>
        <w:t xml:space="preserve">C). Surface water temperature showed a similar pattern, with the highest value recorded in summer 2025 (28.45 </w:t>
      </w:r>
      <w:r>
        <w:rPr>
          <w:rStyle w:val="Hyperlink.1"/>
          <w:rtl w:val="0"/>
          <w:lang w:val="en-US"/>
        </w:rPr>
        <w:t xml:space="preserve">± </w:t>
      </w:r>
      <w:r>
        <w:rPr>
          <w:rStyle w:val="Hyperlink.1"/>
          <w:rtl w:val="0"/>
          <w:lang w:val="en-US"/>
        </w:rPr>
        <w:t>3.4</w:t>
      </w:r>
      <w:r>
        <w:rPr>
          <w:rStyle w:val="Hyperlink.1"/>
          <w:rtl w:val="0"/>
          <w:lang w:val="en-US"/>
        </w:rPr>
        <w:t>°</w:t>
      </w:r>
      <w:r>
        <w:rPr>
          <w:rStyle w:val="Hyperlink.1"/>
          <w:rtl w:val="0"/>
          <w:lang w:val="en-US"/>
        </w:rPr>
        <w:t xml:space="preserve">C) and the lowest in monsoon 2024 (18.65 </w:t>
      </w:r>
      <w:r>
        <w:rPr>
          <w:rStyle w:val="Hyperlink.1"/>
          <w:rtl w:val="0"/>
          <w:lang w:val="en-US"/>
        </w:rPr>
        <w:t xml:space="preserve">± </w:t>
      </w:r>
      <w:r>
        <w:rPr>
          <w:rStyle w:val="Hyperlink.1"/>
          <w:rtl w:val="0"/>
          <w:lang w:val="en-US"/>
        </w:rPr>
        <w:t>1.08</w:t>
      </w:r>
      <w:r>
        <w:rPr>
          <w:rStyle w:val="Hyperlink.1"/>
          <w:rtl w:val="0"/>
          <w:lang w:val="en-US"/>
        </w:rPr>
        <w:t>°</w:t>
      </w:r>
      <w:r>
        <w:rPr>
          <w:rStyle w:val="Hyperlink.1"/>
          <w:rtl w:val="0"/>
          <w:lang w:val="en-US"/>
        </w:rPr>
        <w:t xml:space="preserve">C). The pH remained slightly alkaline throughout the study period, with the highest value in winter 2025 (8.49 </w:t>
      </w:r>
      <w:r>
        <w:rPr>
          <w:rStyle w:val="Hyperlink.1"/>
          <w:rtl w:val="0"/>
          <w:lang w:val="en-US"/>
        </w:rPr>
        <w:t xml:space="preserve">± </w:t>
      </w:r>
      <w:r>
        <w:rPr>
          <w:rStyle w:val="Hyperlink.1"/>
          <w:rtl w:val="0"/>
          <w:lang w:val="en-US"/>
        </w:rPr>
        <w:t xml:space="preserve">0.2) and the lowest in winter 2026 (8.16 </w:t>
      </w:r>
      <w:r>
        <w:rPr>
          <w:rStyle w:val="Hyperlink.1"/>
          <w:rtl w:val="0"/>
          <w:lang w:val="en-US"/>
        </w:rPr>
        <w:t xml:space="preserve">± </w:t>
      </w:r>
      <w:r>
        <w:rPr>
          <w:rStyle w:val="Hyperlink.1"/>
          <w:rtl w:val="0"/>
          <w:lang w:val="en-US"/>
        </w:rPr>
        <w:t xml:space="preserve">0.2). Electrical conductivity exhibited moderate seasonal fluctuations, with the lowest values recorded in monsoon 2024 (0.50 </w:t>
      </w:r>
      <w:r>
        <w:rPr>
          <w:rStyle w:val="Hyperlink.1"/>
          <w:rtl w:val="0"/>
          <w:lang w:val="en-US"/>
        </w:rPr>
        <w:t xml:space="preserve">± </w:t>
      </w:r>
      <w:r>
        <w:rPr>
          <w:rStyle w:val="Hyperlink.1"/>
          <w:rtl w:val="0"/>
          <w:lang w:val="en-US"/>
        </w:rPr>
        <w:t xml:space="preserve">0.04 </w:t>
      </w:r>
      <w:r>
        <w:rPr>
          <w:rStyle w:val="Hyperlink.1"/>
          <w:rtl w:val="0"/>
          <w:lang w:val="en-US"/>
        </w:rPr>
        <w:t>µ</w:t>
      </w:r>
      <w:r>
        <w:rPr>
          <w:rStyle w:val="Hyperlink.1"/>
          <w:rtl w:val="0"/>
          <w:lang w:val="en-US"/>
        </w:rPr>
        <w:t xml:space="preserve">m), winter 2025 (0.55 </w:t>
      </w:r>
      <w:r>
        <w:rPr>
          <w:rStyle w:val="Hyperlink.1"/>
          <w:rtl w:val="0"/>
          <w:lang w:val="en-US"/>
        </w:rPr>
        <w:t xml:space="preserve">± </w:t>
      </w:r>
      <w:r>
        <w:rPr>
          <w:rStyle w:val="Hyperlink.1"/>
          <w:rtl w:val="0"/>
          <w:lang w:val="en-US"/>
        </w:rPr>
        <w:t xml:space="preserve">0), monsoon 2025 (0.508 </w:t>
      </w:r>
      <w:r>
        <w:rPr>
          <w:rStyle w:val="Hyperlink.1"/>
          <w:rtl w:val="0"/>
          <w:lang w:val="en-US"/>
        </w:rPr>
        <w:t xml:space="preserve">± </w:t>
      </w:r>
      <w:r>
        <w:rPr>
          <w:rStyle w:val="Hyperlink.1"/>
          <w:rtl w:val="0"/>
          <w:lang w:val="en-US"/>
        </w:rPr>
        <w:t xml:space="preserve">0), and winter 2026 (0.545 </w:t>
      </w:r>
      <w:r>
        <w:rPr>
          <w:rStyle w:val="Hyperlink.1"/>
          <w:rtl w:val="0"/>
          <w:lang w:val="en-US"/>
        </w:rPr>
        <w:t xml:space="preserve">± </w:t>
      </w:r>
      <w:r>
        <w:rPr>
          <w:rStyle w:val="Hyperlink.1"/>
          <w:rtl w:val="0"/>
          <w:lang w:val="en-US"/>
        </w:rPr>
        <w:t xml:space="preserve">0.01), whereas the highest value was observed in summer 2024 (0.72 </w:t>
      </w:r>
      <w:r>
        <w:rPr>
          <w:rStyle w:val="Hyperlink.1"/>
          <w:rtl w:val="0"/>
          <w:lang w:val="en-US"/>
        </w:rPr>
        <w:t xml:space="preserve">± </w:t>
      </w:r>
      <w:r>
        <w:rPr>
          <w:rStyle w:val="Hyperlink.1"/>
          <w:rtl w:val="0"/>
          <w:lang w:val="en-US"/>
        </w:rPr>
        <w:t xml:space="preserve">0.2 </w:t>
      </w:r>
      <w:r>
        <w:rPr>
          <w:rStyle w:val="Hyperlink.1"/>
          <w:rtl w:val="0"/>
          <w:lang w:val="en-US"/>
        </w:rPr>
        <w:t>µ</w:t>
      </w:r>
      <w:r>
        <w:rPr>
          <w:rStyle w:val="Hyperlink.1"/>
          <w:rtl w:val="0"/>
          <w:lang w:val="en-US"/>
        </w:rPr>
        <w:t xml:space="preserve">m). Total dissolved solids were highest in summer 2024 (360 </w:t>
      </w:r>
      <w:r>
        <w:rPr>
          <w:rStyle w:val="Hyperlink.1"/>
          <w:rtl w:val="0"/>
          <w:lang w:val="en-US"/>
        </w:rPr>
        <w:t xml:space="preserve">± </w:t>
      </w:r>
      <w:r>
        <w:rPr>
          <w:rStyle w:val="Hyperlink.1"/>
          <w:rtl w:val="0"/>
          <w:lang w:val="en-US"/>
        </w:rPr>
        <w:t xml:space="preserve">108.7 mg/L) and lowest in monsoon 2024 (249.25 </w:t>
      </w:r>
      <w:r>
        <w:rPr>
          <w:rStyle w:val="Hyperlink.1"/>
          <w:rtl w:val="0"/>
          <w:lang w:val="en-US"/>
        </w:rPr>
        <w:t xml:space="preserve">± </w:t>
      </w:r>
      <w:r>
        <w:rPr>
          <w:rStyle w:val="Hyperlink.1"/>
          <w:rtl w:val="0"/>
          <w:lang w:val="en-US"/>
        </w:rPr>
        <w:t xml:space="preserve">17.25 mg/L), indicating a greater dissolved load during the summer season. Total hardness also varied seasonally, with the maximum value in the summer 2024 (437.5 </w:t>
      </w:r>
      <w:r>
        <w:rPr>
          <w:rStyle w:val="Hyperlink.1"/>
          <w:rtl w:val="0"/>
          <w:lang w:val="en-US"/>
        </w:rPr>
        <w:t xml:space="preserve">± </w:t>
      </w:r>
      <w:r>
        <w:rPr>
          <w:rStyle w:val="Hyperlink.1"/>
          <w:rtl w:val="0"/>
          <w:lang w:val="en-US"/>
        </w:rPr>
        <w:t xml:space="preserve">116.4 mg/L) and the minimum in the monsoon 2025 (181.25 </w:t>
      </w:r>
      <w:r>
        <w:rPr>
          <w:rStyle w:val="Hyperlink.1"/>
          <w:rtl w:val="0"/>
          <w:lang w:val="en-US"/>
        </w:rPr>
        <w:t xml:space="preserve">± </w:t>
      </w:r>
      <w:r>
        <w:rPr>
          <w:rStyle w:val="Hyperlink.1"/>
          <w:rtl w:val="0"/>
          <w:lang w:val="en-US"/>
        </w:rPr>
        <w:t>13 mg/L) (Figure 2).</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Total alkalinity ranged from 193 </w:t>
      </w:r>
      <w:r>
        <w:rPr>
          <w:rStyle w:val="Hyperlink.1"/>
          <w:rtl w:val="0"/>
          <w:lang w:val="en-US"/>
        </w:rPr>
        <w:t xml:space="preserve">± </w:t>
      </w:r>
      <w:r>
        <w:rPr>
          <w:rStyle w:val="Hyperlink.1"/>
          <w:rtl w:val="0"/>
          <w:lang w:val="en-US"/>
        </w:rPr>
        <w:t xml:space="preserve">47 mg/L in winter 2026 to 243.8 </w:t>
      </w:r>
      <w:r>
        <w:rPr>
          <w:rStyle w:val="Hyperlink.1"/>
          <w:rtl w:val="0"/>
          <w:lang w:val="en-US"/>
        </w:rPr>
        <w:t xml:space="preserve">± </w:t>
      </w:r>
      <w:r>
        <w:rPr>
          <w:rStyle w:val="Hyperlink.1"/>
          <w:rtl w:val="0"/>
          <w:lang w:val="en-US"/>
        </w:rPr>
        <w:t xml:space="preserve">87.5 mg/L in summer 2024, showing a decline after monsoon influence. Chloride ranged from 75.35 </w:t>
      </w:r>
      <w:r>
        <w:rPr>
          <w:rStyle w:val="Hyperlink.1"/>
          <w:rtl w:val="0"/>
          <w:lang w:val="en-US"/>
        </w:rPr>
        <w:t xml:space="preserve">± </w:t>
      </w:r>
      <w:r>
        <w:rPr>
          <w:rStyle w:val="Hyperlink.1"/>
          <w:rtl w:val="0"/>
          <w:lang w:val="en-US"/>
        </w:rPr>
        <w:t xml:space="preserve">8.9 mg/L in winter 2026 to 128.53 </w:t>
      </w:r>
      <w:r>
        <w:rPr>
          <w:rStyle w:val="Hyperlink.1"/>
          <w:rtl w:val="0"/>
          <w:lang w:val="en-US"/>
        </w:rPr>
        <w:t xml:space="preserve">± </w:t>
      </w:r>
      <w:r>
        <w:rPr>
          <w:rStyle w:val="Hyperlink.1"/>
          <w:rtl w:val="0"/>
          <w:lang w:val="en-US"/>
        </w:rPr>
        <w:t xml:space="preserve">30 mg/L in summer 2025. Calcium was highest in summer 2024 (256.3 </w:t>
      </w:r>
      <w:r>
        <w:rPr>
          <w:rStyle w:val="Hyperlink.1"/>
          <w:rtl w:val="0"/>
          <w:lang w:val="en-US"/>
        </w:rPr>
        <w:t xml:space="preserve">± </w:t>
      </w:r>
      <w:r>
        <w:rPr>
          <w:rStyle w:val="Hyperlink.1"/>
          <w:rtl w:val="0"/>
          <w:lang w:val="en-US"/>
        </w:rPr>
        <w:t xml:space="preserve">112.5 mg/L) and lowest in monsoon 2024 (82.5 </w:t>
      </w:r>
      <w:r>
        <w:rPr>
          <w:rStyle w:val="Hyperlink.1"/>
          <w:rtl w:val="0"/>
          <w:lang w:val="en-US"/>
        </w:rPr>
        <w:t xml:space="preserve">± </w:t>
      </w:r>
      <w:r>
        <w:rPr>
          <w:rStyle w:val="Hyperlink.1"/>
          <w:rtl w:val="0"/>
          <w:lang w:val="en-US"/>
        </w:rPr>
        <w:t xml:space="preserve">12.6 mg/L), indicating strong seasonal dilution and concentration. Nitrite remained low overall, with the highest value of 0.94 </w:t>
      </w:r>
      <w:r>
        <w:rPr>
          <w:rStyle w:val="Hyperlink.1"/>
          <w:rtl w:val="0"/>
          <w:lang w:val="en-US"/>
        </w:rPr>
        <w:t xml:space="preserve">± </w:t>
      </w:r>
      <w:r>
        <w:rPr>
          <w:rStyle w:val="Hyperlink.1"/>
          <w:rtl w:val="0"/>
          <w:lang w:val="en-US"/>
        </w:rPr>
        <w:t xml:space="preserve">0.74 mg/L in summer 2024 and the lowest value of 0.01 </w:t>
      </w:r>
      <w:r>
        <w:rPr>
          <w:rStyle w:val="Hyperlink.1"/>
          <w:rtl w:val="0"/>
          <w:lang w:val="en-US"/>
        </w:rPr>
        <w:t xml:space="preserve">± </w:t>
      </w:r>
      <w:r>
        <w:rPr>
          <w:rStyle w:val="Hyperlink.1"/>
          <w:rtl w:val="0"/>
          <w:lang w:val="en-US"/>
        </w:rPr>
        <w:t xml:space="preserve">0.00 mg/L in winter 2025 and winter 2026. Nitrate showed seasonal variation from 0.03 </w:t>
      </w:r>
      <w:r>
        <w:rPr>
          <w:rStyle w:val="Hyperlink.1"/>
          <w:rtl w:val="0"/>
          <w:lang w:val="en-US"/>
        </w:rPr>
        <w:t xml:space="preserve">± </w:t>
      </w:r>
      <w:r>
        <w:rPr>
          <w:rStyle w:val="Hyperlink.1"/>
          <w:rtl w:val="0"/>
          <w:lang w:val="en-US"/>
        </w:rPr>
        <w:t xml:space="preserve">0.00 mg/L in winter 2025 to 10 </w:t>
      </w:r>
      <w:r>
        <w:rPr>
          <w:rStyle w:val="Hyperlink.1"/>
          <w:rtl w:val="0"/>
          <w:lang w:val="en-US"/>
        </w:rPr>
        <w:t xml:space="preserve">± </w:t>
      </w:r>
      <w:r>
        <w:rPr>
          <w:rStyle w:val="Hyperlink.1"/>
          <w:rtl w:val="0"/>
          <w:lang w:val="en-US"/>
        </w:rPr>
        <w:t xml:space="preserve">0.00 mg/L in the monsoon of 2024. Ammonia ranged from 0.02 </w:t>
      </w:r>
      <w:r>
        <w:rPr>
          <w:rStyle w:val="Hyperlink.1"/>
          <w:rtl w:val="0"/>
          <w:lang w:val="en-US"/>
        </w:rPr>
        <w:t xml:space="preserve">± </w:t>
      </w:r>
      <w:r>
        <w:rPr>
          <w:rStyle w:val="Hyperlink.1"/>
          <w:rtl w:val="0"/>
          <w:lang w:val="en-US"/>
        </w:rPr>
        <w:t xml:space="preserve">0.03 mg/L in monsoon 2024 to 1.27 </w:t>
      </w:r>
      <w:r>
        <w:rPr>
          <w:rStyle w:val="Hyperlink.1"/>
          <w:rtl w:val="0"/>
          <w:lang w:val="en-US"/>
        </w:rPr>
        <w:t xml:space="preserve">± </w:t>
      </w:r>
      <w:r>
        <w:rPr>
          <w:rStyle w:val="Hyperlink.1"/>
          <w:rtl w:val="0"/>
          <w:lang w:val="en-US"/>
        </w:rPr>
        <w:t xml:space="preserve">0.9 mg/L in winter 2026, suggesting increased organic matter decomposition in the later seasons. Phosphate was highest in summer 2024 (0.72 </w:t>
      </w:r>
      <w:r>
        <w:rPr>
          <w:rStyle w:val="Hyperlink.1"/>
          <w:rtl w:val="0"/>
          <w:lang w:val="en-US"/>
        </w:rPr>
        <w:t xml:space="preserve">± </w:t>
      </w:r>
      <w:r>
        <w:rPr>
          <w:rStyle w:val="Hyperlink.1"/>
          <w:rtl w:val="0"/>
          <w:lang w:val="en-US"/>
        </w:rPr>
        <w:t xml:space="preserve">0.57 mg/L) and lowest in summer 2025 (0.03 </w:t>
      </w:r>
      <w:r>
        <w:rPr>
          <w:rStyle w:val="Hyperlink.1"/>
          <w:rtl w:val="0"/>
          <w:lang w:val="en-US"/>
        </w:rPr>
        <w:t xml:space="preserve">± </w:t>
      </w:r>
      <w:r>
        <w:rPr>
          <w:rStyle w:val="Hyperlink.1"/>
          <w:rtl w:val="0"/>
          <w:lang w:val="en-US"/>
        </w:rPr>
        <w:t xml:space="preserve">0 mg/L), indicating nutrient enrichment during the dry periods. Dissolved oxygen varied from 0.07 </w:t>
      </w:r>
      <w:r>
        <w:rPr>
          <w:rStyle w:val="Hyperlink.1"/>
          <w:rtl w:val="0"/>
          <w:lang w:val="en-US"/>
        </w:rPr>
        <w:t xml:space="preserve">± </w:t>
      </w:r>
      <w:r>
        <w:rPr>
          <w:rStyle w:val="Hyperlink.1"/>
          <w:rtl w:val="0"/>
          <w:lang w:val="en-US"/>
        </w:rPr>
        <w:t xml:space="preserve">0.6 mg/L in monsoon 2025 and winter 2026 to 5.03 </w:t>
      </w:r>
      <w:r>
        <w:rPr>
          <w:rStyle w:val="Hyperlink.1"/>
          <w:rtl w:val="0"/>
          <w:lang w:val="en-US"/>
        </w:rPr>
        <w:t xml:space="preserve">± </w:t>
      </w:r>
      <w:r>
        <w:rPr>
          <w:rStyle w:val="Hyperlink.1"/>
          <w:rtl w:val="0"/>
          <w:lang w:val="en-US"/>
        </w:rPr>
        <w:t>2 mg/L in winter 2025, reflecting a seasonal decline during warmer and more biologically active periods. Overall, the results indicate that most ionic parameters increased during summer due to evapoconcentration</w:t>
      </w:r>
      <w:r>
        <w:rPr>
          <w:rStyle w:val="Hyperlink.1"/>
          <w:rtl w:val="0"/>
          <w:lang w:val="en-US"/>
        </w:rPr>
        <w:t xml:space="preserve">  </w:t>
      </w:r>
      <w:r>
        <w:rPr>
          <w:rStyle w:val="Hyperlink.1"/>
          <w:rtl w:val="0"/>
          <w:lang w:val="en-US"/>
        </w:rPr>
        <w:t>and decreased during monsoon due to dilution, whereas nutrient parameters showed more complex seasonal patterns driven by runoff and organic decomposition.</w:t>
      </w:r>
      <w:r>
        <w:rPr>
          <w:rStyle w:val="Hyperlink.1"/>
          <w:rtl w:val="0"/>
          <w:lang w:val="en-US"/>
        </w:rPr>
        <w:t> </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5381474" cy="2839423"/>
            <wp:effectExtent l="0" t="0" r="0" b="0"/>
            <wp:docPr id="1073741826" name="officeArt object" descr="image.jpeg"/>
            <wp:cNvGraphicFramePr/>
            <a:graphic xmlns:a="http://schemas.openxmlformats.org/drawingml/2006/main">
              <a:graphicData uri="http://schemas.openxmlformats.org/drawingml/2006/picture">
                <pic:pic xmlns:pic="http://schemas.openxmlformats.org/drawingml/2006/picture">
                  <pic:nvPicPr>
                    <pic:cNvPr id="1073741826" name="image.jpeg" descr="image.jpeg"/>
                    <pic:cNvPicPr>
                      <a:picLocks noChangeAspect="1"/>
                    </pic:cNvPicPr>
                  </pic:nvPicPr>
                  <pic:blipFill>
                    <a:blip r:embed="rId5">
                      <a:extLst/>
                    </a:blip>
                    <a:stretch>
                      <a:fillRect/>
                    </a:stretch>
                  </pic:blipFill>
                  <pic:spPr>
                    <a:xfrm>
                      <a:off x="0" y="0"/>
                      <a:ext cx="5381474" cy="2839423"/>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Figure 2. Seasonal variation in all physicochemical                                                           parameters of Sirpur Lake (Mean </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SD)</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3.2</w:t>
        <w:tab/>
        <w:t>Correlation heat map</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Pearson correlation matrix showed clear relationships among the water-quality parameters (Figure 3). Atmospheric temperature and surface temperature were positively correlated with each other 0.98, indicating that both variables changed together across the sampling periods. Electrical conductivity showed a very strong positive correlation with total dissolved solids (TDS) 1.00, and both were also positively related to total hardness, total alkalinity, chloride, calcium, nitrite, and phosphate. This analysis suggests that these parameters were controlled by a common mineral enrichment pattern in the water.</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pH showed negative correlations with total hardness, total alkalinity, chloride, calcium, nitrite, nitrate, ammonia, and phosphate. The strongest negative relationship was observed between pH and ammonia (r = -0.94), indicating that higher ammonia values were associated with lower pH. Dissolved oxygen showed positive associations with pH (r = 0.63), phosphate (r = 0.47), and total alkalinity (r = 0.31), but negative relationships with nitrate                 (r = -0.47) and ammonia (r = </w:t>
      </w:r>
      <w:r>
        <w:rPr>
          <w:rStyle w:val="Hyperlink.1"/>
          <w:rtl w:val="0"/>
          <w:lang w:val="en-US"/>
        </w:rPr>
        <w:t>–</w:t>
      </w:r>
      <w:r>
        <w:rPr>
          <w:rStyle w:val="Hyperlink.1"/>
          <w:rtl w:val="0"/>
          <w:lang w:val="en-US"/>
        </w:rPr>
        <w:t>0.65). This indicates showed oxygen levels decreased when nutrient enrichment increased, especially under ammonia rich conditions. Temperature variables were negatively correlated with nitrate (r = -0.84 to -0.86), showing that nitrate concentration was higher during winter periods showing (Figure 3). Overall, the correlation matrix indicates that the water quality was mainly influenced by temperature, mineral concentration, and nutrient loading, with strong interdependence among conductivity, TDS, hardness, alkalinity, chloride, calcium, and nitrite.</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sz w:val="24"/>
          <w:szCs w:val="24"/>
        </w:rPr>
        <w:drawing xmlns:a="http://schemas.openxmlformats.org/drawingml/2006/main">
          <wp:anchor distT="0" distB="0" distL="0" distR="0" simplePos="0" relativeHeight="251660288" behindDoc="0" locked="0" layoutInCell="1" allowOverlap="1">
            <wp:simplePos x="0" y="0"/>
            <wp:positionH relativeFrom="column">
              <wp:posOffset>814069</wp:posOffset>
            </wp:positionH>
            <wp:positionV relativeFrom="line">
              <wp:posOffset>0</wp:posOffset>
            </wp:positionV>
            <wp:extent cx="4165600" cy="3348355"/>
            <wp:effectExtent l="0" t="0" r="0" b="0"/>
            <wp:wrapNone/>
            <wp:docPr id="1073741827" name="officeArt object" descr="image.jpeg"/>
            <wp:cNvGraphicFramePr/>
            <a:graphic xmlns:a="http://schemas.openxmlformats.org/drawingml/2006/main">
              <a:graphicData uri="http://schemas.openxmlformats.org/drawingml/2006/picture">
                <pic:pic xmlns:pic="http://schemas.openxmlformats.org/drawingml/2006/picture">
                  <pic:nvPicPr>
                    <pic:cNvPr id="1073741827" name="image.jpeg" descr="image.jpeg"/>
                    <pic:cNvPicPr>
                      <a:picLocks noChangeAspect="1"/>
                    </pic:cNvPicPr>
                  </pic:nvPicPr>
                  <pic:blipFill>
                    <a:blip r:embed="rId6">
                      <a:extLst/>
                    </a:blip>
                    <a:stretch>
                      <a:fillRect/>
                    </a:stretch>
                  </pic:blipFill>
                  <pic:spPr>
                    <a:xfrm>
                      <a:off x="0" y="0"/>
                      <a:ext cx="4165600" cy="3348355"/>
                    </a:xfrm>
                    <a:prstGeom prst="rect">
                      <a:avLst/>
                    </a:prstGeom>
                    <a:ln w="12700" cap="flat">
                      <a:noFill/>
                      <a:miter lim="400000"/>
                    </a:ln>
                    <a:effectLst/>
                  </pic:spPr>
                </pic:pic>
              </a:graphicData>
            </a:graphic>
          </wp:anchor>
        </w:drawing>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 3. Pearson correlation heat map showing inter                                                            relationships among water quality parameters.</w:t>
      </w:r>
    </w:p>
    <w:p>
      <w:pPr>
        <w:pStyle w:val="Normal.0"/>
        <w:spacing w:after="0" w:line="360" w:lineRule="auto"/>
        <w:jc w:val="both"/>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3.3</w:t>
        <w:tab/>
        <w:t>PCA</w:t>
      </w:r>
    </w:p>
    <w:p>
      <w:pPr>
        <w:pStyle w:val="Normal.0"/>
        <w:spacing w:after="0" w:line="360" w:lineRule="auto"/>
        <w:ind w:firstLine="540"/>
        <w:jc w:val="both"/>
        <w:rPr>
          <w:rStyle w:val="None"/>
          <w:rFonts w:ascii="Times New Roman" w:cs="Times New Roman" w:hAnsi="Times New Roman" w:eastAsia="Times New Roman"/>
          <w:kern w:val="0"/>
          <w:sz w:val="24"/>
          <w:szCs w:val="24"/>
        </w:rPr>
      </w:pPr>
      <w:r>
        <w:rPr>
          <w:rStyle w:val="Hyperlink.1"/>
          <w:rtl w:val="0"/>
          <w:lang w:val="en-US"/>
        </w:rPr>
        <w:t>Principal component analysis (PCA) showed that first two components explained a major part of total variance, indicated that seasonal variations in water quality were driven by a few</w:t>
      </w:r>
      <w:r>
        <w:rPr>
          <w:rStyle w:val="Hyperlink.1"/>
          <w:rtl w:val="0"/>
          <w:lang w:val="en-US"/>
        </w:rPr>
        <w:t> </w:t>
      </w:r>
      <w:r>
        <w:rPr>
          <w:rStyle w:val="Hyperlink.1"/>
          <w:rtl w:val="0"/>
          <w:lang w:val="en-US"/>
        </w:rPr>
        <w:t>major factors. The dominant process during the summer season was ionic enrichment and concentration due to evaporation since the variables related to PC1 were mostly mineral concentration variables such as electrical conductivity, total dissolved solids, total hardness, calcium, and chloride. PC2 was more connected to nutrient and dissolved oxygen dynamics, with dissolved oxygen loading in the opposite direction of nitrate, nitrite, ammonia, and phosphate, indicating a change towards nutrient enrichment and oxygen depletion across seasons.</w:t>
      </w:r>
    </w:p>
    <w:p>
      <w:pPr>
        <w:pStyle w:val="Normal.0"/>
        <w:spacing w:after="0" w:line="360" w:lineRule="auto"/>
        <w:ind w:firstLine="540"/>
        <w:jc w:val="both"/>
        <w:rPr>
          <w:rStyle w:val="None"/>
          <w:rFonts w:ascii="Times New Roman" w:cs="Times New Roman" w:hAnsi="Times New Roman" w:eastAsia="Times New Roman"/>
          <w:kern w:val="0"/>
          <w:sz w:val="24"/>
          <w:szCs w:val="24"/>
        </w:rPr>
      </w:pPr>
      <w:r>
        <w:rPr>
          <w:rStyle w:val="Hyperlink.1"/>
          <w:rtl w:val="0"/>
          <w:lang w:val="en-US"/>
        </w:rPr>
        <w:t>The PCA score plot (Figure 4) demonstrated the separation of six seasonal samples based on the physicochemical features, confirmed clear seasonal clustering in the water quality of Sirpur Lake. Summer samples were positioned near the mineral loading endpoint of the ordination, while monsoon and winter samples were more influenced by variance linked to nutrients and oxygen. The PCA results revealed that seasonal fluctuation in Sirpur Lake was driven by the combined effect of thermal concentration, mineral enrichment, and nutrient-oxygen stress, which collectively controlled the ecological condition of the lake.</w:t>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Hyperlink.1"/>
          <w:rFonts w:ascii="Times New Roman" w:cs="Times New Roman" w:hAnsi="Times New Roman" w:eastAsia="Times New Roman"/>
          <w:outline w:val="0"/>
          <w:color w:val="000000"/>
          <w:kern w:val="0"/>
          <w:sz w:val="24"/>
          <w:szCs w:val="24"/>
          <w:u w:color="000000"/>
          <w14:textFill>
            <w14:solidFill>
              <w14:srgbClr w14:val="000000"/>
            </w14:solidFill>
          </w14:textFill>
        </w:rPr>
        <w:drawing xmlns:a="http://schemas.openxmlformats.org/drawingml/2006/main">
          <wp:inline distT="0" distB="0" distL="0" distR="0">
            <wp:extent cx="5727573" cy="3725623"/>
            <wp:effectExtent l="0" t="0" r="0" b="0"/>
            <wp:docPr id="1073741828" name="officeArt object" descr="image.png"/>
            <wp:cNvGraphicFramePr/>
            <a:graphic xmlns:a="http://schemas.openxmlformats.org/drawingml/2006/main">
              <a:graphicData uri="http://schemas.openxmlformats.org/drawingml/2006/picture">
                <pic:pic xmlns:pic="http://schemas.openxmlformats.org/drawingml/2006/picture">
                  <pic:nvPicPr>
                    <pic:cNvPr id="1073741828" name="image.png" descr="image.png"/>
                    <pic:cNvPicPr>
                      <a:picLocks noChangeAspect="1"/>
                    </pic:cNvPicPr>
                  </pic:nvPicPr>
                  <pic:blipFill>
                    <a:blip r:embed="rId7">
                      <a:extLst/>
                    </a:blip>
                    <a:stretch>
                      <a:fillRect/>
                    </a:stretch>
                  </pic:blipFill>
                  <pic:spPr>
                    <a:xfrm>
                      <a:off x="0" y="0"/>
                      <a:ext cx="5727573" cy="3725623"/>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 4. Principal component analysis (PCA) plot showing                                                            the water quality parameters of Sirpur Lake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w:t>
        <w:tab/>
        <w:t>DISCUSSION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4.1</w:t>
        <w:tab/>
        <w:t>Seasonal variation in water quality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Monitoring and assessing seasonal changes in water quality is essential for protecting and sustainably managing freshwater ecosystems such as Sirpur Lake. Seasonal variation influences both the physical environment and the intensity of anthropogenic activities, and these, in turn, control the distribution of physico</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chemical parameters and nutrient concentrations in the lake (Alkhadher et al., 2025). Similar monitoring programmes have been widely used in lakes and reservoirs around the world, where temperature, ionic composition, and nutrients are routinely measured to evaluate ecological status and pollution pressure (Bhateria and Jain, 2016; Merga et al., 2020).</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the present study, clear but moderate seasonal changes in physicochemical variables were observed across the different sampling periods. As reported by (Varikoden et al., 2012) atmospheric and surface water temperatures showed the higher variation, with higher values during summer and lower values during monsoon. Temperature is a key environmental driver that affects the physiology of aquatic organisms and regulates both chemical reaction rates and biological processes in water. Similar seasonal temperature ranges have been reported for other tropical and subtropical lakes, where summer heating and winter cooling produced distinct thermal regimes. The slightly higher temperatures in some summer periods at Sirpur Lake may reflect reduced mixing and lower water exchange in shallow zones, leading to localized warming (Su et al., 2025).</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During the survey period of Sirpur Lake, although its pH value was slightly alkaline, it remained within the optimal range for phytoplankton production (Sohani, 2022). Seasonal variation in pH was minimal, but the pH increased during periods of high temperatures, this is due to greater photosynthetic activity by phytoplankton and macroalgae, leading to increased uptake of carbon dioxide and rise in pH.</w:t>
      </w:r>
      <w:r>
        <w:rPr>
          <w:rStyle w:val="Hyperlink.1"/>
          <w:rtl w:val="0"/>
          <w:lang w:val="en-US"/>
        </w:rPr>
        <w:t xml:space="preserve">  </w:t>
      </w:r>
      <w:r>
        <w:rPr>
          <w:rStyle w:val="Hyperlink.1"/>
          <w:rtl w:val="0"/>
          <w:lang w:val="en-US"/>
        </w:rPr>
        <w:t>In winter, lower pH values are linked to increased decomposition of organic matter and microbial respiration, process during which carbon dioxide is released back into the water column. Previous related studies conducted in lakes have reported similar values; pH is regulated by the balance between photosynthesis, respiration, and organic and inorganic pollutants (Umwali et al., 2021).</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Parameters of electrical conductivity, total dissolved solids, hardness, alkalinity, chloride, and calcium exhibit significant seasonal behaviour. The elevated values recoded during the summer season suggest evaporation and reduced water volume, leading to a higher concentration of dissolved ions. In contract, during the monsoon season, rainfall and groundwater runoff dilute these ions, resulting in lower concentrations (Gurumurthy et al., 2015; Akhtar and Equeenuddin, 2023). This seasonal cycle of concentration dilution cycle of concentration and dilution is well documented in lakes influenced by strong monsoon influences. Typically, salt and mineral content rise during the summer season due to evaporation, whereas the influx of water during the monsoon decreases ionic content (Paudel et al., 2024). In Sirpur Lake, the strong positive correlations among conductivity, TDS, hardness, alkalinity, chloride, and calcium indicating that these variables are controlled by a common geochemical and anthropogenic source. These sources include weathered groundwater runoff, domestic discharge, and contribution from surrounding land use (Anyanwu et al., 2021).</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Dissolved oxygen (DO) is important parameters of water quality under specific temporal conditions. DO levels are generally within the optimal range for aquatic life, but declines have been observed during summer season and in association with high concentration nutrient and minerals (Davis, 1975; Huggins &amp; Anderson, 2005). The negative relationship between temperature and DO can be explained reduced solubility of oxygen in warmer water and the increased biological demand of oxygen in the sediment in nutrient rich environments (Roman et al., 2019). Similar patterns have been noted other lakes , especially in areas with high organic matter or nutrient loads with reduced DO during the summer seasons, as reported in previous study (Watkar&amp;Bobdey, 2014; Luo et al., 2026). The slight increases in DO during winter seasons linked to improved vertical mixing and higher phytoplankton activity, which can temporarily enhance oxygen levels in surface waters (Xu et al., 2010). Nitrite, nitrate, ammonia, and phosphate level show seasonal variation, which reflects both internal cycling of the aquatic biogeochemical system and external anthropogenic sources (Unwali et al., 2021; Biedunkova et al., 2026). In creation seasons</w:t>
      </w:r>
      <w:r>
        <w:rPr>
          <w:rStyle w:val="Hyperlink.1"/>
          <w:rtl w:val="0"/>
          <w:lang w:val="en-US"/>
        </w:rPr>
        <w:t xml:space="preserve">  </w:t>
      </w:r>
      <w:r>
        <w:rPr>
          <w:rStyle w:val="Hyperlink.1"/>
          <w:rtl w:val="0"/>
          <w:lang w:val="en-US"/>
        </w:rPr>
        <w:t>increases in nutrient concentration are shown to be affected by wastewater discharges, agricultural runoff, and other land surface activities around the lake, this has also been</w:t>
      </w:r>
      <w:r>
        <w:rPr>
          <w:rStyle w:val="Hyperlink.1"/>
          <w:rtl w:val="0"/>
          <w:lang w:val="en-US"/>
        </w:rPr>
        <w:t xml:space="preserve">  </w:t>
      </w:r>
      <w:r>
        <w:rPr>
          <w:rStyle w:val="Hyperlink.1"/>
          <w:rtl w:val="0"/>
          <w:lang w:val="en-US"/>
        </w:rPr>
        <w:t>reported in other systems, where human activity raised nutrient levels and altered nutrient status. Significant changes indicate that Sirpur Lake is impacted by seasonal nutrient inflow.</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Beyond seasonal fluetuation, the present study reveals notable interannual differences that are critical understanding water quality long-term pattern.</w:t>
      </w:r>
      <w:r>
        <w:rPr>
          <w:rStyle w:val="Hyperlink.1"/>
          <w:rtl w:val="0"/>
          <w:lang w:val="en-US"/>
        </w:rPr>
        <w:t xml:space="preserve">  </w:t>
      </w:r>
      <w:r>
        <w:rPr>
          <w:rStyle w:val="Hyperlink.1"/>
          <w:rtl w:val="0"/>
          <w:lang w:val="en-US"/>
        </w:rPr>
        <w:t>Summer 2024 registered higher TDS (360 mg/L), hardness (437.5 mg/L), and calcium (256.3 mg/L) compared to summer 2025, suggesting a more intense evapoconcentration phase monsoon recharge in the preceding year. Conversely, winter 2026 exhibited substantially higher ammonia (1.27 mg/L) and lower DO (0.0775 mg/L) relative to winter 2025 (ammonia 0.025 mg/L; DO5.03 mg/L), indicating a progressive organic enrichment and possible onset of anoxic conditions in the latter year. These inter-annuals shifts underscore the limitation of single year assessment and highlight the value of continued monitoring to distinguish climate-driven variability form anthropogenic degradation trends.</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4.2</w:t>
        <w:tab/>
        <w:t>Correlation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correlation analysis calculate at Sirpur Lake reveals that various physico-chemical parameters are closely interrelated, indicating that combined sources and processes control water quality. The strong positive relationship between electrical conductivity, total dissolved solids,</w:t>
      </w:r>
      <w:r>
        <w:rPr>
          <w:rStyle w:val="Hyperlink.1"/>
          <w:rtl w:val="0"/>
          <w:lang w:val="en-US"/>
        </w:rPr>
        <w:t xml:space="preserve">  </w:t>
      </w:r>
      <w:r>
        <w:rPr>
          <w:rStyle w:val="Hyperlink.1"/>
          <w:rtl w:val="0"/>
          <w:lang w:val="en-US"/>
        </w:rPr>
        <w:t>hardness, alkalinity, chloride, calcium, nitrite and phosphate show that these parameters increase and decrease together, and are collectively influenced by hydrological processes, mineral inputs and nutrient loading</w:t>
      </w:r>
      <w:r>
        <w:rPr>
          <w:rStyle w:val="Hyperlink.1"/>
          <w:rtl w:val="0"/>
          <w:lang w:val="en-US"/>
        </w:rPr>
        <w:t xml:space="preserve">  </w:t>
      </w:r>
      <w:r>
        <w:rPr>
          <w:rStyle w:val="Hyperlink.1"/>
          <w:rtl w:val="0"/>
          <w:lang w:val="en-US"/>
        </w:rPr>
        <w:t>resulting from surface runoff, as well as the associated mineral concentration nutrient load (Oyeboade and Olagoke-Komolafe, 2023). Dissolved oxygen levels showed a negative correlations with key nutrient and temperature (particularly nitrate and ammonia), indicating that in environments where nutrient levels increase and thermal stress, occurs, oxygen levels may decrease (Ristea et al., 2025). This trend aligns with the reduced dissolved oxygen in warm environments with high biological oxygen demand and an elevated nutrient concentration, under such conditions, the rick of oxygen deficiency and accelerates eutrophication increases (Wahid and Arunbabu, 2025). The pH value showed negative relationship with the concentrations of various nutrients and minerals as well as with temperature, but a positive relationship with dissolved oxygen. This indicate that high particulate organic matter content and good dissolved oxygen status are associated with moderate nutrient concentrations; but when the pH value decreases, biological decay and enrichment of nutrients often occur together.</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Observed patterns here are similar to those reported for many other lakes and ponds in India. For example in Hub Lake, Mysuru, electrical conductivity, chloride, calcium and biological oxygen demand were strongly positively correlated, suggesting that both mineral dissolution and the inflow of organic matter work together to degrade water quality (Mary et al., 2026). Likewise, studies on Dharapadavedu Lake in Tamil Nadu and Govindgarh Lake in central India found strong positive relationships among conductivity, alkalinity, hardness, phosphate, calcium and magnesium, with negative correlations for chloride, ammonia and nitrite. Taken together, these results suggest that ions and nutrients tend to behave as a connected system, responding jointly to pollution inputs and changes in hydro climatic conditions (Shipra Mishra and Singh, 2023; Mishra and Shukla, 2017). Overall, this body of evidence points to the need to better control nutrient and pollutant inputs from the surrounding area and shows that closely linked parameters such as electrical conductivity, TDS, hardness, nutrient, and dissolved oxygen can serve as early warning signals of environmental stress and declining stability in Sirpur Lake.</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4.3</w:t>
        <w:tab/>
        <w:t>Principal component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Principal component analysis (PCA) clearly shows which seasonal factors mainly drive changes in water quality in Sirpur Lake (Figure 4). The first component is mainly influenced by electrical conductivity, total dissolved solids, hardness, alkalinity, chloride, calcium, and phosphate, while dissolved oxygen and pH load in the opposite direction (Rahimi et al., 2023; Daniels et al., 2026). This means PC1 reflects a mineral and nutrient enrichment gradient, where more concentrated summer conditions are linked to lower oxygen and slightly lower pH (Li et al., 2025). The PC2 is more related to temperature, dissolved oxygen, and different forms of nitrogen, forming a temperature-oxygen-nutrient axis that winter, well oxygenated seasons from summer, more nutrient rich periods (Prajapati &amp; Patel., 2026). These finding are similar with previous PCA based studied Indian wetlands (Dalakoti et al., 2018; Debnath et al., 2023; Rajora&amp; Sarma, 2024),which identified ionic variables and nutrients concentration as the principal hydrochemical drivers and clearly separated seasons based on evaporation, rainfall, and inputs from the catchment. Similarly, in Sirpur Lake, PCA revealed that nutrient dynamics, ionic composition, and interactions between temperature and oxygen are the main factors regulating seasonal water quality. These results support the importance of these environmental gradients.</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Hyperlink.1"/>
          <w:rtl w:val="0"/>
          <w:lang w:val="en-US"/>
        </w:rPr>
        <w:t>Sirpur Lake shows a clear seasonal change in water quality. Higher temperature, conductivity, dissolved solids, hardness and chloride during summer are due to evaporation driven concentration. Monsoon is characterized by dilution and reduced ionic strength. Winter 2026, however, showed signs of stress with elevated ammonia and critically low dissolved oxygen, diverging from the more stable winter 2025 condition.</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Significant correlations between mineral and nutrient parameters, in addition to inverse correlations between dissolved oxygen and nutrient, and PCA findings, suggest that nutrient loading, ionic composition and oxygen dynamics are the main drivers of these changes. Therefore, effective management should focus on regulating sewage and agricultural runoff, safeguarding wetland vegetation and conducting regular seasonal monitoring to avoid eutrophication and maintain the ecological health of Sirpur Lake.</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ACKNOWLEDGEMENTS</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The authors are grateful to all the authors for their valuable support and contributions towards conducting this study.</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FUNDING</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The authors declare that no funds, grants, or other financial support were received during the preparation of this manuscript.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DATA AVAILABILITY STATEMENT</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The data supporting the findings of this study are available from the corresponding author upon reasonable request.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CONFLICT OF INTEREST</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The authors declare that there is no conflict of interest.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br w:type="textWrapping"/>
        <w:br w:type="textWrapping"/>
        <w:br w:type="textWrapping"/>
        <w:br w:type="textWrapping"/>
        <w:br w:type="textWrapping"/>
        <w:br w:type="textWrapping"/>
      </w: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br w:type="textWrapp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1. Seasonal variation in the (mean </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SD) values of water quality                                  parameters in Sirpur Lake during 2024-2026.</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0"/>
        <w:gridCol w:w="810"/>
        <w:gridCol w:w="810"/>
        <w:gridCol w:w="900"/>
        <w:gridCol w:w="900"/>
        <w:gridCol w:w="794"/>
        <w:gridCol w:w="736"/>
        <w:gridCol w:w="803"/>
        <w:gridCol w:w="810"/>
        <w:gridCol w:w="810"/>
        <w:gridCol w:w="810"/>
        <w:gridCol w:w="727"/>
        <w:gridCol w:w="720"/>
      </w:tblGrid>
      <w:tr>
        <w:tblPrEx>
          <w:shd w:val="clear" w:color="auto" w:fill="ced7e7"/>
        </w:tblPrEx>
        <w:trPr>
          <w:trHeight w:val="1092" w:hRule="atLeast"/>
        </w:trPr>
        <w:tc>
          <w:tcPr>
            <w:tcW w:type="dxa" w:w="117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Summer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2024</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Summer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2024</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 xml:space="preserve">Monsoon </w:t>
            </w:r>
            <w:r>
              <w:rPr>
                <w:rStyle w:val="None"/>
                <w:rFonts w:ascii="Times New Roman" w:hAnsi="Times New Roman" w:hint="default"/>
                <w:b w:val="1"/>
                <w:bCs w:val="1"/>
                <w:spacing w:val="-20"/>
                <w:kern w:val="0"/>
                <w:sz w:val="18"/>
                <w:szCs w:val="18"/>
                <w:shd w:val="nil" w:color="auto" w:fill="auto"/>
                <w:rtl w:val="0"/>
                <w:lang w:val="en-US"/>
              </w:rPr>
              <w:t> </w:t>
            </w:r>
            <w:r>
              <w:rPr>
                <w:rStyle w:val="None"/>
                <w:rFonts w:ascii="Times New Roman" w:hAnsi="Times New Roman"/>
                <w:b w:val="1"/>
                <w:bCs w:val="1"/>
                <w:spacing w:val="-20"/>
                <w:kern w:val="0"/>
                <w:sz w:val="18"/>
                <w:szCs w:val="18"/>
                <w:shd w:val="nil" w:color="auto" w:fill="auto"/>
                <w:rtl w:val="0"/>
                <w:lang w:val="en-US"/>
              </w:rPr>
              <w:t>2024</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 xml:space="preserve">Monsoon </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Winter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Winter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2025</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Summer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Summer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Monsoon</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Monsoon</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2025</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Winter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2026</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Winter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2026</w:t>
            </w:r>
          </w:p>
        </w:tc>
      </w:tr>
      <w:tr>
        <w:tblPrEx>
          <w:shd w:val="clear" w:color="auto" w:fill="ced7e7"/>
        </w:tblPrEx>
        <w:trPr>
          <w:trHeight w:val="215" w:hRule="atLeast"/>
        </w:trPr>
        <w:tc>
          <w:tcPr>
            <w:tcW w:type="dxa" w:w="117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Mean</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SD</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Mean</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SD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Mean</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SD</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Mean</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SD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Mean</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SD</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Mean</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SD</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Atmospheric temperature (</w:t>
            </w:r>
            <w:r>
              <w:rPr>
                <w:rStyle w:val="None"/>
                <w:rFonts w:ascii="Times New Roman" w:hAnsi="Times New Roman" w:hint="default"/>
                <w:kern w:val="0"/>
                <w:sz w:val="18"/>
                <w:szCs w:val="18"/>
                <w:shd w:val="nil" w:color="auto" w:fill="auto"/>
                <w:rtl w:val="0"/>
                <w:lang w:val="en-US"/>
              </w:rPr>
              <w:t>°</w:t>
            </w:r>
            <w:r>
              <w:rPr>
                <w:rStyle w:val="None"/>
                <w:rFonts w:ascii="Times New Roman" w:hAnsi="Times New Roman"/>
                <w:kern w:val="0"/>
                <w:sz w:val="18"/>
                <w:szCs w:val="18"/>
                <w:shd w:val="nil" w:color="auto" w:fill="auto"/>
                <w:rtl w:val="0"/>
                <w:lang w:val="en-US"/>
              </w:rPr>
              <w:t>C)</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25.95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0.988</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20.7</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2.12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28.55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30.85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2.9</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25.63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0.4</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23.343</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4.4</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Surface temperature (</w:t>
            </w:r>
            <w:r>
              <w:rPr>
                <w:rStyle w:val="None"/>
                <w:rFonts w:ascii="Times New Roman" w:hAnsi="Times New Roman" w:hint="default"/>
                <w:kern w:val="0"/>
                <w:sz w:val="18"/>
                <w:szCs w:val="18"/>
                <w:shd w:val="nil" w:color="auto" w:fill="auto"/>
                <w:rtl w:val="0"/>
                <w:lang w:val="en-US"/>
              </w:rPr>
              <w:t>°</w:t>
            </w:r>
            <w:r>
              <w:rPr>
                <w:rStyle w:val="None"/>
                <w:rFonts w:ascii="Times New Roman" w:hAnsi="Times New Roman"/>
                <w:kern w:val="0"/>
                <w:sz w:val="18"/>
                <w:szCs w:val="18"/>
                <w:shd w:val="nil" w:color="auto" w:fill="auto"/>
                <w:rtl w:val="0"/>
                <w:lang w:val="en-US"/>
              </w:rPr>
              <w:t>C)</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25.15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0.87</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18.65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1.08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27.55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28.45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3.4</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24.53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0.8</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20.655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w:t>
            </w:r>
          </w:p>
        </w:tc>
      </w:tr>
      <w:tr>
        <w:tblPrEx>
          <w:shd w:val="clear" w:color="auto" w:fill="ced7e7"/>
        </w:tblPrEx>
        <w:trPr>
          <w:trHeight w:val="215"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pH</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8.21</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0.249</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8.4075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8.4975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8.385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0.4</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8.358</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8.1625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Electrical conductivity (</w:t>
            </w:r>
            <w:r>
              <w:rPr>
                <w:rStyle w:val="None"/>
                <w:rFonts w:ascii="Times New Roman" w:hAnsi="Times New Roman" w:hint="default"/>
                <w:kern w:val="0"/>
                <w:sz w:val="18"/>
                <w:szCs w:val="18"/>
                <w:shd w:val="nil" w:color="auto" w:fill="auto"/>
                <w:rtl w:val="0"/>
                <w:lang w:val="en-US"/>
              </w:rPr>
              <w:t>µ</w:t>
            </w:r>
            <w:r>
              <w:rPr>
                <w:rStyle w:val="None"/>
                <w:rFonts w:ascii="Times New Roman" w:hAnsi="Times New Roman"/>
                <w:kern w:val="0"/>
                <w:sz w:val="18"/>
                <w:szCs w:val="18"/>
                <w:shd w:val="nil" w:color="auto" w:fill="auto"/>
                <w:rtl w:val="0"/>
                <w:lang w:val="en-US"/>
              </w:rPr>
              <w:t>m/cm)</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0.725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0.203</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0.5025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0.5575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0.6225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0.508</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0.545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Total dissolved solids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360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108.7</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249.25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17.3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276.25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11</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303.25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49</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253.3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22</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273.08</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5.9</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Total Hardness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437.5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116.4</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256.25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12.5</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262.5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52</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212.5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181.3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13</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281.25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43</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Total alkalinity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243.75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87.5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212.5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32.3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200</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20</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206.25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38</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193.8</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43</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193.75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47</w:t>
            </w:r>
          </w:p>
        </w:tc>
      </w:tr>
      <w:tr>
        <w:tblPrEx>
          <w:shd w:val="clear" w:color="auto" w:fill="ced7e7"/>
        </w:tblPrEx>
        <w:trPr>
          <w:trHeight w:val="4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Chloride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124</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25.1</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92.95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8.7</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101.918</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30</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128.538</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84.22</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8.9</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75.353</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8.9</w:t>
            </w:r>
          </w:p>
        </w:tc>
      </w:tr>
      <w:tr>
        <w:tblPrEx>
          <w:shd w:val="clear" w:color="auto" w:fill="ced7e7"/>
        </w:tblPrEx>
        <w:trPr>
          <w:trHeight w:val="4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Calcium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256.25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112.5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12.6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187.5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14</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150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46</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131.3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38</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137.5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14</w:t>
            </w:r>
          </w:p>
        </w:tc>
      </w:tr>
      <w:tr>
        <w:tblPrEx>
          <w:shd w:val="clear" w:color="auto" w:fill="ced7e7"/>
        </w:tblPrEx>
        <w:trPr>
          <w:trHeight w:val="4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Nitrite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0.94608</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0.742</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0.049</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0.0175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0.6775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0.9</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0.11</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0.0125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r>
      <w:tr>
        <w:tblPrEx>
          <w:shd w:val="clear" w:color="auto" w:fill="ced7e7"/>
        </w:tblPrEx>
        <w:trPr>
          <w:trHeight w:val="4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Nitrate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4.761</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10</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0.035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1.9</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7.5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2.9</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8.88</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12</w:t>
            </w:r>
          </w:p>
        </w:tc>
      </w:tr>
      <w:tr>
        <w:tblPrEx>
          <w:shd w:val="clear" w:color="auto" w:fill="ced7e7"/>
        </w:tblPrEx>
        <w:trPr>
          <w:trHeight w:val="4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Ammonia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0.68625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1.17</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0.0225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0.025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0.19825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0.366</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0.3</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1.275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0.9</w:t>
            </w:r>
          </w:p>
        </w:tc>
      </w:tr>
      <w:tr>
        <w:tblPrEx>
          <w:shd w:val="clear" w:color="auto" w:fill="ced7e7"/>
        </w:tblPrEx>
        <w:trPr>
          <w:trHeight w:val="4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Phosphate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0.72675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0.578</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0.462</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0.13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0.278</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0.0306</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0.061</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0.1</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0.225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0.1</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Dissolved Oxygen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2.9</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1.977</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3.925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5.035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1.8825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0.775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0.7</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0.775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0.6</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Adhya, T. and Banerjee, S., 2022</w:t>
      </w:r>
      <w:r>
        <w:rPr>
          <w:rStyle w:val="Hyperlink.1"/>
          <w:rtl w:val="0"/>
          <w:lang w:val="en-US"/>
        </w:rPr>
        <w:t xml:space="preserve">. Impact of wetland development and degradation on the livelihoods of wetland-dependent communities: a case study from the lower gangetic floodplains.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Wetlands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42</w:t>
      </w:r>
      <w:r>
        <w:rPr>
          <w:rStyle w:val="Hyperlink.1"/>
          <w:rtl w:val="0"/>
          <w:lang w:val="en-US"/>
        </w:rPr>
        <w:t>(7), p.65.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Adu-Manu, K.S., Tapparello, C., Heinzelman, W., Katsriku, F.A. and Abdulai, J.D., 2017.</w:t>
      </w:r>
      <w:r>
        <w:rPr>
          <w:rStyle w:val="Hyperlink.1"/>
          <w:rtl w:val="0"/>
          <w:lang w:val="en-US"/>
        </w:rPr>
        <w:t xml:space="preserve"> Water quality monitoring using wireless sensor networks: Current trends and future research directions.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ACM Transactions on Sensor Networks (TOSN)</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13</w:t>
      </w:r>
      <w:r>
        <w:rPr>
          <w:rStyle w:val="Hyperlink.1"/>
          <w:rtl w:val="0"/>
          <w:lang w:val="en-US"/>
        </w:rPr>
        <w:t>(1), pp.1-41.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Akhtar, S. and Equeenuddin, S.M., 2023.</w:t>
      </w:r>
      <w:r>
        <w:rPr>
          <w:rStyle w:val="Hyperlink.1"/>
          <w:rtl w:val="0"/>
          <w:lang w:val="en-US"/>
        </w:rPr>
        <w:t xml:space="preserve"> Spatio-temporal variation of major ion chemistry and nutrient stoichiometry in a tropical monsoonal estuary: insight into biogeochemical processes.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Environmental Earth Sciences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82</w:t>
      </w:r>
      <w:r>
        <w:rPr>
          <w:rStyle w:val="Hyperlink.1"/>
          <w:rtl w:val="0"/>
          <w:lang w:val="en-US"/>
        </w:rPr>
        <w:t>(1), p.48.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Alkhadher, S.A.A., Sidek, L.M., Khan, M.S.J., Al-Habshi, M.M.A. and Kurniawan, T.A.,</w:t>
      </w:r>
      <w:r>
        <w:rPr>
          <w:rStyle w:val="Hyperlink.1"/>
          <w:rtl w:val="0"/>
          <w:lang w:val="en-US"/>
        </w:rPr>
        <w:t xml:space="preserve"> </w:t>
      </w:r>
      <w:r>
        <w:rPr>
          <w:rStyle w:val="None"/>
          <w:rFonts w:ascii="Times New Roman" w:hAnsi="Times New Roman"/>
          <w:b w:val="1"/>
          <w:bCs w:val="1"/>
          <w:kern w:val="0"/>
          <w:sz w:val="24"/>
          <w:szCs w:val="24"/>
          <w:rtl w:val="0"/>
          <w:lang w:val="en-US"/>
        </w:rPr>
        <w:t>2025.</w:t>
      </w:r>
      <w:r>
        <w:rPr>
          <w:rStyle w:val="Hyperlink.1"/>
          <w:rtl w:val="0"/>
          <w:lang w:val="en-US"/>
        </w:rPr>
        <w:t xml:space="preserve"> Seasonal variations in water quality and hydrological dynamics in a tropical reservoir driven by rainfall, runoff, and anthropogenic activities.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Scientific Reports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15</w:t>
      </w:r>
      <w:r>
        <w:rPr>
          <w:rStyle w:val="Hyperlink.1"/>
          <w:rtl w:val="0"/>
          <w:lang w:val="en-US"/>
        </w:rPr>
        <w:t xml:space="preserve">(1), p.35589.American Public Health Association (APHA). (2017).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Standard Methods for the Examination of Water and Wastewater</w:t>
      </w:r>
      <w:r>
        <w:rPr>
          <w:rStyle w:val="Hyperlink.1"/>
          <w:rtl w:val="0"/>
          <w:lang w:val="en-US"/>
        </w:rPr>
        <w:t xml:space="preserve"> (23rd ed.). Washington, DC.</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Anyanwu, I.N., Ezema, C.A., Ebi, S., Nwajiuba, C.A., Nworie, O. and Anorue, C.O., 2021. </w:t>
      </w:r>
      <w:r>
        <w:rPr>
          <w:rStyle w:val="Hyperlink.1"/>
          <w:rtl w:val="0"/>
          <w:lang w:val="en-US"/>
        </w:rPr>
        <w:t xml:space="preserve">Seasonal variation in water quality, plankton diversity and microbial load of tropical freshwater lakes in Nigeria.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African Journal of Aquatic Science</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46</w:t>
      </w:r>
      <w:r>
        <w:rPr>
          <w:rStyle w:val="Hyperlink.1"/>
          <w:rtl w:val="0"/>
          <w:lang w:val="en-US"/>
        </w:rPr>
        <w:t xml:space="preserve">(4), pp.414-427.Assessment, M.E., 2005.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Ecosystems and human well-being: wetlands and water</w:t>
      </w:r>
      <w:r>
        <w:rPr>
          <w:rStyle w:val="Hyperlink.1"/>
          <w:rtl w:val="0"/>
          <w:lang w:val="en-US"/>
        </w:rPr>
        <w:t>. World resources institute.</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Bhateria, R. and Jain, D., 2016.</w:t>
      </w:r>
      <w:r>
        <w:rPr>
          <w:rStyle w:val="Hyperlink.1"/>
          <w:rtl w:val="0"/>
          <w:lang w:val="en-US"/>
        </w:rPr>
        <w:t xml:space="preserve"> Water quality assessment of lake water: a review.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Sustainable water resources management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2</w:t>
      </w:r>
      <w:r>
        <w:rPr>
          <w:rStyle w:val="Hyperlink.1"/>
          <w:rtl w:val="0"/>
          <w:lang w:val="en-US"/>
        </w:rPr>
        <w:t>(2), pp.161-173.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Biedunkova, O., Kuznietsov, P., Trach, Y. and Pinchuk, O., 2026, </w:t>
      </w:r>
      <w:r>
        <w:rPr>
          <w:rStyle w:val="Hyperlink.1"/>
          <w:rtl w:val="0"/>
          <w:lang w:val="en-US"/>
        </w:rPr>
        <w:t xml:space="preserve">June. Chemometrics of seasonal variation of carbon, nitrogen, and phosphorus in a river ecosystem: a case study.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IOP Conference Series: Earth and Environmental Science</w:t>
      </w:r>
      <w:r>
        <w:rPr>
          <w:rStyle w:val="Hyperlink.1"/>
          <w:rtl w:val="0"/>
          <w:lang w:val="en-US"/>
        </w:rPr>
        <w:t xml:space="preserve"> (Vol. 1638, No. 1, p. 012070). IOP Publishing.</w:t>
      </w:r>
    </w:p>
    <w:p>
      <w:pPr>
        <w:pStyle w:val="Normal.0"/>
        <w:spacing w:after="0" w:line="360" w:lineRule="auto"/>
        <w:ind w:left="720" w:hanging="720"/>
        <w:jc w:val="both"/>
        <w:rPr>
          <w:rStyle w:val="None"/>
          <w:rFonts w:ascii="Times New Roman" w:cs="Times New Roman" w:hAnsi="Times New Roman" w:eastAsia="Times New Roman"/>
          <w:kern w:val="0"/>
        </w:rPr>
      </w:pPr>
      <w:r>
        <w:rPr>
          <w:rStyle w:val="None"/>
          <w:rFonts w:ascii="Times New Roman" w:hAnsi="Times New Roman"/>
          <w:b w:val="1"/>
          <w:bCs w:val="1"/>
          <w:kern w:val="0"/>
          <w:sz w:val="24"/>
          <w:szCs w:val="24"/>
          <w:rtl w:val="0"/>
          <w:lang w:val="en-US"/>
        </w:rPr>
        <w:t>Bieroza, M., Acharya, S., Benisch, J., Ter Borg, R.N., Hallberg, L., Negri, C., Pruitt, A., Pucher, M., Saavedra, F., Staniszewska, K. and van</w:t>
      </w:r>
      <w:r>
        <w:rPr>
          <w:rStyle w:val="None"/>
          <w:rFonts w:ascii="Times New Roman" w:hAnsi="Times New Roman" w:hint="default"/>
          <w:b w:val="1"/>
          <w:bCs w:val="1"/>
          <w:kern w:val="0"/>
          <w:sz w:val="24"/>
          <w:szCs w:val="24"/>
          <w:rtl w:val="0"/>
          <w:lang w:val="en-US"/>
        </w:rPr>
        <w:t>’</w:t>
      </w:r>
      <w:r>
        <w:rPr>
          <w:rStyle w:val="None"/>
          <w:rFonts w:ascii="Times New Roman" w:hAnsi="Times New Roman"/>
          <w:b w:val="1"/>
          <w:bCs w:val="1"/>
          <w:kern w:val="0"/>
          <w:sz w:val="24"/>
          <w:szCs w:val="24"/>
          <w:rtl w:val="0"/>
          <w:lang w:val="en-US"/>
        </w:rPr>
        <w:t xml:space="preserve">t Veen, S.G., 2023. </w:t>
      </w:r>
      <w:r>
        <w:rPr>
          <w:rStyle w:val="Hyperlink.1"/>
          <w:rtl w:val="0"/>
          <w:lang w:val="en-US"/>
        </w:rPr>
        <w:t xml:space="preserve">Advances in catchment science, hydrochemistry, and aquatic ecology enabled by high-frequency water quality measurements.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Environmental Science &amp; Technology</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57</w:t>
      </w:r>
      <w:r>
        <w:rPr>
          <w:rStyle w:val="Hyperlink.1"/>
          <w:rtl w:val="0"/>
          <w:lang w:val="en-US"/>
        </w:rPr>
        <w:t>(12), pp.4701-4719.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Biswas, A., Debnath, P., Roy, S., Bhattacharyya, S., Mitra, S. and Chaudhuri, P., 2024. </w:t>
      </w:r>
      <w:r>
        <w:rPr>
          <w:rStyle w:val="Hyperlink.1"/>
          <w:rtl w:val="0"/>
          <w:lang w:val="en-US"/>
        </w:rPr>
        <w:t xml:space="preserve">Spatio-temporal variation in water quality due to the anthropogenic impact in Rudrasagar Lake, a Ramsar site in India.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Environmental Monitoring and Assessment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196</w:t>
      </w:r>
      <w:r>
        <w:rPr>
          <w:rStyle w:val="Hyperlink.1"/>
          <w:rtl w:val="0"/>
          <w:lang w:val="en-US"/>
        </w:rPr>
        <w:t>(7), p.598.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Caro-Becerra, J.L., Vizca</w:t>
      </w:r>
      <w:r>
        <w:rPr>
          <w:rStyle w:val="None"/>
          <w:rFonts w:ascii="Times New Roman" w:hAnsi="Times New Roman" w:hint="default"/>
          <w:b w:val="1"/>
          <w:bCs w:val="1"/>
          <w:kern w:val="0"/>
          <w:sz w:val="24"/>
          <w:szCs w:val="24"/>
          <w:rtl w:val="0"/>
          <w:lang w:val="en-US"/>
        </w:rPr>
        <w:t>í</w:t>
      </w:r>
      <w:r>
        <w:rPr>
          <w:rStyle w:val="None"/>
          <w:rFonts w:ascii="Times New Roman" w:hAnsi="Times New Roman"/>
          <w:b w:val="1"/>
          <w:bCs w:val="1"/>
          <w:kern w:val="0"/>
          <w:sz w:val="24"/>
          <w:szCs w:val="24"/>
          <w:rtl w:val="0"/>
          <w:lang w:val="en-US"/>
        </w:rPr>
        <w:t>no-Rodr</w:t>
      </w:r>
      <w:r>
        <w:rPr>
          <w:rStyle w:val="None"/>
          <w:rFonts w:ascii="Times New Roman" w:hAnsi="Times New Roman" w:hint="default"/>
          <w:b w:val="1"/>
          <w:bCs w:val="1"/>
          <w:kern w:val="0"/>
          <w:sz w:val="24"/>
          <w:szCs w:val="24"/>
          <w:rtl w:val="0"/>
          <w:lang w:val="en-US"/>
        </w:rPr>
        <w:t>í</w:t>
      </w:r>
      <w:r>
        <w:rPr>
          <w:rStyle w:val="None"/>
          <w:rFonts w:ascii="Times New Roman" w:hAnsi="Times New Roman"/>
          <w:b w:val="1"/>
          <w:bCs w:val="1"/>
          <w:kern w:val="0"/>
          <w:sz w:val="24"/>
          <w:szCs w:val="24"/>
          <w:rtl w:val="0"/>
          <w:lang w:val="en-US"/>
        </w:rPr>
        <w:t>guez, L.A., Michel-Parra, J.G., Mayoral-Ruiz, P.A. and Reyes-Barrag</w:t>
      </w:r>
      <w:r>
        <w:rPr>
          <w:rStyle w:val="None"/>
          <w:rFonts w:ascii="Times New Roman" w:hAnsi="Times New Roman" w:hint="default"/>
          <w:b w:val="1"/>
          <w:bCs w:val="1"/>
          <w:kern w:val="0"/>
          <w:sz w:val="24"/>
          <w:szCs w:val="24"/>
          <w:rtl w:val="0"/>
          <w:lang w:val="en-US"/>
        </w:rPr>
        <w:t>á</w:t>
      </w:r>
      <w:r>
        <w:rPr>
          <w:rStyle w:val="None"/>
          <w:rFonts w:ascii="Times New Roman" w:hAnsi="Times New Roman"/>
          <w:b w:val="1"/>
          <w:bCs w:val="1"/>
          <w:kern w:val="0"/>
          <w:sz w:val="24"/>
          <w:szCs w:val="24"/>
          <w:rtl w:val="0"/>
          <w:lang w:val="en-US"/>
        </w:rPr>
        <w:t xml:space="preserve">n, J.L., 2019. </w:t>
      </w:r>
      <w:r>
        <w:rPr>
          <w:rStyle w:val="Hyperlink.1"/>
          <w:rtl w:val="0"/>
          <w:lang w:val="en-US"/>
        </w:rPr>
        <w:t>The Importance of Informative Data Base of the Wetlands in the Lake Cajititl</w:t>
      </w:r>
      <w:r>
        <w:rPr>
          <w:rStyle w:val="Hyperlink.1"/>
          <w:rtl w:val="0"/>
          <w:lang w:val="en-US"/>
        </w:rPr>
        <w:t>á</w:t>
      </w:r>
      <w:r>
        <w:rPr>
          <w:rStyle w:val="Hyperlink.1"/>
          <w:rtl w:val="0"/>
          <w:lang w:val="en-US"/>
        </w:rPr>
        <w:t xml:space="preserve">n, Previous Step for the Proposal as a Ramsar Site.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Water Availability and Management in Mexico</w:t>
      </w:r>
      <w:r>
        <w:rPr>
          <w:rStyle w:val="Hyperlink.1"/>
          <w:rtl w:val="0"/>
          <w:lang w:val="en-US"/>
        </w:rPr>
        <w:t xml:space="preserve"> (pp. 233-245). Cham: Springer International Publishing.</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Carpenter, S.R., Stanley, E.H. and Vander Zanden, M.J., 2011. </w:t>
      </w:r>
      <w:r>
        <w:rPr>
          <w:rStyle w:val="Hyperlink.1"/>
          <w:rtl w:val="0"/>
          <w:lang w:val="en-US"/>
        </w:rPr>
        <w:t xml:space="preserve">State of the world's freshwater ecosystems: physical, chemical, and biological changes.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Annual review of Environment and Resources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36</w:t>
      </w:r>
      <w:r>
        <w:rPr>
          <w:rStyle w:val="Hyperlink.1"/>
          <w:rtl w:val="0"/>
          <w:lang w:val="en-US"/>
        </w:rPr>
        <w:t>(1), pp.75-99.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Chakraborty, S.K., Sanyal, P. and Ray, R., 2023</w:t>
      </w:r>
      <w:r>
        <w:rPr>
          <w:rStyle w:val="Hyperlink.1"/>
          <w:rtl w:val="0"/>
          <w:lang w:val="en-US"/>
        </w:rPr>
        <w:t xml:space="preserve">. Diversity and classification of wetlands in international and national perspectives.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Wetlands ecology: Eco-biological uniqueness of a Ramsar site (East Kolkata wetlands, India)</w:t>
      </w:r>
      <w:r>
        <w:rPr>
          <w:rStyle w:val="Hyperlink.1"/>
          <w:rtl w:val="0"/>
          <w:lang w:val="en-US"/>
        </w:rPr>
        <w:t xml:space="preserve"> (pp. 167-226). Cham: Springer International Publishing.</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Cwikiel, W., 1992. </w:t>
      </w:r>
      <w:r>
        <w:rPr>
          <w:rStyle w:val="Hyperlink.1"/>
          <w:rtl w:val="0"/>
          <w:lang w:val="en-US"/>
        </w:rPr>
        <w:t>Michigan Wetlands: Yours To Protect. A Citizen's Guide to Local Involvement in Wetland Protection.</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Dalakoti, H., Mishra, S., Chaudhary, M. and Singal, S.K., 2018. </w:t>
      </w:r>
      <w:r>
        <w:rPr>
          <w:rStyle w:val="Hyperlink.1"/>
          <w:rtl w:val="0"/>
          <w:lang w:val="en-US"/>
        </w:rPr>
        <w:t xml:space="preserve">Appraisal of water quality in the Lakes of Nainital District through numerical indices and multivariate statistics, India.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International Journal of River Basin Management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16</w:t>
      </w:r>
      <w:r>
        <w:rPr>
          <w:rStyle w:val="Hyperlink.1"/>
          <w:rtl w:val="0"/>
          <w:lang w:val="en-US"/>
        </w:rPr>
        <w:t>(2), pp.219-229.</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Daniels, G., McFarland, K., Procopio, M. and Marques, A.C., 2026.</w:t>
      </w:r>
      <w:r>
        <w:rPr>
          <w:rStyle w:val="Hyperlink.1"/>
          <w:rtl w:val="0"/>
          <w:lang w:val="en-US"/>
        </w:rPr>
        <w:t xml:space="preserve"> Comparative assessment of fixed weight and PCA-based water quality indices integrating climatic, biological, and land-cover indicators.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environmental management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404</w:t>
      </w:r>
      <w:r>
        <w:rPr>
          <w:rStyle w:val="Hyperlink.1"/>
          <w:rtl w:val="0"/>
          <w:lang w:val="en-US"/>
        </w:rPr>
        <w:t>, p.129448.</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Davidson, N., 2013. </w:t>
      </w:r>
      <w:r>
        <w:rPr>
          <w:rStyle w:val="Hyperlink.1"/>
          <w:rtl w:val="0"/>
          <w:lang w:val="en-US"/>
        </w:rPr>
        <w:t>The economics of ecosystems and biodiversity for water and wetlands.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Davis, J.C., 1975</w:t>
      </w:r>
      <w:r>
        <w:rPr>
          <w:rStyle w:val="Hyperlink.1"/>
          <w:rtl w:val="0"/>
          <w:lang w:val="en-US"/>
        </w:rPr>
        <w:t xml:space="preserve">. Minimal dissolved oxygen requirements of aquatic life with emphasis on Canadian species: a review.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the Fisheries Board of Canada</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32</w:t>
      </w:r>
      <w:r>
        <w:rPr>
          <w:rStyle w:val="Hyperlink.1"/>
          <w:rtl w:val="0"/>
          <w:lang w:val="en-US"/>
        </w:rPr>
        <w:t>(12), pp.2295-2332.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Debnath, P., Biswas, A., Chaudhuri, P. and Mitra, S., 2026. </w:t>
      </w:r>
      <w:r>
        <w:rPr>
          <w:rStyle w:val="Hyperlink.1"/>
          <w:rtl w:val="0"/>
          <w:lang w:val="en-US"/>
        </w:rPr>
        <w:t xml:space="preserve">Novel integrated framework for hydro-chemical characterization, long-term assessment of wetland ecosystem service degradation and restoration prioritization.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Discover Geoscience</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4</w:t>
      </w:r>
      <w:r>
        <w:rPr>
          <w:rStyle w:val="Hyperlink.1"/>
          <w:rtl w:val="0"/>
          <w:lang w:val="en-US"/>
        </w:rPr>
        <w:t>(1), p.245.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Debnath, P., Roy, S., Bharadwaj, S., Hore, S., Nath, H., Mitra, S. and Ciobotaru, A.M., 2023. </w:t>
      </w:r>
      <w:r>
        <w:rPr>
          <w:rStyle w:val="Hyperlink.1"/>
          <w:rtl w:val="0"/>
          <w:lang w:val="en-US"/>
        </w:rPr>
        <w:t xml:space="preserve">Application of multivariable statistical and geo-spatial techniques for evaluation of water quality of Rudrasagar wetland, the Ramsar site of India.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Water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15</w:t>
      </w:r>
      <w:r>
        <w:rPr>
          <w:rStyle w:val="Hyperlink.1"/>
          <w:rtl w:val="0"/>
          <w:lang w:val="en-US"/>
        </w:rPr>
        <w:t>(23), p.4109.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Desta, H., Lemma, B. and Fetene, A., 2012. </w:t>
      </w:r>
      <w:r>
        <w:rPr>
          <w:rStyle w:val="Hyperlink.1"/>
          <w:rtl w:val="0"/>
          <w:lang w:val="en-US"/>
        </w:rPr>
        <w:t xml:space="preserve">Aspects of climate change and its associated impacts on wetland ecosystem functions: A review.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American Science</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8</w:t>
      </w:r>
      <w:r>
        <w:rPr>
          <w:rStyle w:val="Hyperlink.1"/>
          <w:rtl w:val="0"/>
          <w:lang w:val="en-US"/>
        </w:rPr>
        <w:t>(10), pp.582-596.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Dickens, C.W.S., Kotze, D., Mashigo, S., MacKay, H. and Graham, M., 2003.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Guidelines for integrating the protection, conservation and management of wetlands into catchment management planning</w:t>
      </w:r>
      <w:r>
        <w:rPr>
          <w:rStyle w:val="Hyperlink.1"/>
          <w:rtl w:val="0"/>
          <w:lang w:val="en-US"/>
        </w:rPr>
        <w:t>. Pretoria, South Africa: Water Research Commission.</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Finlayson 1, C.M., Davidson 2, N., Pritchard 3, D., Milton 4, G.R. and MacKay 5, H., 2011.</w:t>
      </w:r>
      <w:r>
        <w:rPr>
          <w:rStyle w:val="Hyperlink.1"/>
          <w:rtl w:val="0"/>
          <w:lang w:val="en-US"/>
        </w:rPr>
        <w:t xml:space="preserve"> The Ramsar Convention and ecosystem-based approaches to the wise use and sustainable development of wetlands.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International Wildlife Law &amp; Policy</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14</w:t>
      </w:r>
      <w:r>
        <w:rPr>
          <w:rStyle w:val="Hyperlink.1"/>
          <w:rtl w:val="0"/>
          <w:lang w:val="en-US"/>
        </w:rPr>
        <w:t>(3-4), pp.176-198.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Gangrade, E.M., 2025.</w:t>
      </w:r>
      <w:r>
        <w:rPr>
          <w:rStyle w:val="Hyperlink.1"/>
          <w:rtl w:val="0"/>
          <w:lang w:val="en-US"/>
        </w:rPr>
        <w:t xml:space="preserve"> Responsible Eco-Tourism Supporting Biodiversity and Livelihoods: A Study on Sirpur Tank Ramsar Site in Indore.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Sustainable Commerce: Integrity, Environment &amp; Social Responsibility.</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Griffiths, J., Borne, K.E., Semadeni-Davies, A. and Tanner, C.C., 2024. </w:t>
      </w:r>
      <w:r>
        <w:rPr>
          <w:rStyle w:val="None"/>
          <w:rFonts w:ascii="Times New Roman" w:hAnsi="Times New Roman"/>
          <w:kern w:val="0"/>
          <w:sz w:val="24"/>
          <w:szCs w:val="24"/>
          <w:rtl w:val="0"/>
          <w:lang w:val="en-US"/>
        </w:rPr>
        <w:t>Selection</w:t>
      </w:r>
      <w:r>
        <w:rPr>
          <w:rStyle w:val="Hyperlink.1"/>
          <w:rtl w:val="0"/>
          <w:lang w:val="en-US"/>
        </w:rPr>
        <w:t xml:space="preserve">, planning, and modelling of nature-based solutions for flood mitigation.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Water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16</w:t>
      </w:r>
      <w:r>
        <w:rPr>
          <w:rStyle w:val="Hyperlink.1"/>
          <w:rtl w:val="0"/>
          <w:lang w:val="en-US"/>
        </w:rPr>
        <w:t>(19), p.2802.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Gurumurthy, G.P., Balakrishna, K., Tripti, M., Riotte, J., Audry, S., Braun, J.J., Lambs, L., and Shankar, H.U., 2015. </w:t>
      </w:r>
      <w:r>
        <w:rPr>
          <w:rStyle w:val="Hyperlink.1"/>
          <w:rtl w:val="0"/>
          <w:lang w:val="en-US"/>
        </w:rPr>
        <w:t xml:space="preserve">Sources of major ions and processes affecting the geochemical and isotopic signatures of subsurface waters along a tropical river, Southwestern India.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Environmental Earth Sciences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73</w:t>
      </w:r>
      <w:r>
        <w:rPr>
          <w:rStyle w:val="Hyperlink.1"/>
          <w:rtl w:val="0"/>
          <w:lang w:val="en-US"/>
        </w:rPr>
        <w:t>(1), p.333.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Huggins, D.G. and Anderson, J., 2005.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Dissolved oxygen fluctuation regimes in streams of the Western Corn Belt plains ecoregion</w:t>
      </w:r>
      <w:r>
        <w:rPr>
          <w:rStyle w:val="Hyperlink.1"/>
          <w:rtl w:val="0"/>
          <w:lang w:val="en-US"/>
        </w:rPr>
        <w:t>. Kansas Biological Survey.</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Junk, W.J., An, S., Finlayson, C.M., Gopal, B., Kv</w:t>
      </w:r>
      <w:r>
        <w:rPr>
          <w:rStyle w:val="None"/>
          <w:rFonts w:ascii="Times New Roman" w:hAnsi="Times New Roman" w:hint="default"/>
          <w:b w:val="1"/>
          <w:bCs w:val="1"/>
          <w:kern w:val="0"/>
          <w:sz w:val="24"/>
          <w:szCs w:val="24"/>
          <w:rtl w:val="0"/>
          <w:lang w:val="en-US"/>
        </w:rPr>
        <w:t>ě</w:t>
      </w:r>
      <w:r>
        <w:rPr>
          <w:rStyle w:val="None"/>
          <w:rFonts w:ascii="Times New Roman" w:hAnsi="Times New Roman"/>
          <w:b w:val="1"/>
          <w:bCs w:val="1"/>
          <w:kern w:val="0"/>
          <w:sz w:val="24"/>
          <w:szCs w:val="24"/>
          <w:rtl w:val="0"/>
          <w:lang w:val="en-US"/>
        </w:rPr>
        <w:t xml:space="preserve">t, J., Mitchell, S.A., Mitsch, W.J. and Robarts, R.D., 2013. </w:t>
      </w:r>
      <w:r>
        <w:rPr>
          <w:rStyle w:val="Hyperlink.1"/>
          <w:rtl w:val="0"/>
          <w:lang w:val="en-US"/>
        </w:rPr>
        <w:t>Current state of knowledge regarding the world</w:t>
      </w:r>
      <w:r>
        <w:rPr>
          <w:rStyle w:val="Hyperlink.1"/>
          <w:rtl w:val="0"/>
          <w:lang w:val="en-US"/>
        </w:rPr>
        <w:t>’</w:t>
      </w:r>
      <w:r>
        <w:rPr>
          <w:rStyle w:val="Hyperlink.1"/>
          <w:rtl w:val="0"/>
          <w:lang w:val="en-US"/>
        </w:rPr>
        <w:t xml:space="preserve">s wetlands and their future under global climate change: a synthesis.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Aquatic sciences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75</w:t>
      </w:r>
      <w:r>
        <w:rPr>
          <w:rStyle w:val="Hyperlink.1"/>
          <w:rtl w:val="0"/>
          <w:lang w:val="en-US"/>
        </w:rPr>
        <w:t>(1), pp.151-167.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Hyperlink.1"/>
          <w:rtl w:val="0"/>
          <w:lang w:val="en-US"/>
        </w:rPr>
        <w:t>J</w:t>
      </w:r>
      <w:r>
        <w:rPr>
          <w:rStyle w:val="None"/>
          <w:rFonts w:ascii="Times New Roman" w:hAnsi="Times New Roman"/>
          <w:b w:val="1"/>
          <w:bCs w:val="1"/>
          <w:kern w:val="0"/>
          <w:sz w:val="24"/>
          <w:szCs w:val="24"/>
          <w:rtl w:val="0"/>
          <w:lang w:val="en-US"/>
        </w:rPr>
        <w:t>unk, W.J., An, S., Finlayson, C.M., Gopal, B., Kv</w:t>
      </w:r>
      <w:r>
        <w:rPr>
          <w:rStyle w:val="None"/>
          <w:rFonts w:ascii="Times New Roman" w:hAnsi="Times New Roman" w:hint="default"/>
          <w:b w:val="1"/>
          <w:bCs w:val="1"/>
          <w:kern w:val="0"/>
          <w:sz w:val="24"/>
          <w:szCs w:val="24"/>
          <w:rtl w:val="0"/>
          <w:lang w:val="en-US"/>
        </w:rPr>
        <w:t>ě</w:t>
      </w:r>
      <w:r>
        <w:rPr>
          <w:rStyle w:val="None"/>
          <w:rFonts w:ascii="Times New Roman" w:hAnsi="Times New Roman"/>
          <w:b w:val="1"/>
          <w:bCs w:val="1"/>
          <w:kern w:val="0"/>
          <w:sz w:val="24"/>
          <w:szCs w:val="24"/>
          <w:rtl w:val="0"/>
          <w:lang w:val="en-US"/>
        </w:rPr>
        <w:t xml:space="preserve">t, J., Mitchell, S.A., Mitsch, W.J. and Robarts, R.D., 2013. </w:t>
      </w:r>
      <w:r>
        <w:rPr>
          <w:rStyle w:val="Hyperlink.1"/>
          <w:rtl w:val="0"/>
          <w:lang w:val="en-US"/>
        </w:rPr>
        <w:t>Current state of knowledge regarding the world</w:t>
      </w:r>
      <w:r>
        <w:rPr>
          <w:rStyle w:val="Hyperlink.1"/>
          <w:rtl w:val="0"/>
          <w:lang w:val="en-US"/>
        </w:rPr>
        <w:t>’</w:t>
      </w:r>
      <w:r>
        <w:rPr>
          <w:rStyle w:val="Hyperlink.1"/>
          <w:rtl w:val="0"/>
          <w:lang w:val="en-US"/>
        </w:rPr>
        <w:t xml:space="preserve">s wetlands and their future under global climate change: a synthesis.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Aquatic sciences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75</w:t>
      </w:r>
      <w:r>
        <w:rPr>
          <w:rStyle w:val="Hyperlink.1"/>
          <w:rtl w:val="0"/>
          <w:lang w:val="en-US"/>
        </w:rPr>
        <w:t>(1), pp.151-167.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Kaden, U.S., Schmid, S., Vieweg, M., Scholz, M. and Dufour, S., 2026. </w:t>
      </w:r>
      <w:r>
        <w:rPr>
          <w:rStyle w:val="Hyperlink.1"/>
          <w:rtl w:val="0"/>
          <w:lang w:val="en-US"/>
        </w:rPr>
        <w:t xml:space="preserve">European riverine and coastal wetlands under pressure: biodiversity and climate change.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Nature Conservation</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62</w:t>
      </w:r>
      <w:r>
        <w:rPr>
          <w:rStyle w:val="Hyperlink.1"/>
          <w:rtl w:val="0"/>
          <w:lang w:val="en-US"/>
        </w:rPr>
        <w:t>, pp.13-45.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Keddy, P.A., Fraser, L.H., Solomeshch, A.I., Junk, W.J., Campbell, D.R., Arroyo, M.T. and Alho, C.J., 2009. </w:t>
      </w:r>
      <w:r>
        <w:rPr>
          <w:rStyle w:val="Hyperlink.1"/>
          <w:rtl w:val="0"/>
          <w:lang w:val="en-US"/>
        </w:rPr>
        <w:t xml:space="preserve">Wet and wonderful: the world's largest wetlands are conservation priorities.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BioScience</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59</w:t>
      </w:r>
      <w:r>
        <w:rPr>
          <w:rStyle w:val="Hyperlink.1"/>
          <w:rtl w:val="0"/>
          <w:lang w:val="en-US"/>
        </w:rPr>
        <w:t>(1), pp.39-51.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Khatri, N. and Tyagi, S., 2015. </w:t>
      </w:r>
      <w:r>
        <w:rPr>
          <w:rStyle w:val="Hyperlink.1"/>
          <w:rtl w:val="0"/>
          <w:lang w:val="en-US"/>
        </w:rPr>
        <w:t xml:space="preserve">Influences of natural and anthropogenic factors on surface and groundwater quality in rural and urban areas.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Frontiers in life science</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8</w:t>
      </w:r>
      <w:r>
        <w:rPr>
          <w:rStyle w:val="Hyperlink.1"/>
          <w:rtl w:val="0"/>
          <w:lang w:val="en-US"/>
        </w:rPr>
        <w:t>(1), pp.23-39.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Li, G., Zhou, J., Deng, D., Du, M., Meng, Y., Dai, L., Peng, Q. and Wang, L., 2025</w:t>
      </w:r>
      <w:r>
        <w:rPr>
          <w:rStyle w:val="Hyperlink.1"/>
          <w:rtl w:val="0"/>
          <w:lang w:val="en-US"/>
        </w:rPr>
        <w:t xml:space="preserve">. Understanding the Relationship Between Water Quality and Soil Nutrient Dynamics in Qinghai Lake Through Statistical and Regression Models.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Water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17</w:t>
      </w:r>
      <w:r>
        <w:rPr>
          <w:rStyle w:val="Hyperlink.1"/>
          <w:rtl w:val="0"/>
          <w:lang w:val="en-US"/>
        </w:rPr>
        <w:t>(4), p.472.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Luo, X., Li, N., Zhang, Y., An, S., Zhang, Y., Shi, K., Zhu, G. and Qin, B., 2026</w:t>
      </w:r>
      <w:r>
        <w:rPr>
          <w:rStyle w:val="Hyperlink.1"/>
          <w:rtl w:val="0"/>
          <w:lang w:val="en-US"/>
        </w:rPr>
        <w:t xml:space="preserve">. Summer heatwaves increased surface dissolved oxygen through algal photosynthetic compensation in a eutrophic lake.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Ecological Indicators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185</w:t>
      </w:r>
      <w:r>
        <w:rPr>
          <w:rStyle w:val="Hyperlink.1"/>
          <w:rtl w:val="0"/>
          <w:lang w:val="en-US"/>
        </w:rPr>
        <w:t>, p.114763.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Lynch, A.J.J., Kalumanga, E. and Ospina, G.A., 2016.</w:t>
      </w:r>
      <w:r>
        <w:rPr>
          <w:rStyle w:val="Hyperlink.1"/>
          <w:rtl w:val="0"/>
          <w:lang w:val="en-US"/>
        </w:rPr>
        <w:t xml:space="preserve"> Socio-ecological aspects of sustaining Ramsar wetlands in three biodiverse developing countries.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Marine and Freshwater Research</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67</w:t>
      </w:r>
      <w:r>
        <w:rPr>
          <w:rStyle w:val="Hyperlink.1"/>
          <w:rtl w:val="0"/>
          <w:lang w:val="en-US"/>
        </w:rPr>
        <w:t>(6), pp.850-868.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Mary, S., Trupti, G.N. and Kumara, A., 2026. </w:t>
      </w:r>
      <w:r>
        <w:rPr>
          <w:rStyle w:val="Hyperlink.1"/>
          <w:rtl w:val="0"/>
          <w:lang w:val="en-US"/>
        </w:rPr>
        <w:t xml:space="preserve">A Study on the Spatio-Temporal Variation of Physico-Chemical Parameters, Water Quality Index, and Pearson Correlation Coefficient in Hub Lake, Mysuru.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Indian Association for Environmental Management (JIAEM)</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46</w:t>
      </w:r>
      <w:r>
        <w:rPr>
          <w:rStyle w:val="Hyperlink.1"/>
          <w:rtl w:val="0"/>
          <w:lang w:val="en-US"/>
        </w:rPr>
        <w:t>(1), pp.22-29.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Mayanglambam, B. and Neelam, S.S., 2022</w:t>
      </w:r>
      <w:r>
        <w:rPr>
          <w:rStyle w:val="Hyperlink.1"/>
          <w:rtl w:val="0"/>
          <w:lang w:val="en-US"/>
        </w:rPr>
        <w:t xml:space="preserve">. Physicochemistry and water quality of Loktak Lake water, Manipur, India.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International Journal of Environmental Analytical Chemistry</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102</w:t>
      </w:r>
      <w:r>
        <w:rPr>
          <w:rStyle w:val="Hyperlink.1"/>
          <w:rtl w:val="0"/>
          <w:lang w:val="en-US"/>
        </w:rPr>
        <w:t>(7), pp.1638-1661.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Merga, L.B., Mengistie, A.A., Faber, J.H. and Van den Brink, P.J., 2020. </w:t>
      </w:r>
      <w:r>
        <w:rPr>
          <w:rStyle w:val="Hyperlink.1"/>
          <w:rtl w:val="0"/>
          <w:lang w:val="en-US"/>
        </w:rPr>
        <w:t xml:space="preserve">Trends in chemical pollution and ecological status of Lake Ziway, Ethiopia: a review focussing on nutrients, metals and pesticides.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African Journal of Aquatic Science</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45</w:t>
      </w:r>
      <w:r>
        <w:rPr>
          <w:rStyle w:val="Hyperlink.1"/>
          <w:rtl w:val="0"/>
          <w:lang w:val="en-US"/>
        </w:rPr>
        <w:t>(4), pp.386-400.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Mishra, S. and Shukla, S.K., 2017. </w:t>
      </w:r>
      <w:r>
        <w:rPr>
          <w:rStyle w:val="Hyperlink.1"/>
          <w:rtl w:val="0"/>
          <w:lang w:val="en-US"/>
        </w:rPr>
        <w:t xml:space="preserve">Ecological Study of Govindgarh Lake, Rewa, Madhya Pradesh, India.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Indian Association for Environmental Management</w:t>
      </w:r>
      <w:r>
        <w:rPr>
          <w:rStyle w:val="Hyperlink.1"/>
          <w:rtl w:val="0"/>
          <w:lang w:val="en-US"/>
        </w:rPr>
        <w:t>, 43(2), pp.40-47.</w:t>
      </w:r>
    </w:p>
    <w:p>
      <w:pPr>
        <w:pStyle w:val="Normal.0"/>
        <w:spacing w:after="0" w:line="360" w:lineRule="auto"/>
        <w:ind w:left="720" w:hanging="720"/>
        <w:jc w:val="both"/>
        <w:rPr>
          <w:rStyle w:val="None"/>
          <w:rFonts w:ascii="Times New Roman" w:cs="Times New Roman" w:hAnsi="Times New Roman" w:eastAsia="Times New Roman"/>
          <w:outline w:val="0"/>
          <w:color w:val="000000"/>
          <w:kern w:val="0"/>
          <w:u w:color="000000"/>
          <w14:textFill>
            <w14:solidFill>
              <w14:srgbClr w14:val="000000"/>
            </w14:solidFill>
          </w14:textFill>
        </w:rPr>
      </w:pPr>
      <w:r>
        <w:rPr>
          <w:rStyle w:val="None"/>
          <w:rFonts w:ascii="Times New Roman" w:hAnsi="Times New Roman"/>
          <w:b w:val="1"/>
          <w:bCs w:val="1"/>
          <w:kern w:val="0"/>
          <w:sz w:val="24"/>
          <w:szCs w:val="24"/>
          <w:rtl w:val="0"/>
          <w:lang w:val="en-US"/>
        </w:rPr>
        <w:t xml:space="preserve">Mitsch, W.J., Bernal, B. and Hernandez, M.E., 2015. </w:t>
      </w:r>
      <w:r>
        <w:rPr>
          <w:rStyle w:val="Hyperlink.1"/>
          <w:rtl w:val="0"/>
          <w:lang w:val="en-US"/>
        </w:rPr>
        <w:t xml:space="preserve">Ecosystem services of wetlands.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International Journal of Biodiversity Science, Ecosystem Services &amp; Management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11</w:t>
      </w:r>
      <w:r>
        <w:rPr>
          <w:rStyle w:val="Hyperlink.1"/>
          <w:rtl w:val="0"/>
          <w:lang w:val="en-US"/>
        </w:rPr>
        <w:t>(1), pp.1-4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Montagnini, F., Levin, B. and Berg, K.E., 2022.</w:t>
      </w:r>
      <w:r>
        <w:rPr>
          <w:rStyle w:val="Hyperlink.1"/>
          <w:rtl w:val="0"/>
          <w:lang w:val="en-US"/>
        </w:rPr>
        <w:t xml:space="preserve"> Introduction. Biodiversity Islands: strategies for conservation in human-dominated environments.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Biodiversity Islands: Strategies for Conservation in Human-Dominated Environments</w:t>
      </w:r>
      <w:r>
        <w:rPr>
          <w:rStyle w:val="Hyperlink.1"/>
          <w:rtl w:val="0"/>
          <w:lang w:val="en-US"/>
        </w:rPr>
        <w:t xml:space="preserve"> (pp. 3-37). Cham: Springer International Publishing.</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Moomaw, W.R., Chmura, G.L., Davies, G.T., Finlayson, C.M., Middleton, B.A., Natali, S.M., Perry, J.E., Roulet, N. and Sutton-Grier, A.E., 2018.</w:t>
      </w:r>
      <w:r>
        <w:rPr>
          <w:rStyle w:val="Hyperlink.1"/>
          <w:rtl w:val="0"/>
          <w:lang w:val="en-US"/>
        </w:rPr>
        <w:t xml:space="preserve"> Wetlands in a changing climate: science, policy and management.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Wetlands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38</w:t>
      </w:r>
      <w:r>
        <w:rPr>
          <w:rStyle w:val="Hyperlink.1"/>
          <w:rtl w:val="0"/>
          <w:lang w:val="en-US"/>
        </w:rPr>
        <w:t>(2), pp.183-205.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Ogidi, O.I. and Akpan, U.M., 2022. </w:t>
      </w:r>
      <w:r>
        <w:rPr>
          <w:rStyle w:val="Hyperlink.1"/>
          <w:rtl w:val="0"/>
          <w:lang w:val="en-US"/>
        </w:rPr>
        <w:t xml:space="preserve">Aquatic biodiversity loss: impacts of pollution and anthropogenic activities and strategies for conservation.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Biodiversity in Africa: potentials, threats and conservation</w:t>
      </w:r>
      <w:r>
        <w:rPr>
          <w:rStyle w:val="Hyperlink.1"/>
          <w:rtl w:val="0"/>
          <w:lang w:val="en-US"/>
        </w:rPr>
        <w:t xml:space="preserve"> (pp. 421-448). Singapore: Springer Nature Singapore.</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Oyeboade, J. and Olagoke-Komolafe, O., 2023. </w:t>
      </w:r>
      <w:r>
        <w:rPr>
          <w:rStyle w:val="Hyperlink.1"/>
          <w:rtl w:val="0"/>
          <w:lang w:val="en-US"/>
        </w:rPr>
        <w:t xml:space="preserve">Spatial and seasonal variations in water quality parameters in anthropogenically impacted river systems.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International Journal of Multidisciplinary Evolutionary Research</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4</w:t>
      </w:r>
      <w:r>
        <w:rPr>
          <w:rStyle w:val="Hyperlink.1"/>
          <w:rtl w:val="0"/>
          <w:lang w:val="en-US"/>
        </w:rPr>
        <w:t>(1), pp.72-83.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Panda, U.S., Mahanty, M.M., Rao, V.R., Patra, S. and Mishra, P., 2015</w:t>
      </w:r>
      <w:r>
        <w:rPr>
          <w:rStyle w:val="Hyperlink.1"/>
          <w:rtl w:val="0"/>
          <w:lang w:val="en-US"/>
        </w:rPr>
        <w:t xml:space="preserve">. Hydrodynamics and water quality in Chilika Lagoon-A modelling approach.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Procedia Engineering</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116</w:t>
      </w:r>
      <w:r>
        <w:rPr>
          <w:rStyle w:val="Hyperlink.1"/>
          <w:rtl w:val="0"/>
          <w:lang w:val="en-US"/>
        </w:rPr>
        <w:t>, pp.639-646.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Paudel, G., Pant, R.R., Joshi, T.R., Saqr, A.M., </w:t>
      </w:r>
      <w:r>
        <w:rPr>
          <w:rStyle w:val="None"/>
          <w:rFonts w:ascii="Times New Roman" w:hAnsi="Times New Roman" w:hint="default"/>
          <w:b w:val="1"/>
          <w:bCs w:val="1"/>
          <w:kern w:val="0"/>
          <w:sz w:val="24"/>
          <w:szCs w:val="24"/>
          <w:rtl w:val="0"/>
          <w:lang w:val="en-US"/>
        </w:rPr>
        <w:t>Đ</w:t>
      </w:r>
      <w:r>
        <w:rPr>
          <w:rStyle w:val="None"/>
          <w:rFonts w:ascii="Times New Roman" w:hAnsi="Times New Roman"/>
          <w:b w:val="1"/>
          <w:bCs w:val="1"/>
          <w:kern w:val="0"/>
          <w:sz w:val="24"/>
          <w:szCs w:val="24"/>
          <w:rtl w:val="0"/>
          <w:lang w:val="en-US"/>
        </w:rPr>
        <w:t>urin, B., Cetl, V., Kamble, P.N. and Bishwakarma, K., 2024.</w:t>
      </w:r>
      <w:r>
        <w:rPr>
          <w:rStyle w:val="Hyperlink.1"/>
          <w:rtl w:val="0"/>
          <w:lang w:val="en-US"/>
        </w:rPr>
        <w:t xml:space="preserve"> Hydrochemical dynamics and water quality assessment of the Ramsar-Listed Ghodaghodi lake complex: unveiling the water-Environment Nexus.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Water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16</w:t>
      </w:r>
      <w:r>
        <w:rPr>
          <w:rStyle w:val="Hyperlink.1"/>
          <w:rtl w:val="0"/>
          <w:lang w:val="en-US"/>
        </w:rPr>
        <w:t>(23), p.3373.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Prajapati, C. and Patel, P.K., 2026.</w:t>
      </w:r>
      <w:r>
        <w:rPr>
          <w:rStyle w:val="Hyperlink.1"/>
          <w:rtl w:val="0"/>
          <w:lang w:val="en-US"/>
        </w:rPr>
        <w:t xml:space="preserve"> Multivariate assessment of physicochemical parameters and their influence on wetland macrophyte diversity in Godhra, Panchmahal.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Water Practice &amp; Technology</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21</w:t>
      </w:r>
      <w:r>
        <w:rPr>
          <w:rStyle w:val="Hyperlink.1"/>
          <w:rtl w:val="0"/>
          <w:lang w:val="en-US"/>
        </w:rPr>
        <w:t>(6), pp.2227-2241.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Rahimi, M., Zarei, M., Keshavarzi, B., Golshani, R. and Zafarani, S.G.G., 2023.</w:t>
      </w:r>
      <w:r>
        <w:rPr>
          <w:rStyle w:val="Hyperlink.1"/>
          <w:rtl w:val="0"/>
          <w:lang w:val="en-US"/>
        </w:rPr>
        <w:t xml:space="preserve"> Water quality stress to Amirkalayeh wetland, Northern Iran.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Environmental Monitoring and Assessment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195</w:t>
      </w:r>
      <w:r>
        <w:rPr>
          <w:rStyle w:val="Hyperlink.1"/>
          <w:rtl w:val="0"/>
          <w:lang w:val="en-US"/>
        </w:rPr>
        <w:t>(1), p.49.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Raj, A., Rautela, K.S. and Goyal, M.K., 2026. </w:t>
      </w:r>
      <w:r>
        <w:rPr>
          <w:rStyle w:val="Hyperlink.1"/>
          <w:rtl w:val="0"/>
          <w:lang w:val="en-US"/>
        </w:rPr>
        <w:t xml:space="preserve">Climate Change, Wetland Resilience, and the Sustainable Development Goals in Central India: Implications for Water Security and Adaptation Policy.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Sustainable Development</w:t>
      </w:r>
      <w:r>
        <w:rPr>
          <w:rStyle w:val="Hyperlink.1"/>
          <w:rtl w:val="0"/>
          <w:lang w:val="en-US"/>
        </w:rPr>
        <w:t>.</w:t>
      </w:r>
    </w:p>
    <w:p>
      <w:pPr>
        <w:pStyle w:val="Normal.0"/>
        <w:spacing w:after="0" w:line="360" w:lineRule="auto"/>
        <w:ind w:left="720" w:hanging="720"/>
        <w:jc w:val="both"/>
        <w:rPr>
          <w:rStyle w:val="None"/>
          <w:rFonts w:ascii="Times New Roman" w:cs="Times New Roman" w:hAnsi="Times New Roman" w:eastAsia="Times New Roman"/>
          <w:outline w:val="0"/>
          <w:color w:val="000000"/>
          <w:kern w:val="0"/>
          <w:u w:color="000000"/>
          <w14:textFill>
            <w14:solidFill>
              <w14:srgbClr w14:val="000000"/>
            </w14:solidFill>
          </w14:textFill>
        </w:rPr>
      </w:pPr>
      <w:r>
        <w:rPr>
          <w:rStyle w:val="None"/>
          <w:rFonts w:ascii="Times New Roman" w:hAnsi="Times New Roman"/>
          <w:b w:val="1"/>
          <w:bCs w:val="1"/>
          <w:kern w:val="0"/>
          <w:sz w:val="24"/>
          <w:szCs w:val="24"/>
          <w:rtl w:val="0"/>
          <w:lang w:val="en-US"/>
        </w:rPr>
        <w:t>Rajora, K. and Sarma, K., 2024</w:t>
      </w:r>
      <w:r>
        <w:rPr>
          <w:rStyle w:val="Hyperlink.1"/>
          <w:rtl w:val="0"/>
          <w:lang w:val="en-US"/>
        </w:rPr>
        <w:t xml:space="preserve">. Assessment of pollution status in Surajpur Wetland using multivariate statistical analysis, Uttar Pradesh, India.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Environmental Earth Sciences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83</w:t>
      </w:r>
      <w:r>
        <w:rPr>
          <w:rStyle w:val="Hyperlink.1"/>
          <w:rtl w:val="0"/>
          <w:lang w:val="en-US"/>
        </w:rPr>
        <w:t>(12), p.381.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Raturi, A., Raturi, A. and Singh, H., 2024. </w:t>
      </w:r>
      <w:r>
        <w:rPr>
          <w:rStyle w:val="Hyperlink.1"/>
          <w:rtl w:val="0"/>
          <w:lang w:val="en-US"/>
        </w:rPr>
        <w:t xml:space="preserve">Climate change impacts on wetland ecosystem functioning with special reference to greenhouse gas emissions.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Forests and Climate Change: Biological Perspectives on Impact, Adaptation, and Mitigation Strategies</w:t>
      </w:r>
      <w:r>
        <w:rPr>
          <w:rStyle w:val="Hyperlink.1"/>
          <w:rtl w:val="0"/>
          <w:lang w:val="en-US"/>
        </w:rPr>
        <w:t xml:space="preserve"> (pp. 345-364). Singapore: Springer Nature Singapore.</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Ristea, E., Bisinicu, E., Lavric, V., Parvulescu, O.C. and Lazar, L., 2025.</w:t>
      </w:r>
      <w:r>
        <w:rPr>
          <w:rStyle w:val="Hyperlink.1"/>
          <w:rtl w:val="0"/>
          <w:lang w:val="en-US"/>
        </w:rPr>
        <w:t xml:space="preserve"> A long-term perspective of seasonal shifts in nutrient dynamics and eutrophication in the Romanian Black Sea coast.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Sustainability</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17</w:t>
      </w:r>
      <w:r>
        <w:rPr>
          <w:rStyle w:val="Hyperlink.1"/>
          <w:rtl w:val="0"/>
          <w:lang w:val="en-US"/>
        </w:rPr>
        <w:t>(3), p.1090.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Roman, M.R., Brandt, S.B., Houde, E.D. and Pierson, J.J., 2019. </w:t>
      </w:r>
      <w:r>
        <w:rPr>
          <w:rStyle w:val="Hyperlink.1"/>
          <w:rtl w:val="0"/>
          <w:lang w:val="en-US"/>
        </w:rPr>
        <w:t xml:space="preserve">Interactive effects of hypoxia and temperature on coastal pelagic zooplankton and fish.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Frontiers in Marine Science</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6</w:t>
      </w:r>
      <w:r>
        <w:rPr>
          <w:rStyle w:val="Hyperlink.1"/>
          <w:rtl w:val="0"/>
          <w:lang w:val="en-US"/>
        </w:rPr>
        <w:t>, p.139.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Saha, T.K., Sajjad, H., Sharma, Y., Das, M. and Ali, R., 2026. </w:t>
      </w:r>
      <w:r>
        <w:rPr>
          <w:rStyle w:val="Hyperlink.1"/>
          <w:rtl w:val="0"/>
          <w:lang w:val="en-US"/>
        </w:rPr>
        <w:t xml:space="preserve">Assessing and Predicting Wetland Water Quality Using Water Quality Index and Ensemble Machine Learning Models: A Case Study of Deepor Beel (Ramsar Site), Assam, India.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Wetlands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46</w:t>
      </w:r>
      <w:r>
        <w:rPr>
          <w:rStyle w:val="Hyperlink.1"/>
          <w:rtl w:val="0"/>
          <w:lang w:val="en-US"/>
        </w:rPr>
        <w:t>(1), p.8.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Silvius, M.J., Oneka, M. and Verhagen, A., 2000. W</w:t>
      </w:r>
      <w:r>
        <w:rPr>
          <w:rStyle w:val="Hyperlink.1"/>
          <w:rtl w:val="0"/>
          <w:lang w:val="en-US"/>
        </w:rPr>
        <w:t xml:space="preserve">etlands: lifeline for people at the edge.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Physics and Chemistry of the Earth, Part B: Hydrology, Oceans and Atmosphere</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25</w:t>
      </w:r>
      <w:r>
        <w:rPr>
          <w:rStyle w:val="Hyperlink.1"/>
          <w:rtl w:val="0"/>
          <w:lang w:val="en-US"/>
        </w:rPr>
        <w:t>(7-8), pp.645-652.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Sharma, K. K. (2010). Geology of the Malwa Plateau.</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the Geological Society of India</w:t>
      </w:r>
      <w:r>
        <w:rPr>
          <w:rStyle w:val="Hyperlink.1"/>
          <w:rtl w:val="0"/>
          <w:lang w:val="en-US"/>
        </w:rPr>
        <w:t>, 75(3), 234</w:t>
      </w:r>
      <w:r>
        <w:rPr>
          <w:rStyle w:val="Hyperlink.1"/>
          <w:rtl w:val="0"/>
          <w:lang w:val="en-US"/>
        </w:rPr>
        <w:t>–</w:t>
      </w:r>
      <w:r>
        <w:rPr>
          <w:rStyle w:val="Hyperlink.1"/>
          <w:rtl w:val="0"/>
          <w:lang w:val="en-US"/>
        </w:rPr>
        <w:t>245.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Shipra Mishra, Praveen Singh., 2021.</w:t>
      </w:r>
      <w:r>
        <w:rPr>
          <w:rStyle w:val="Hyperlink.1"/>
          <w:rtl w:val="0"/>
          <w:lang w:val="en-US"/>
        </w:rPr>
        <w:t xml:space="preserve">Studies on the Physico-chemical parameters and correlation coefficient of Govindgarh Lake, Rewa (M.P.).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 J Adv Acad Stud</w:t>
      </w:r>
      <w:r>
        <w:rPr>
          <w:rStyle w:val="Hyperlink.1"/>
          <w:rtl w:val="0"/>
          <w:lang w:val="en-US"/>
        </w:rPr>
        <w:t>; 3(2), pp.34-38.</w:t>
      </w:r>
      <w:r>
        <w:rPr>
          <w:rStyle w:val="Hyperlink.1"/>
          <w:rtl w:val="0"/>
          <w:lang w:val="en-US"/>
        </w:rPr>
        <w:t> </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Sohani, D.S., 2022</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Biological Investigation of Water Resources And Comparison With Indore Municipal Corporation</w:t>
      </w:r>
      <w:r>
        <w:rPr>
          <w:rStyle w:val="Hyperlink.1"/>
          <w:rtl w:val="0"/>
          <w:lang w:val="en-US"/>
        </w:rPr>
        <w:t>. Book Rivers.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Solanki, V., 2026. </w:t>
      </w:r>
      <w:r>
        <w:rPr>
          <w:rStyle w:val="Hyperlink.1"/>
          <w:rtl w:val="0"/>
          <w:lang w:val="en-US"/>
        </w:rPr>
        <w:t xml:space="preserve">The Anthropogenic Destruction of Wetlands: Exploring the Need for a Legal Framework against </w:t>
      </w:r>
      <w:r>
        <w:rPr>
          <w:rStyle w:val="Hyperlink.1"/>
          <w:rtl w:val="0"/>
          <w:lang w:val="en-US"/>
        </w:rPr>
        <w:t>“</w:t>
      </w:r>
      <w:r>
        <w:rPr>
          <w:rStyle w:val="Hyperlink.1"/>
          <w:rtl w:val="0"/>
          <w:lang w:val="en-US"/>
        </w:rPr>
        <w:t>Wetcide</w:t>
      </w:r>
      <w:r>
        <w:rPr>
          <w:rStyle w:val="Hyperlink.1"/>
          <w:rtl w:val="0"/>
          <w:lang w:val="en-US"/>
        </w:rPr>
        <w: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Environmental Reviews</w:t>
      </w:r>
      <w:r>
        <w:rPr>
          <w:rStyle w:val="Hyperlink.1"/>
          <w:rtl w:val="0"/>
          <w:lang w:val="en-US"/>
        </w:rPr>
        <w:t>, (ja).</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Stein, J., 2025.</w:t>
      </w:r>
      <w:r>
        <w:rPr>
          <w:rStyle w:val="Hyperlink.1"/>
          <w:rtl w:val="0"/>
          <w:lang w:val="en-US"/>
        </w:rPr>
        <w:t xml:space="preserve"> Beyond Concrete: Assessing the Role of Wetlands, Aquifers, and Mangroves in Sustainable Flood and Groundwater Management.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Energy and Environmental Policy Options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8</w:t>
      </w:r>
      <w:r>
        <w:rPr>
          <w:rStyle w:val="Hyperlink.1"/>
          <w:rtl w:val="0"/>
          <w:lang w:val="en-US"/>
        </w:rPr>
        <w:t>(2), pp.13-25.</w:t>
      </w:r>
    </w:p>
    <w:p>
      <w:pPr>
        <w:pStyle w:val="Normal.0"/>
        <w:spacing w:after="0" w:line="360" w:lineRule="auto"/>
        <w:ind w:left="720" w:hanging="720"/>
        <w:jc w:val="both"/>
        <w:rPr>
          <w:rStyle w:val="None"/>
          <w:rFonts w:ascii="Times New Roman" w:cs="Times New Roman" w:hAnsi="Times New Roman" w:eastAsia="Times New Roman"/>
          <w:outline w:val="0"/>
          <w:color w:val="000000"/>
          <w:kern w:val="0"/>
          <w:u w:color="000000"/>
          <w14:textFill>
            <w14:solidFill>
              <w14:srgbClr w14:val="000000"/>
            </w14:solidFill>
          </w14:textFill>
        </w:rPr>
      </w:pPr>
      <w:r>
        <w:rPr>
          <w:rStyle w:val="None"/>
          <w:rFonts w:ascii="Times New Roman" w:hAnsi="Times New Roman"/>
          <w:b w:val="1"/>
          <w:bCs w:val="1"/>
          <w:kern w:val="0"/>
          <w:sz w:val="24"/>
          <w:szCs w:val="24"/>
          <w:rtl w:val="0"/>
          <w:lang w:val="en-US"/>
        </w:rPr>
        <w:t xml:space="preserve">Su, Y., Ling, B. and Ren, J., 2025. </w:t>
      </w:r>
      <w:r>
        <w:rPr>
          <w:rStyle w:val="Hyperlink.1"/>
          <w:rtl w:val="0"/>
          <w:lang w:val="en-US"/>
        </w:rPr>
        <w:t xml:space="preserve">Seasonal and spatial variations in eutrophication and water quality of Lake Aha, Guiyang city, China.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PLoS One</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20</w:t>
      </w:r>
      <w:r>
        <w:rPr>
          <w:rStyle w:val="Hyperlink.1"/>
          <w:rtl w:val="0"/>
          <w:lang w:val="en-US"/>
        </w:rPr>
        <w:t>(5), p.e0321562.</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Umwali, E.D., Kurban, A., Isabwe, A., Mind</w:t>
      </w:r>
      <w:r>
        <w:rPr>
          <w:rStyle w:val="None"/>
          <w:rFonts w:ascii="Times New Roman" w:hAnsi="Times New Roman" w:hint="default"/>
          <w:b w:val="1"/>
          <w:bCs w:val="1"/>
          <w:kern w:val="0"/>
          <w:sz w:val="24"/>
          <w:szCs w:val="24"/>
          <w:rtl w:val="0"/>
          <w:lang w:val="en-US"/>
        </w:rPr>
        <w:t>’</w:t>
      </w:r>
      <w:r>
        <w:rPr>
          <w:rStyle w:val="None"/>
          <w:rFonts w:ascii="Times New Roman" w:hAnsi="Times New Roman"/>
          <w:b w:val="1"/>
          <w:bCs w:val="1"/>
          <w:kern w:val="0"/>
          <w:sz w:val="24"/>
          <w:szCs w:val="24"/>
          <w:rtl w:val="0"/>
          <w:lang w:val="en-US"/>
        </w:rPr>
        <w:t>je, R., Azadi, H., Guo, Z., Udahogora, M., Nyirarwasa, A., Umuhoza, J., Nzabarinda, V. and Gasirabo, A., 2021.</w:t>
      </w:r>
      <w:r>
        <w:rPr>
          <w:rStyle w:val="Hyperlink.1"/>
          <w:rtl w:val="0"/>
          <w:lang w:val="en-US"/>
        </w:rPr>
        <w:t xml:space="preserve"> Spatio-seasonal variation of water quality influenced by land use and land cover in Lake Muhazi.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Scientific Reports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11</w:t>
      </w:r>
      <w:r>
        <w:rPr>
          <w:rStyle w:val="Hyperlink.1"/>
          <w:rtl w:val="0"/>
          <w:lang w:val="en-US"/>
        </w:rPr>
        <w:t>(1), p.17376.</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Umwali, E.D., Kurban, A., Isabwe, A., Mind</w:t>
      </w:r>
      <w:r>
        <w:rPr>
          <w:rStyle w:val="None"/>
          <w:rFonts w:ascii="Times New Roman" w:hAnsi="Times New Roman" w:hint="default"/>
          <w:b w:val="1"/>
          <w:bCs w:val="1"/>
          <w:kern w:val="0"/>
          <w:sz w:val="24"/>
          <w:szCs w:val="24"/>
          <w:rtl w:val="0"/>
          <w:lang w:val="en-US"/>
        </w:rPr>
        <w:t>’</w:t>
      </w:r>
      <w:r>
        <w:rPr>
          <w:rStyle w:val="None"/>
          <w:rFonts w:ascii="Times New Roman" w:hAnsi="Times New Roman"/>
          <w:b w:val="1"/>
          <w:bCs w:val="1"/>
          <w:kern w:val="0"/>
          <w:sz w:val="24"/>
          <w:szCs w:val="24"/>
          <w:rtl w:val="0"/>
          <w:lang w:val="en-US"/>
        </w:rPr>
        <w:t>je, R., Azadi, H., Guo, Z., Udahogora, M., Nyirarwasa, A., Umuhoza, J., Nzabarinda, V. and Gasirabo, A., 2021.</w:t>
      </w:r>
      <w:r>
        <w:rPr>
          <w:rStyle w:val="Hyperlink.1"/>
          <w:rtl w:val="0"/>
          <w:lang w:val="en-US"/>
        </w:rPr>
        <w:t xml:space="preserve"> Spatio-seasonal variation of water quality influenced by land use and land cover in Lake Muhazi.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Scientific Reports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11</w:t>
      </w:r>
      <w:r>
        <w:rPr>
          <w:rStyle w:val="Hyperlink.1"/>
          <w:rtl w:val="0"/>
          <w:lang w:val="en-US"/>
        </w:rPr>
        <w:t>(1), p.17376.</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Varikoden, H., Preethi, B. and Revadekar, J.V., 2012. </w:t>
      </w:r>
      <w:r>
        <w:rPr>
          <w:rStyle w:val="Hyperlink.1"/>
          <w:rtl w:val="0"/>
          <w:lang w:val="en-US"/>
        </w:rPr>
        <w:t xml:space="preserve">Diurnal and spatial variation of Indian summer monsoon rainfall using tropical rainfall measuring mission rain rate.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Hydrology</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475</w:t>
      </w:r>
      <w:r>
        <w:rPr>
          <w:rStyle w:val="Hyperlink.1"/>
          <w:rtl w:val="0"/>
          <w:lang w:val="en-US"/>
        </w:rPr>
        <w:t>, pp.248-258.</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Vijayan, V. S. (1991). Keoladeo National Park Ecology Study (1980-1990) </w:t>
      </w:r>
      <w:r>
        <w:rPr>
          <w:rStyle w:val="Hyperlink.1"/>
          <w:rtl w:val="0"/>
          <w:lang w:val="en-US"/>
        </w:rPr>
        <w:t>- An Overview. Bombay Natural History Society, Bombay.</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Wahid, A.A. and Arunbabu, E., 2025.</w:t>
      </w:r>
      <w:r>
        <w:rPr>
          <w:rStyle w:val="Hyperlink.1"/>
          <w:rtl w:val="0"/>
          <w:lang w:val="en-US"/>
        </w:rPr>
        <w:t xml:space="preserve"> Multivariate analysis of water quality dynamics in a highly eutrophic reservoir: hydrological, meteorological, and environmental contributions.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Stochastic Environmental Research and Risk Assessment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39</w:t>
      </w:r>
      <w:r>
        <w:rPr>
          <w:rStyle w:val="Hyperlink.1"/>
          <w:rtl w:val="0"/>
          <w:lang w:val="en-US"/>
        </w:rPr>
        <w:t>(6), pp.2373-2393.</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Wainger, L.A., Filoso, S., Murray, E.O., Weber, M.A., Price, E.W., Flemming, T.H., Hychka, K. and Guilfoyle, M.P., 2026.</w:t>
      </w:r>
      <w:r>
        <w:rPr>
          <w:rStyle w:val="Hyperlink.1"/>
          <w:rtl w:val="0"/>
          <w:lang w:val="en-US"/>
        </w:rPr>
        <w:t xml:space="preserve"> Assessing relative wetland flood risk management benefits using COPE: an exploration of Capacity, Opportunity, Payoff, and Efficacy.</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Watkar, A. and Bobdey, A.D., 2014.</w:t>
      </w:r>
      <w:r>
        <w:rPr>
          <w:rStyle w:val="Hyperlink.1"/>
          <w:rtl w:val="0"/>
          <w:lang w:val="en-US"/>
        </w:rPr>
        <w:t xml:space="preserve"> Relationship Between Water Temperature and Dissolved Oxygen of Kolar River, Saoner,(MS), India.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 Jr. of Biosci. Agri. &amp; Tech. Vol. 2 (3), pp. 124-129.</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Wickramasingha, B., West, J., Bellanthudawa, B.K.A., Graziano, M.P. and Surasinghe, T.D., 2026.</w:t>
      </w:r>
      <w:r>
        <w:rPr>
          <w:rStyle w:val="Hyperlink.1"/>
          <w:rtl w:val="0"/>
          <w:lang w:val="en-US"/>
        </w:rPr>
        <w:t xml:space="preserve"> The Multifaceted Importance of Amphibians: Ecological, Biomedical, and Socio-Economic Perspectives.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Biology</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15</w:t>
      </w:r>
      <w:r>
        <w:rPr>
          <w:rStyle w:val="Hyperlink.1"/>
          <w:rtl w:val="0"/>
          <w:lang w:val="en-US"/>
        </w:rPr>
        <w:t>(1), p.98.</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Xu, L., Li, H., Chen, Y.X., Yao, Y.X., Liang, X.Q., Zhou, L. and Zhang, X.Z., 2010.</w:t>
      </w:r>
      <w:r>
        <w:rPr>
          <w:rStyle w:val="Hyperlink.1"/>
          <w:rtl w:val="0"/>
          <w:lang w:val="en-US"/>
        </w:rPr>
        <w:t xml:space="preserve"> Research on seasonal variation of self-purification ability for small shallow lakes in South Lake Taihu.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Huan Jing ke Xue= HuanjingKexue</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31</w:t>
      </w:r>
      <w:r>
        <w:rPr>
          <w:rStyle w:val="Hyperlink.1"/>
          <w:rtl w:val="0"/>
          <w:lang w:val="en-US"/>
        </w:rPr>
        <w:t>(4), pp.924-930.</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Xu, T., Weng, B., Yan, D., Wang, K., Li, X., Bi, W., ... &amp; Liu, Y.,2019.</w:t>
      </w:r>
      <w:r>
        <w:rPr>
          <w:rStyle w:val="Hyperlink.1"/>
          <w:rtl w:val="0"/>
          <w:lang w:val="en-US"/>
        </w:rPr>
        <w:t xml:space="preserve"> Wetlands of international importance: Status, threats, and future protection.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International journal of environmental research and public health</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16</w:t>
      </w:r>
      <w:r>
        <w:rPr>
          <w:rStyle w:val="Hyperlink.1"/>
          <w:rtl w:val="0"/>
          <w:lang w:val="en-US"/>
        </w:rPr>
        <w:t>(10), 1818.</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Zedler, J.B. and Kercher, S., 2005.</w:t>
      </w:r>
      <w:r>
        <w:rPr>
          <w:rStyle w:val="Hyperlink.1"/>
          <w:rtl w:val="0"/>
          <w:lang w:val="en-US"/>
        </w:rPr>
        <w:t xml:space="preserve"> Wetland resources: status, trends, ecosystem services, and restorability.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Annu. Rev. Environ. Resour.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30</w:t>
      </w:r>
      <w:r>
        <w:rPr>
          <w:rStyle w:val="Hyperlink.1"/>
          <w:rtl w:val="0"/>
          <w:lang w:val="en-US"/>
        </w:rPr>
        <w:t>, pp.39-74.</w:t>
      </w:r>
    </w:p>
    <w:p>
      <w:pPr>
        <w:pStyle w:val="Normal.0"/>
        <w:spacing w:after="0" w:line="380" w:lineRule="exact"/>
        <w:ind w:left="720" w:hanging="720"/>
        <w:jc w:val="both"/>
        <w:rPr>
          <w:rStyle w:val="Hyperlink.1"/>
        </w:rPr>
      </w:pPr>
      <w:r>
        <w:rPr>
          <w:rStyle w:val="None"/>
          <w:rFonts w:ascii="Times New Roman" w:hAnsi="Times New Roman"/>
          <w:b w:val="1"/>
          <w:bCs w:val="1"/>
          <w:kern w:val="0"/>
          <w:sz w:val="24"/>
          <w:szCs w:val="24"/>
          <w:rtl w:val="0"/>
          <w:lang w:val="en-US"/>
        </w:rPr>
        <w:t>Zutshi, D.P., Subla, B.A., Khan, M.A. and Wanganeo, A., 1980.</w:t>
      </w:r>
      <w:r>
        <w:rPr>
          <w:rStyle w:val="Hyperlink.1"/>
          <w:rtl w:val="0"/>
          <w:lang w:val="en-US"/>
        </w:rPr>
        <w:t xml:space="preserve"> Comparative limnology of nine lakes of Jammu and Kashmir Himalayas.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Hydrobiologia</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72</w:t>
      </w:r>
      <w:r>
        <w:rPr>
          <w:rStyle w:val="Hyperlink.1"/>
          <w:rtl w:val="0"/>
          <w:lang w:val="en-US"/>
        </w:rPr>
        <w:t>(1), pp.101-112.</w:t>
      </w: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None"/>
          <w:rFonts w:ascii="Times New Roman" w:cs="Times New Roman" w:hAnsi="Times New Roman" w:eastAsia="Times New Roman"/>
          <w:kern w:val="0"/>
          <w:sz w:val="24"/>
          <w:szCs w:val="24"/>
        </w:rPr>
      </w:pPr>
    </w:p>
    <w:p>
      <w:pPr>
        <w:pStyle w:val="Normal (Web)"/>
        <w:spacing w:after="0" w:line="360" w:lineRule="auto"/>
        <w:jc w:val="center"/>
        <w:rPr>
          <w:rStyle w:val="None"/>
          <w:b w:val="1"/>
          <w:bCs w:val="1"/>
          <w:outline w:val="0"/>
          <w:color w:val="000000"/>
          <w:kern w:val="0"/>
          <w:u w:color="000000"/>
          <w14:textFill>
            <w14:solidFill>
              <w14:srgbClr w14:val="000000"/>
            </w14:solidFill>
          </w14:textFill>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INSECT DIVERSITY AS A TOOL FOR BIODIVERSITY                                      CONSERVATION IN AN EDUCATIONAL CAMPUS</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Benishma,</w:t>
      </w:r>
      <w:r>
        <w:rPr>
          <w:i w:val="1"/>
          <w:iCs w:val="1"/>
          <w:rtl w:val="0"/>
          <w:lang w:val="en-US"/>
        </w:rPr>
        <w:t xml:space="preserve"> </w:t>
      </w:r>
      <w:r>
        <w:rPr>
          <w:rStyle w:val="None"/>
          <w:rFonts w:ascii="Times New Roman" w:hAnsi="Times New Roman"/>
          <w:i w:val="1"/>
          <w:iCs w:val="1"/>
          <w:kern w:val="0"/>
          <w:sz w:val="24"/>
          <w:szCs w:val="24"/>
          <w:rtl w:val="0"/>
          <w:lang w:val="en-US"/>
        </w:rPr>
        <w:t>S</w:t>
      </w:r>
      <w:r>
        <w:rPr>
          <w:rStyle w:val="None"/>
          <w:rFonts w:ascii="Times New Roman" w:hAnsi="Times New Roman"/>
          <w:i w:val="1"/>
          <w:iCs w:val="1"/>
          <w:kern w:val="0"/>
          <w:sz w:val="24"/>
          <w:szCs w:val="24"/>
          <w:vertAlign w:val="superscript"/>
          <w:rtl w:val="0"/>
          <w:lang w:val="en-US"/>
        </w:rPr>
        <w:t>1</w:t>
      </w:r>
      <w:r>
        <w:rPr>
          <w:rStyle w:val="None"/>
          <w:rFonts w:ascii="Times New Roman" w:hAnsi="Times New Roman"/>
          <w:i w:val="1"/>
          <w:iCs w:val="1"/>
          <w:kern w:val="0"/>
          <w:sz w:val="24"/>
          <w:szCs w:val="24"/>
          <w:rtl w:val="0"/>
          <w:lang w:val="en-US"/>
        </w:rPr>
        <w:t>., G. J. Jenila,G. J</w:t>
      </w:r>
      <w:r>
        <w:rPr>
          <w:rStyle w:val="None"/>
          <w:rFonts w:ascii="Times New Roman" w:hAnsi="Times New Roman"/>
          <w:i w:val="1"/>
          <w:iCs w:val="1"/>
          <w:kern w:val="0"/>
          <w:sz w:val="24"/>
          <w:szCs w:val="24"/>
          <w:vertAlign w:val="superscript"/>
          <w:rtl w:val="0"/>
          <w:lang w:val="en-US"/>
        </w:rPr>
        <w:t>2</w:t>
      </w:r>
      <w:r>
        <w:rPr>
          <w:rStyle w:val="None"/>
          <w:rFonts w:ascii="Times New Roman" w:hAnsi="Times New Roman"/>
          <w:i w:val="1"/>
          <w:iCs w:val="1"/>
          <w:kern w:val="0"/>
          <w:sz w:val="24"/>
          <w:szCs w:val="24"/>
          <w:rtl w:val="0"/>
          <w:lang w:val="en-US"/>
        </w:rPr>
        <w:t>.,and Ahila Angelin,J</w:t>
      </w:r>
      <w:r>
        <w:rPr>
          <w:rStyle w:val="None"/>
          <w:rFonts w:ascii="Times New Roman" w:hAnsi="Times New Roman"/>
          <w:i w:val="1"/>
          <w:iCs w:val="1"/>
          <w:kern w:val="0"/>
          <w:sz w:val="24"/>
          <w:szCs w:val="24"/>
          <w:vertAlign w:val="superscript"/>
          <w:rtl w:val="0"/>
          <w:lang w:val="en-US"/>
        </w:rPr>
        <w:t>3</w:t>
      </w:r>
      <w:r>
        <w:rPr>
          <w:rStyle w:val="None"/>
          <w:rFonts w:ascii="Times New Roman" w:hAnsi="Times New Roman"/>
          <w:i w:val="1"/>
          <w:iCs w:val="1"/>
          <w:kern w:val="0"/>
          <w:sz w:val="24"/>
          <w:szCs w:val="24"/>
          <w:rtl w:val="0"/>
          <w:lang w:val="en-US"/>
        </w:rPr>
        <w:t xml:space="preserve">. </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hint="default"/>
          <w:i w:val="1"/>
          <w:iCs w:val="1"/>
          <w:kern w:val="0"/>
          <w:sz w:val="24"/>
          <w:szCs w:val="24"/>
          <w:rtl w:val="0"/>
          <w:lang w:val="en-US"/>
        </w:rPr>
        <w:t xml:space="preserve">¹ </w:t>
      </w:r>
      <w:r>
        <w:rPr>
          <w:rStyle w:val="None"/>
          <w:rFonts w:ascii="Times New Roman" w:hAnsi="Times New Roman"/>
          <w:i w:val="1"/>
          <w:iCs w:val="1"/>
          <w:kern w:val="0"/>
          <w:sz w:val="24"/>
          <w:szCs w:val="24"/>
          <w:rtl w:val="0"/>
          <w:lang w:val="en-US"/>
        </w:rPr>
        <w:t>M.Sc. Zoology, PG and Research Department of Zoology, Holy Cross (Autonomous) College, Nagercoil, Tamil Nadu, India.</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hint="default"/>
          <w:i w:val="1"/>
          <w:iCs w:val="1"/>
          <w:kern w:val="0"/>
          <w:sz w:val="24"/>
          <w:szCs w:val="24"/>
          <w:rtl w:val="0"/>
          <w:lang w:val="en-US"/>
        </w:rPr>
        <w:t xml:space="preserve">² </w:t>
      </w:r>
      <w:r>
        <w:rPr>
          <w:rStyle w:val="None"/>
          <w:rFonts w:ascii="Times New Roman" w:hAnsi="Times New Roman"/>
          <w:i w:val="1"/>
          <w:iCs w:val="1"/>
          <w:kern w:val="0"/>
          <w:sz w:val="24"/>
          <w:szCs w:val="24"/>
          <w:vertAlign w:val="superscript"/>
          <w:rtl w:val="0"/>
          <w:lang w:val="en-US"/>
        </w:rPr>
        <w:t>,3</w:t>
      </w:r>
      <w:r>
        <w:rPr>
          <w:rStyle w:val="None"/>
          <w:rFonts w:ascii="Times New Roman" w:hAnsi="Times New Roman"/>
          <w:i w:val="1"/>
          <w:iCs w:val="1"/>
          <w:kern w:val="0"/>
          <w:sz w:val="24"/>
          <w:szCs w:val="24"/>
          <w:rtl w:val="0"/>
          <w:lang w:val="en-US"/>
        </w:rPr>
        <w:t>Assistant Professor, Department of Zoology, Women's Christian College, Nagercoil,                            Tamil Nadu, India</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kern w:val="0"/>
          <w:sz w:val="24"/>
          <w:szCs w:val="24"/>
          <w:rtl w:val="0"/>
          <w:lang w:val="en-US"/>
        </w:rPr>
        <w:t xml:space="preserve">Email </w:t>
      </w:r>
      <w:r>
        <w:rPr>
          <w:rStyle w:val="Hyperlink.0"/>
          <w:rtl w:val="0"/>
          <w:lang w:val="en-US"/>
        </w:rPr>
        <w:t>gj.jenila@gmail.com</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Insects constitute one of the most diverse and ecologically significant groups of organisms, playing vital roles in pollination, decomposition, nutrient cycling, biological control and maintenance of ecosystem stability. The present study was undertaken to document the insect diversity and assess the ecological significance of insect fauna occurring within the campus ecosystem of Women's Christian College, Nagercoil, Tamil Nadu. A field survey was conducted during January to</w:t>
      </w:r>
      <w:r>
        <w:rPr>
          <w:rStyle w:val="Hyperlink.1"/>
          <w:rtl w:val="0"/>
          <w:lang w:val="en-US"/>
        </w:rPr>
        <w:t xml:space="preserve">  </w:t>
      </w:r>
      <w:r>
        <w:rPr>
          <w:rStyle w:val="Hyperlink.1"/>
          <w:rtl w:val="0"/>
          <w:lang w:val="en-US"/>
        </w:rPr>
        <w:t>March 2025 using a combination of hand picking, sweep netting, aerial netting, visual observation and light trapping techniques. The collected specimens were identified based on morphological characteristics with the aid of standard taxonomic keys and relevant entomological literature.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Among the identified insect fauna, representatives belonging to 18 families and 9 orders were documented from the study area. The recorded orders included Thysanura, Orthoptera, Odonata, Coleoptera, Lepidoptera, Hemiptera, Diptera, Hymenoptera and Dermaptera. Lepidoptera represented the dominant order with 27.78% of the recorded taxa, followed by Hymenoptera (16.67%), while Odonata, Hemiptera and Diptera each contributed 11.11%. Thysanura, Orthoptera, Coleoptera and Dermaptera were represented by 5.56% each. The recorded insect fauna comprised diverse ecological groups including pollinators, predators, decomposers, herbivores, scavengers, pests and disease vectors. Among the collected insects, pollinating insects constituted 22.22%, predatory insects 22.22%, pest and herbivorous insects 22.22%, decomposers and detritivores 16.67%, scavengers 11.11% and disease vectors 5.56% of the total recorded insect fauna.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Rapid urbanization, industrialization, habitat fragmentation and environmental disturbances have contributed to the decline of insect populations in many regions of the world. Therefore, documentation and conservation of local insect diversity have become increasingly important for maintaining ecosystem health and biodiversity. The findings of the present study provide valuable baseline information on insect diversity and highlight the role of educational campuses as important refuges for insect conservation. The study emphasizes the need to preserve green spaces and maintain habitat heterogeneity to support insect communities and promote biodiversity conservation in urban and semi-urban environments.</w:t>
      </w:r>
    </w:p>
    <w:p>
      <w:pPr>
        <w:pStyle w:val="Normal.0"/>
        <w:spacing w:after="0" w:line="360" w:lineRule="auto"/>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Keywords:</w:t>
      </w:r>
      <w:r>
        <w:rPr>
          <w:rStyle w:val="None"/>
          <w:rFonts w:ascii="Times New Roman" w:hAnsi="Times New Roman"/>
          <w:i w:val="1"/>
          <w:iCs w:val="1"/>
          <w:kern w:val="0"/>
          <w:sz w:val="24"/>
          <w:szCs w:val="24"/>
          <w:rtl w:val="0"/>
          <w:lang w:val="en-US"/>
        </w:rPr>
        <w:t xml:space="preserve"> Insect Diversity, Species Richness, Insect conservation, Campus Ecosystem, Industrialization, Biodiversity Conservation, Urbanization.</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Insects constitute the most diverse and abundant group of animals on Earth, representing a major proportion of global biodiversity. Their remarkable evolutionary success has enabled them to colonize almost every terrestrial and freshwater habitat (New, 1997). Insects perform numerous ecological functions including pollination, decomposition, nutrient cycling, biological control and maintenance of food webs. These ecosystem services are essential for sustaining biodiversity, ecosystem productivity and environmental stability (Kremen et al.,1993).</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diversity and distribution of insect communities are strongly influenced by habitat characteristics, vegetation composition, climatic conditions and resource availability          (Didham et al., 1996)</w:t>
      </w:r>
      <w:r>
        <w:rPr>
          <w:rStyle w:val="Hyperlink.1"/>
          <w:rtl w:val="0"/>
          <w:lang w:val="en-US"/>
        </w:rPr>
        <w:t xml:space="preserve">  </w:t>
      </w:r>
      <w:r>
        <w:rPr>
          <w:rStyle w:val="Hyperlink.1"/>
          <w:rtl w:val="0"/>
          <w:lang w:val="en-US"/>
        </w:rPr>
        <w:t>Diverse habitats containing a variety of plant species provide food, shelter and breeding sites for numerous insect taxa, thereby supporting greater species richness and ecological complexity. Consequently, insect diversity is often considered an important component in biodiversity assessments and ecological studies (McGeoch, 1998)</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Insects occupy different trophic levels and ecological niches within ecosystems and contribute significantly to ecosystem functioning (Andersen et al., 2002). Pollinating insects facilitate plant reproduction and genetic diversity, predatory insects regulate pest populations, while decomposers accelerate the breakdown of organic matter and nutrient recycling. These ecological services enhance ecosystem resilience and support the maintenance of biological communities (Losey &amp; Vaughan, 2006)</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Educational Campus ecosystems often comprise a mosaic of microhabitats including gardens, grasslands, shrubs, ornamental plants and tree-covered areas that provide suitable conditions for a wide range of insect species( Nichols et al., 2008). Such habitats support diverse ecological guilds including pollinators, predators, herbivores, scavengers and decomposers. Documentation of insect diversity within campus ecosystems is therefore important for understanding species composition, ecological interactions and biodiversity conservation at the local level (Dennis et al., 2003)</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Despite their ecological significance, insect communities are increasingly affected by habitat alteration, urbanization and environmental disturbances, leading to changes in species diversity and distribution( Cardoso et al., 2011).Therefore, systematic documentation of insect fauna is essential for generating baseline information that can contribute to future biodiversity monitoring and conservation programmes .Studies on insect diversity provide valuable insights into ecosystem structure and ecological functioning while highlighting the importance of conserving local habitats (Lewinsohn et al., 2005).</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Bio-diversity study of insects is focused directly on the variations at the species of insects. Compared to vertebrates and many plants, insects usually have relatively life spans, rapid generations times and often high reproductive output, meaning that populations can fluctuate greatly, both temporally and spatially (Brown, 1997).</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present study was undertaken to document the insect diversity in the Women</w:t>
      </w:r>
      <w:r>
        <w:rPr>
          <w:rStyle w:val="Hyperlink.1"/>
          <w:rtl w:val="0"/>
          <w:lang w:val="en-US"/>
        </w:rPr>
        <w:t>’</w:t>
      </w:r>
      <w:r>
        <w:rPr>
          <w:rStyle w:val="Hyperlink.1"/>
          <w:rtl w:val="0"/>
          <w:lang w:val="en-US"/>
        </w:rPr>
        <w:t>s Christian college campus ecosystem and to assess the ecological roles performed by the recorded insect fauna. The investigation aims to provide baseline information on species richness, taxonomic composition and ecological significance of insects inhabiting the study area.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main objective of the project is to identify the insect species and diversity in the Women</w:t>
      </w:r>
      <w:r>
        <w:rPr>
          <w:rStyle w:val="Hyperlink.1"/>
          <w:rtl w:val="0"/>
          <w:lang w:val="en-US"/>
        </w:rPr>
        <w:t>’</w:t>
      </w:r>
      <w:r>
        <w:rPr>
          <w:rStyle w:val="Hyperlink.1"/>
          <w:rtl w:val="0"/>
          <w:lang w:val="en-US"/>
        </w:rPr>
        <w:t>s</w:t>
      </w:r>
      <w:r>
        <w:rPr>
          <w:rStyle w:val="Hyperlink.1"/>
          <w:rtl w:val="0"/>
          <w:lang w:val="en-US"/>
        </w:rPr>
        <w:t xml:space="preserve">  </w:t>
      </w:r>
      <w:r>
        <w:rPr>
          <w:rStyle w:val="Hyperlink.1"/>
          <w:rtl w:val="0"/>
          <w:lang w:val="en-US"/>
        </w:rPr>
        <w:t>Christian College campus, Nagercoil.</w:t>
      </w:r>
    </w:p>
    <w:p>
      <w:pPr>
        <w:pStyle w:val="List Paragraph"/>
        <w:numPr>
          <w:ilvl w:val="0"/>
          <w:numId w:val="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To document the insect diversity present in the campus of Women's Christian College, Nagercoil, Tamil Nadu.</w:t>
      </w:r>
    </w:p>
    <w:p>
      <w:pPr>
        <w:pStyle w:val="List Paragraph"/>
        <w:numPr>
          <w:ilvl w:val="0"/>
          <w:numId w:val="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To identify and classify the recorded insect species into their respective taxonomic orders and families.</w:t>
      </w:r>
    </w:p>
    <w:p>
      <w:pPr>
        <w:pStyle w:val="List Paragraph"/>
        <w:numPr>
          <w:ilvl w:val="0"/>
          <w:numId w:val="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To analyze and study</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outline w:val="0"/>
          <w:color w:val="000000"/>
          <w:kern w:val="0"/>
          <w:sz w:val="24"/>
          <w:szCs w:val="24"/>
          <w:u w:color="000000"/>
          <w:rtl w:val="0"/>
          <w:lang w:val="en-US"/>
          <w14:textFill>
            <w14:solidFill>
              <w14:srgbClr w14:val="000000"/>
            </w14:solidFill>
          </w14:textFill>
        </w:rPr>
        <w:t>the ecological roles of the recorded insects, including pollinators, predators, decomposers, pests and disease vectors.</w:t>
      </w:r>
    </w:p>
    <w:p>
      <w:pPr>
        <w:pStyle w:val="List Paragraph"/>
        <w:numPr>
          <w:ilvl w:val="0"/>
          <w:numId w:val="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To assess the species richness and taxonomic composition of insects inhabiting the college campus ecosystem</w:t>
      </w:r>
    </w:p>
    <w:p>
      <w:pPr>
        <w:pStyle w:val="List Paragraph"/>
        <w:bidi w:val="0"/>
        <w:spacing w:after="0" w:line="360" w:lineRule="auto"/>
        <w:ind w:left="0" w:right="0" w:firstLine="0"/>
        <w:jc w:val="both"/>
        <w:rPr>
          <w:rStyle w:val="None A"/>
          <w:rFonts w:ascii="Times New Roman" w:cs="Times New Roman" w:hAnsi="Times New Roman" w:eastAsia="Times New Roman"/>
          <w:sz w:val="24"/>
          <w:szCs w:val="24"/>
          <w:rtl w:val="0"/>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2.1</w:t>
        <w:tab/>
        <w:t>Study Area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present study was conducted in the campus of Women's Christian College, Nagercoil, Kanyakumari District, Tamil Nadu, India, during 2025. In present study, collection of most of the species were done between 10:00 am-3:00 pm and twice in a day, in the month of January-March 2025. The college campus comprises a heterogeneous habitat consisting of ornamental gardens, flowering plants, shrubs, grasses, trees and open spaces. The diverse vegetation within the campus provides suitable microhabitats for a wide variety of insect species. The presence of flowering plants, leaf litter, tree bark and grass-covered areas supports different ecological groups of insects including pollinators, predators, decomposers and herbivores. The study area was selected to document insect diversity and assess their ecological significance within the campus ecosystem.</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2.2</w:t>
        <w:tab/>
        <w:t>Collection and Identification of Insects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Insect surveys were carried out in different habitats of the college campus using a combination of hand picking, sweep netting, aerial netting, visual observation and light trapping techniques. Surveys were conducted during morning and evening hours when insect activity was comparatively high.</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Hand picking</w:t>
      </w:r>
      <w:r>
        <w:rPr>
          <w:rStyle w:val="Hyperlink.1"/>
          <w:rtl w:val="0"/>
          <w:lang w:val="en-US"/>
        </w:rPr>
        <w:t xml:space="preserve"> was employed for collecting insects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Lepisma saccharina</w:t>
      </w:r>
      <w:r>
        <w:rPr>
          <w:rStyle w:val="Hyperlink.1"/>
          <w:rtl w:val="0"/>
          <w:lang w:val="en-US"/>
        </w:rPr>
        <w:t xml:space="preserve"> (Silverfish),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Forficulaauricularia</w:t>
      </w:r>
      <w:r>
        <w:rPr>
          <w:rStyle w:val="Hyperlink.1"/>
          <w:rtl w:val="0"/>
          <w:lang w:val="en-US"/>
        </w:rPr>
        <w:t xml:space="preserve"> (Earwig)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Oryctes rhinoceros</w:t>
      </w:r>
      <w:r>
        <w:rPr>
          <w:rStyle w:val="Hyperlink.1"/>
          <w:rtl w:val="0"/>
          <w:lang w:val="en-US"/>
        </w:rPr>
        <w:t xml:space="preserve"> (Rhinoceros beetle) from leaf litter, tree trunks, bark crevices and sheltered habitats.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Sweep netting</w:t>
      </w:r>
      <w:r>
        <w:rPr>
          <w:rStyle w:val="Hyperlink.1"/>
          <w:rtl w:val="0"/>
          <w:lang w:val="en-US"/>
        </w:rPr>
        <w:t xml:space="preserve"> was carried out in grassy and herbaceous vegetation for collecting insects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Melanoplus bivittatus</w:t>
      </w:r>
      <w:r>
        <w:rPr>
          <w:rStyle w:val="Hyperlink.1"/>
          <w:rtl w:val="0"/>
          <w:lang w:val="en-US"/>
        </w:rPr>
        <w:t xml:space="preserve"> (Grasshopper)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Leptocorisa sp.</w:t>
      </w:r>
      <w:r>
        <w:rPr>
          <w:rStyle w:val="Hyperlink.1"/>
          <w:rtl w:val="0"/>
          <w:lang w:val="en-US"/>
        </w:rPr>
        <w:t xml:space="preserve"> (Rice bug). An insect sweep net was used to capture insects inhabiting grasses and low vegetation.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Aerial netting</w:t>
      </w:r>
      <w:r>
        <w:rPr>
          <w:rStyle w:val="Hyperlink.1"/>
          <w:rtl w:val="0"/>
          <w:lang w:val="en-US"/>
        </w:rPr>
        <w:t xml:space="preserve"> was employed for capturing flying insects including butterflies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Danaus chrysippus, Papilio demoleus</w:t>
      </w:r>
      <w:r>
        <w:rPr>
          <w:rStyle w:val="Hyperlink.1"/>
          <w:rtl w:val="0"/>
          <w:lang w:val="en-US"/>
        </w:rPr>
        <w:t xml:space="preserve"> and</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Kallima inachus</w:t>
      </w:r>
      <w:r>
        <w:rPr>
          <w:rStyle w:val="Hyperlink.1"/>
          <w:rtl w:val="0"/>
          <w:lang w:val="en-US"/>
        </w:rPr>
        <w:t>), dragonflies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Tachopteryxthoreyi</w:t>
      </w:r>
      <w:r>
        <w:rPr>
          <w:rStyle w:val="Hyperlink.1"/>
          <w:rtl w:val="0"/>
          <w:lang w:val="en-US"/>
        </w:rPr>
        <w:t>) and damselflies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Calopteryx virgo</w:t>
      </w:r>
      <w:r>
        <w:rPr>
          <w:rStyle w:val="Hyperlink.1"/>
          <w:rtl w:val="0"/>
          <w:lang w:val="en-US"/>
        </w:rPr>
        <w:t>). These insects were carefully collected from gardens and open vegetation areas.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Visual observation</w:t>
      </w:r>
      <w:r>
        <w:rPr>
          <w:rStyle w:val="Hyperlink.1"/>
          <w:rtl w:val="0"/>
          <w:lang w:val="en-US"/>
        </w:rPr>
        <w:t xml:space="preserve"> was used for recording insects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Apis indica</w:t>
      </w:r>
      <w:r>
        <w:rPr>
          <w:rStyle w:val="Hyperlink.1"/>
          <w:rtl w:val="0"/>
          <w:lang w:val="en-US"/>
        </w:rPr>
        <w:t xml:space="preserve"> (Honey bee),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Oecophyllasmaragdina</w:t>
      </w:r>
      <w:r>
        <w:rPr>
          <w:rStyle w:val="Hyperlink.1"/>
          <w:rtl w:val="0"/>
          <w:lang w:val="en-US"/>
        </w:rPr>
        <w:t xml:space="preserve"> (Weaver ant),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Musca domestica</w:t>
      </w:r>
      <w:r>
        <w:rPr>
          <w:rStyle w:val="Hyperlink.1"/>
          <w:rtl w:val="0"/>
          <w:lang w:val="en-US"/>
        </w:rPr>
        <w:t xml:space="preserve"> (Housefly</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Aedes aegypti</w:t>
      </w:r>
      <w:r>
        <w:rPr>
          <w:rStyle w:val="Hyperlink.1"/>
          <w:rtl w:val="0"/>
          <w:lang w:val="en-US"/>
        </w:rPr>
        <w:t xml:space="preserve"> (Mosquito)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Dipogonsubintermedius</w:t>
      </w:r>
      <w:r>
        <w:rPr>
          <w:rStyle w:val="Hyperlink.1"/>
          <w:rtl w:val="0"/>
          <w:lang w:val="en-US"/>
        </w:rPr>
        <w:t>(Spider wasp). Photographs were taken whenever necessary to facilitate species identification.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Light trapping</w:t>
      </w:r>
      <w:r>
        <w:rPr>
          <w:rStyle w:val="Hyperlink.1"/>
          <w:rtl w:val="0"/>
          <w:lang w:val="en-US"/>
        </w:rPr>
        <w:t xml:space="preserve"> was utilized during evening hours to observe nocturnal insects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Amata huebneri</w:t>
      </w:r>
      <w:r>
        <w:rPr>
          <w:rStyle w:val="Hyperlink.1"/>
          <w:rtl w:val="0"/>
          <w:lang w:val="en-US"/>
        </w:rPr>
        <w:t xml:space="preserve"> (Wasp moth)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Pectinophoragossypiella</w:t>
      </w:r>
      <w:r>
        <w:rPr>
          <w:rStyle w:val="Hyperlink.1"/>
          <w:rtl w:val="0"/>
          <w:lang w:val="en-US"/>
        </w:rPr>
        <w:t xml:space="preserve"> (Pink bollworm moth), which were attracted to illuminated areas.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The collected specimens were photographed and identified using standard taxonomic keys and relevant entomological literature. The identified insects were classified into their respective orders, families and species, and the recorded data were further analyzed to determine species richness, taxonomic composition and ecological significance within the campus ecosystem.</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2.3</w:t>
        <w:tab/>
        <w:t>Means of Identification of insects</w:t>
      </w:r>
    </w:p>
    <w:p>
      <w:pPr>
        <w:pStyle w:val="Normal.0"/>
        <w:spacing w:after="0" w:line="360" w:lineRule="auto"/>
        <w:jc w:val="both"/>
        <w:rPr>
          <w:rStyle w:val="Hyperlink.1"/>
        </w:rPr>
      </w:pPr>
      <w:r>
        <w:rPr>
          <w:rStyle w:val="Hyperlink.1"/>
          <w:rtl w:val="0"/>
          <w:lang w:val="en-US"/>
        </w:rPr>
        <w:t>The collected insect specimens were identified based on their external morphological characteristics such as body shape, colour pattern, wing venation, antennae, mouthparts, legs and other diagnostic features. Identification was carried out using standard taxonomic keys, field guides and relevant entomological literature. Photographs of the collected specimens were also utilized to facilitate accurate identification. The identified insects were subsequently classified into their respective orders, families and species following standard taxonomic nomenclature (Andersen et al., 2002).Some of the insects collected are as follows.</w:t>
      </w:r>
    </w:p>
    <w:p>
      <w:pPr>
        <w:pStyle w:val="Normal.0"/>
        <w:spacing w:after="0" w:line="360" w:lineRule="auto"/>
        <w:jc w:val="both"/>
        <w:rPr>
          <w:rStyle w:val="Hyperlink.1"/>
        </w:rPr>
      </w:pPr>
    </w:p>
    <w:p>
      <w:pPr>
        <w:pStyle w:val="Normal.0"/>
        <w:spacing w:after="0" w:line="360" w:lineRule="auto"/>
        <w:jc w:val="both"/>
        <w:rPr>
          <w:rStyle w:val="None"/>
          <w:rFonts w:ascii="Times New Roman" w:cs="Times New Roman" w:hAnsi="Times New Roman" w:eastAsia="Times New Roman"/>
          <w:kern w:val="0"/>
          <w:sz w:val="24"/>
          <w:szCs w:val="24"/>
        </w:rPr>
      </w:pPr>
    </w:p>
    <w:tbl>
      <w:tblPr>
        <w:tblW w:w="924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34"/>
        <w:gridCol w:w="3540"/>
        <w:gridCol w:w="2768"/>
      </w:tblGrid>
      <w:tr>
        <w:tblPrEx>
          <w:shd w:val="clear" w:color="auto" w:fill="ced7e7"/>
        </w:tblPrEx>
        <w:trPr>
          <w:trHeight w:val="3284" w:hRule="atLeast"/>
        </w:trPr>
        <w:tc>
          <w:tcPr>
            <w:tcW w:type="dxa" w:w="29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686473" cy="1283520"/>
                  <wp:effectExtent l="0" t="0" r="0" b="0"/>
                  <wp:docPr id="1073741829" name="officeArt object" descr="Identifying Silverfish In New Mexico"/>
                  <wp:cNvGraphicFramePr/>
                  <a:graphic xmlns:a="http://schemas.openxmlformats.org/drawingml/2006/main">
                    <a:graphicData uri="http://schemas.openxmlformats.org/drawingml/2006/picture">
                      <pic:pic xmlns:pic="http://schemas.openxmlformats.org/drawingml/2006/picture">
                        <pic:nvPicPr>
                          <pic:cNvPr id="1073741829" name="Identifying Silverfish In New Mexico" descr="Identifying Silverfish In New Mexico"/>
                          <pic:cNvPicPr>
                            <a:picLocks noChangeAspect="1"/>
                          </pic:cNvPicPr>
                        </pic:nvPicPr>
                        <pic:blipFill>
                          <a:blip r:embed="rId8">
                            <a:extLst/>
                          </a:blip>
                          <a:stretch>
                            <a:fillRect/>
                          </a:stretch>
                        </pic:blipFill>
                        <pic:spPr>
                          <a:xfrm>
                            <a:off x="0" y="0"/>
                            <a:ext cx="1686473" cy="1283520"/>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Silverfish</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Lepisma saccharinum</w:t>
            </w:r>
          </w:p>
        </w:tc>
        <w:tc>
          <w:tcPr>
            <w:tcW w:type="dxa" w:w="3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859959" cy="1482511"/>
                  <wp:effectExtent l="0" t="0" r="0" b="0"/>
                  <wp:docPr id="1073741830" name="officeArt object" descr="Grasshopper | Animal Wildlife"/>
                  <wp:cNvGraphicFramePr/>
                  <a:graphic xmlns:a="http://schemas.openxmlformats.org/drawingml/2006/main">
                    <a:graphicData uri="http://schemas.openxmlformats.org/drawingml/2006/picture">
                      <pic:pic xmlns:pic="http://schemas.openxmlformats.org/drawingml/2006/picture">
                        <pic:nvPicPr>
                          <pic:cNvPr id="1073741830" name="Grasshopper | Animal Wildlife" descr="Grasshopper | Animal Wildlife"/>
                          <pic:cNvPicPr>
                            <a:picLocks noChangeAspect="1"/>
                          </pic:cNvPicPr>
                        </pic:nvPicPr>
                        <pic:blipFill>
                          <a:blip r:embed="rId9">
                            <a:extLst/>
                          </a:blip>
                          <a:stretch>
                            <a:fillRect/>
                          </a:stretch>
                        </pic:blipFill>
                        <pic:spPr>
                          <a:xfrm>
                            <a:off x="0" y="0"/>
                            <a:ext cx="1859959" cy="1482511"/>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Grasshopper</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Oxyahylahyla</w:t>
            </w:r>
          </w:p>
        </w:tc>
        <w:tc>
          <w:tcPr>
            <w:tcW w:type="dxa" w:w="276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rPr>
            </w:pPr>
            <w:r>
              <w:rPr>
                <w:rStyle w:val="None"/>
                <w:rFonts w:ascii="Times New Roman" w:cs="Times New Roman" w:hAnsi="Times New Roman" w:eastAsia="Times New Roman"/>
                <w:kern w:val="0"/>
                <w:sz w:val="24"/>
                <w:szCs w:val="24"/>
                <w:shd w:val="nil" w:color="auto" w:fill="auto"/>
                <w:lang w:val="en-US"/>
              </w:rPr>
              <w:drawing xmlns:a="http://schemas.openxmlformats.org/drawingml/2006/main">
                <wp:inline distT="0" distB="0" distL="0" distR="0">
                  <wp:extent cx="1584941" cy="1312185"/>
                  <wp:effectExtent l="0" t="0" r="0" b="0"/>
                  <wp:docPr id="1073741831" name="officeArt object" descr="image.png"/>
                  <wp:cNvGraphicFramePr/>
                  <a:graphic xmlns:a="http://schemas.openxmlformats.org/drawingml/2006/main">
                    <a:graphicData uri="http://schemas.openxmlformats.org/drawingml/2006/picture">
                      <pic:pic xmlns:pic="http://schemas.openxmlformats.org/drawingml/2006/picture">
                        <pic:nvPicPr>
                          <pic:cNvPr id="1073741831" name="image.png" descr="image.png"/>
                          <pic:cNvPicPr>
                            <a:picLocks noChangeAspect="1"/>
                          </pic:cNvPicPr>
                        </pic:nvPicPr>
                        <pic:blipFill>
                          <a:blip r:embed="rId10">
                            <a:extLst/>
                          </a:blip>
                          <a:stretch>
                            <a:fillRect/>
                          </a:stretch>
                        </pic:blipFill>
                        <pic:spPr>
                          <a:xfrm>
                            <a:off x="0" y="0"/>
                            <a:ext cx="1584941" cy="1312185"/>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Damselfly</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Ischnura senegalensis</w:t>
            </w:r>
          </w:p>
        </w:tc>
      </w:tr>
      <w:tr>
        <w:tblPrEx>
          <w:shd w:val="clear" w:color="auto" w:fill="ced7e7"/>
        </w:tblPrEx>
        <w:trPr>
          <w:trHeight w:val="4161" w:hRule="atLeast"/>
        </w:trPr>
        <w:tc>
          <w:tcPr>
            <w:tcW w:type="dxa" w:w="29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b w:val="1"/>
                <w:bCs w:val="1"/>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b w:val="1"/>
                <w:bCs w:val="1"/>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686473" cy="1346307"/>
                  <wp:effectExtent l="0" t="0" r="0" b="0"/>
                  <wp:docPr id="1073741832" name="officeArt object" descr="image.png"/>
                  <wp:cNvGraphicFramePr/>
                  <a:graphic xmlns:a="http://schemas.openxmlformats.org/drawingml/2006/main">
                    <a:graphicData uri="http://schemas.openxmlformats.org/drawingml/2006/picture">
                      <pic:pic xmlns:pic="http://schemas.openxmlformats.org/drawingml/2006/picture">
                        <pic:nvPicPr>
                          <pic:cNvPr id="1073741832" name="image.png" descr="image.png"/>
                          <pic:cNvPicPr>
                            <a:picLocks noChangeAspect="1"/>
                          </pic:cNvPicPr>
                        </pic:nvPicPr>
                        <pic:blipFill>
                          <a:blip r:embed="rId11">
                            <a:extLst/>
                          </a:blip>
                          <a:stretch>
                            <a:fillRect/>
                          </a:stretch>
                        </pic:blipFill>
                        <pic:spPr>
                          <a:xfrm>
                            <a:off x="0" y="0"/>
                            <a:ext cx="1686473" cy="1346307"/>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shd w:val="nil" w:color="auto" w:fill="auto"/>
                <w:lang w:val="en-US"/>
              </w:rPr>
            </w:pP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Dragonfly</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Orthetrumsabina</w:t>
            </w:r>
          </w:p>
        </w:tc>
        <w:tc>
          <w:tcPr>
            <w:tcW w:type="dxa" w:w="3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b w:val="1"/>
                <w:bCs w:val="1"/>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b w:val="1"/>
                <w:bCs w:val="1"/>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2057127" cy="1376379"/>
                  <wp:effectExtent l="0" t="0" r="0" b="0"/>
                  <wp:docPr id="1073741833" name="officeArt object" descr="image.png"/>
                  <wp:cNvGraphicFramePr/>
                  <a:graphic xmlns:a="http://schemas.openxmlformats.org/drawingml/2006/main">
                    <a:graphicData uri="http://schemas.openxmlformats.org/drawingml/2006/picture">
                      <pic:pic xmlns:pic="http://schemas.openxmlformats.org/drawingml/2006/picture">
                        <pic:nvPicPr>
                          <pic:cNvPr id="1073741833" name="image.png" descr="image.png"/>
                          <pic:cNvPicPr>
                            <a:picLocks noChangeAspect="1"/>
                          </pic:cNvPicPr>
                        </pic:nvPicPr>
                        <pic:blipFill>
                          <a:blip r:embed="rId12">
                            <a:extLst/>
                          </a:blip>
                          <a:stretch>
                            <a:fillRect/>
                          </a:stretch>
                        </pic:blipFill>
                        <pic:spPr>
                          <a:xfrm>
                            <a:off x="0" y="0"/>
                            <a:ext cx="2057127" cy="1376379"/>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shd w:val="nil" w:color="auto" w:fill="auto"/>
                <w:lang w:val="en-US"/>
              </w:rPr>
            </w:pP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Rhinoceros Beetle</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Oryctes rhinoceros</w:t>
            </w:r>
          </w:p>
        </w:tc>
        <w:tc>
          <w:tcPr>
            <w:tcW w:type="dxa" w:w="276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b w:val="1"/>
                <w:bCs w:val="1"/>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b w:val="1"/>
                <w:bCs w:val="1"/>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584941" cy="1334963"/>
                  <wp:effectExtent l="0" t="0" r="0" b="0"/>
                  <wp:docPr id="1073741834" name="officeArt object" descr="image.png"/>
                  <wp:cNvGraphicFramePr/>
                  <a:graphic xmlns:a="http://schemas.openxmlformats.org/drawingml/2006/main">
                    <a:graphicData uri="http://schemas.openxmlformats.org/drawingml/2006/picture">
                      <pic:pic xmlns:pic="http://schemas.openxmlformats.org/drawingml/2006/picture">
                        <pic:nvPicPr>
                          <pic:cNvPr id="1073741834" name="image.png" descr="image.png"/>
                          <pic:cNvPicPr>
                            <a:picLocks noChangeAspect="1"/>
                          </pic:cNvPicPr>
                        </pic:nvPicPr>
                        <pic:blipFill>
                          <a:blip r:embed="rId13">
                            <a:extLst/>
                          </a:blip>
                          <a:stretch>
                            <a:fillRect/>
                          </a:stretch>
                        </pic:blipFill>
                        <pic:spPr>
                          <a:xfrm>
                            <a:off x="0" y="0"/>
                            <a:ext cx="1584941" cy="1334963"/>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shd w:val="nil" w:color="auto" w:fill="auto"/>
                <w:lang w:val="en-US"/>
              </w:rPr>
            </w:pP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Plain Tiger Butterfly</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Danaus chrysippus</w:t>
            </w:r>
          </w:p>
        </w:tc>
      </w:tr>
      <w:tr>
        <w:tblPrEx>
          <w:shd w:val="clear" w:color="auto" w:fill="ced7e7"/>
        </w:tblPrEx>
        <w:trPr>
          <w:trHeight w:val="3630" w:hRule="atLeast"/>
        </w:trPr>
        <w:tc>
          <w:tcPr>
            <w:tcW w:type="dxa" w:w="29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686473" cy="1355792"/>
                  <wp:effectExtent l="0" t="0" r="0" b="0"/>
                  <wp:docPr id="1073741835" name="officeArt object" descr="Lime Butterfly - Papilio demoleus, beautiful colored butterfly from ..."/>
                  <wp:cNvGraphicFramePr/>
                  <a:graphic xmlns:a="http://schemas.openxmlformats.org/drawingml/2006/main">
                    <a:graphicData uri="http://schemas.openxmlformats.org/drawingml/2006/picture">
                      <pic:pic xmlns:pic="http://schemas.openxmlformats.org/drawingml/2006/picture">
                        <pic:nvPicPr>
                          <pic:cNvPr id="1073741835" name="Lime Butterfly - Papilio demoleus, beautiful colored butterfly from ..." descr="Lime Butterfly - Papilio demoleus, beautiful colored butterfly from ..."/>
                          <pic:cNvPicPr>
                            <a:picLocks noChangeAspect="1"/>
                          </pic:cNvPicPr>
                        </pic:nvPicPr>
                        <pic:blipFill>
                          <a:blip r:embed="rId14">
                            <a:extLst/>
                          </a:blip>
                          <a:stretch>
                            <a:fillRect/>
                          </a:stretch>
                        </pic:blipFill>
                        <pic:spPr>
                          <a:xfrm>
                            <a:off x="0" y="0"/>
                            <a:ext cx="1686473" cy="1355792"/>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Lime Butterfly</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Papilio demoleus</w:t>
            </w:r>
          </w:p>
        </w:tc>
        <w:tc>
          <w:tcPr>
            <w:tcW w:type="dxa" w:w="3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cs="Times New Roman" w:hAnsi="Times New Roman" w:eastAsia="Times New Roman"/>
                <w:kern w:val="0"/>
                <w:sz w:val="24"/>
                <w:szCs w:val="24"/>
                <w:shd w:val="nil" w:color="auto" w:fill="auto"/>
                <w:lang w:val="en-US"/>
              </w:rPr>
              <w:drawing xmlns:a="http://schemas.openxmlformats.org/drawingml/2006/main">
                <wp:inline distT="0" distB="0" distL="0" distR="0">
                  <wp:extent cx="2057127" cy="1342064"/>
                  <wp:effectExtent l="0" t="0" r="0" b="0"/>
                  <wp:docPr id="1073741836" name="officeArt object" descr="Indian Dead Leaf (Kallima inachus) Butterfly"/>
                  <wp:cNvGraphicFramePr/>
                  <a:graphic xmlns:a="http://schemas.openxmlformats.org/drawingml/2006/main">
                    <a:graphicData uri="http://schemas.openxmlformats.org/drawingml/2006/picture">
                      <pic:pic xmlns:pic="http://schemas.openxmlformats.org/drawingml/2006/picture">
                        <pic:nvPicPr>
                          <pic:cNvPr id="1073741836" name="Indian Dead Leaf (Kallima inachus) Butterfly" descr="Indian Dead Leaf (Kallima inachus) Butterfly"/>
                          <pic:cNvPicPr>
                            <a:picLocks noChangeAspect="1"/>
                          </pic:cNvPicPr>
                        </pic:nvPicPr>
                        <pic:blipFill>
                          <a:blip r:embed="rId15">
                            <a:extLst/>
                          </a:blip>
                          <a:stretch>
                            <a:fillRect/>
                          </a:stretch>
                        </pic:blipFill>
                        <pic:spPr>
                          <a:xfrm>
                            <a:off x="0" y="0"/>
                            <a:ext cx="2057127" cy="1342064"/>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Leaf Butterfly</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i w:val="1"/>
                <w:iCs w:val="1"/>
                <w:kern w:val="0"/>
                <w:sz w:val="24"/>
                <w:szCs w:val="24"/>
                <w:shd w:val="nil" w:color="auto" w:fill="auto"/>
                <w:rtl w:val="0"/>
                <w:lang w:val="en-US"/>
              </w:rPr>
              <w:t>Kallima inachus</w:t>
            </w:r>
          </w:p>
        </w:tc>
        <w:tc>
          <w:tcPr>
            <w:tcW w:type="dxa" w:w="276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584941" cy="1473848"/>
                  <wp:effectExtent l="0" t="0" r="0" b="0"/>
                  <wp:docPr id="1073741837" name="officeArt object" descr="image.png"/>
                  <wp:cNvGraphicFramePr/>
                  <a:graphic xmlns:a="http://schemas.openxmlformats.org/drawingml/2006/main">
                    <a:graphicData uri="http://schemas.openxmlformats.org/drawingml/2006/picture">
                      <pic:pic xmlns:pic="http://schemas.openxmlformats.org/drawingml/2006/picture">
                        <pic:nvPicPr>
                          <pic:cNvPr id="1073741837" name="image.png" descr="image.png"/>
                          <pic:cNvPicPr>
                            <a:picLocks noChangeAspect="1"/>
                          </pic:cNvPicPr>
                        </pic:nvPicPr>
                        <pic:blipFill>
                          <a:blip r:embed="rId16">
                            <a:extLst/>
                          </a:blip>
                          <a:stretch>
                            <a:fillRect/>
                          </a:stretch>
                        </pic:blipFill>
                        <pic:spPr>
                          <a:xfrm>
                            <a:off x="0" y="0"/>
                            <a:ext cx="1584941" cy="1473848"/>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Wasp Moth</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Amata passalis</w:t>
            </w:r>
          </w:p>
        </w:tc>
      </w:tr>
      <w:tr>
        <w:tblPrEx>
          <w:shd w:val="clear" w:color="auto" w:fill="ced7e7"/>
        </w:tblPrEx>
        <w:trPr>
          <w:trHeight w:val="3919" w:hRule="atLeast"/>
        </w:trPr>
        <w:tc>
          <w:tcPr>
            <w:tcW w:type="dxa" w:w="29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686473" cy="1419605"/>
                  <wp:effectExtent l="0" t="0" r="0" b="0"/>
                  <wp:docPr id="1073741838" name="officeArt object" descr="Pink bollworm / Pectinophora gossypiella - BioChemTech"/>
                  <wp:cNvGraphicFramePr/>
                  <a:graphic xmlns:a="http://schemas.openxmlformats.org/drawingml/2006/main">
                    <a:graphicData uri="http://schemas.openxmlformats.org/drawingml/2006/picture">
                      <pic:pic xmlns:pic="http://schemas.openxmlformats.org/drawingml/2006/picture">
                        <pic:nvPicPr>
                          <pic:cNvPr id="1073741838" name="Pink bollworm / Pectinophora gossypiella - BioChemTech" descr="Pink bollworm / Pectinophora gossypiella - BioChemTech"/>
                          <pic:cNvPicPr>
                            <a:picLocks noChangeAspect="1"/>
                          </pic:cNvPicPr>
                        </pic:nvPicPr>
                        <pic:blipFill>
                          <a:blip r:embed="rId17">
                            <a:extLst/>
                          </a:blip>
                          <a:stretch>
                            <a:fillRect/>
                          </a:stretch>
                        </pic:blipFill>
                        <pic:spPr>
                          <a:xfrm>
                            <a:off x="0" y="0"/>
                            <a:ext cx="1686473" cy="1419605"/>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Pink Bollworm</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Pectinophoragossypiella</w:t>
            </w:r>
          </w:p>
        </w:tc>
        <w:tc>
          <w:tcPr>
            <w:tcW w:type="dxa" w:w="3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kern w:val="0"/>
                <w:sz w:val="24"/>
                <w:szCs w:val="24"/>
                <w:shd w:val="nil" w:color="auto" w:fill="auto"/>
                <w:rtl w:val="0"/>
              </w:rPr>
            </w:pPr>
            <w:r>
              <w:rPr>
                <w:rStyle w:val="None"/>
                <w:rFonts w:ascii="Times New Roman" w:cs="Times New Roman" w:hAnsi="Times New Roman" w:eastAsia="Times New Roman"/>
                <w:kern w:val="0"/>
                <w:sz w:val="24"/>
                <w:szCs w:val="24"/>
                <w:shd w:val="nil" w:color="auto" w:fill="auto"/>
                <w:lang w:val="en-US"/>
              </w:rPr>
              <w:drawing xmlns:a="http://schemas.openxmlformats.org/drawingml/2006/main">
                <wp:inline distT="0" distB="0" distL="0" distR="0">
                  <wp:extent cx="2057127" cy="1540934"/>
                  <wp:effectExtent l="0" t="0" r="0" b="0"/>
                  <wp:docPr id="1073741839" name="officeArt object" descr="Acrosternum hilare 2 by case15 on DeviantArt"/>
                  <wp:cNvGraphicFramePr/>
                  <a:graphic xmlns:a="http://schemas.openxmlformats.org/drawingml/2006/main">
                    <a:graphicData uri="http://schemas.openxmlformats.org/drawingml/2006/picture">
                      <pic:pic xmlns:pic="http://schemas.openxmlformats.org/drawingml/2006/picture">
                        <pic:nvPicPr>
                          <pic:cNvPr id="1073741839" name="Acrosternum hilare 2 by case15 on DeviantArt" descr="Acrosternum hilare 2 by case15 on DeviantArt"/>
                          <pic:cNvPicPr>
                            <a:picLocks noChangeAspect="1"/>
                          </pic:cNvPicPr>
                        </pic:nvPicPr>
                        <pic:blipFill>
                          <a:blip r:embed="rId18">
                            <a:extLst/>
                          </a:blip>
                          <a:stretch>
                            <a:fillRect/>
                          </a:stretch>
                        </pic:blipFill>
                        <pic:spPr>
                          <a:xfrm>
                            <a:off x="0" y="0"/>
                            <a:ext cx="2057127" cy="1540934"/>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Shield Bug</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i w:val="1"/>
                <w:iCs w:val="1"/>
                <w:kern w:val="0"/>
                <w:sz w:val="24"/>
                <w:szCs w:val="24"/>
                <w:shd w:val="nil" w:color="auto" w:fill="auto"/>
                <w:rtl w:val="0"/>
                <w:lang w:val="en-US"/>
              </w:rPr>
              <w:t>Cantao ocellatus</w:t>
            </w:r>
          </w:p>
        </w:tc>
        <w:tc>
          <w:tcPr>
            <w:tcW w:type="dxa" w:w="276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b w:val="1"/>
                <w:bCs w:val="1"/>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584941" cy="1532773"/>
                  <wp:effectExtent l="0" t="0" r="0" b="0"/>
                  <wp:docPr id="1073741840" name="officeArt object" descr="True Bugs - African nature"/>
                  <wp:cNvGraphicFramePr/>
                  <a:graphic xmlns:a="http://schemas.openxmlformats.org/drawingml/2006/main">
                    <a:graphicData uri="http://schemas.openxmlformats.org/drawingml/2006/picture">
                      <pic:pic xmlns:pic="http://schemas.openxmlformats.org/drawingml/2006/picture">
                        <pic:nvPicPr>
                          <pic:cNvPr id="1073741840" name="True Bugs - African nature" descr="True Bugs - African nature"/>
                          <pic:cNvPicPr>
                            <a:picLocks noChangeAspect="1"/>
                          </pic:cNvPicPr>
                        </pic:nvPicPr>
                        <pic:blipFill>
                          <a:blip r:embed="rId19">
                            <a:extLst/>
                          </a:blip>
                          <a:stretch>
                            <a:fillRect/>
                          </a:stretch>
                        </pic:blipFill>
                        <pic:spPr>
                          <a:xfrm>
                            <a:off x="0" y="0"/>
                            <a:ext cx="1584941" cy="1532773"/>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Rice Bug</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Leptocorisa acuta</w:t>
            </w:r>
          </w:p>
        </w:tc>
      </w:tr>
      <w:tr>
        <w:tblPrEx>
          <w:shd w:val="clear" w:color="auto" w:fill="ced7e7"/>
        </w:tblPrEx>
        <w:trPr>
          <w:trHeight w:val="3649" w:hRule="atLeast"/>
        </w:trPr>
        <w:tc>
          <w:tcPr>
            <w:tcW w:type="dxa" w:w="29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686473" cy="1227400"/>
                  <wp:effectExtent l="0" t="0" r="0" b="0"/>
                  <wp:docPr id="1073741841" name="officeArt object" descr="The Common Housefly stock image. Image of buzz, house - 41304965"/>
                  <wp:cNvGraphicFramePr/>
                  <a:graphic xmlns:a="http://schemas.openxmlformats.org/drawingml/2006/main">
                    <a:graphicData uri="http://schemas.openxmlformats.org/drawingml/2006/picture">
                      <pic:pic xmlns:pic="http://schemas.openxmlformats.org/drawingml/2006/picture">
                        <pic:nvPicPr>
                          <pic:cNvPr id="1073741841" name="The Common Housefly stock image. Image of buzz, house - 41304965" descr="The Common Housefly stock image. Image of buzz, house - 41304965"/>
                          <pic:cNvPicPr>
                            <a:picLocks noChangeAspect="1"/>
                          </pic:cNvPicPr>
                        </pic:nvPicPr>
                        <pic:blipFill>
                          <a:blip r:embed="rId20">
                            <a:extLst/>
                          </a:blip>
                          <a:stretch>
                            <a:fillRect/>
                          </a:stretch>
                        </pic:blipFill>
                        <pic:spPr>
                          <a:xfrm>
                            <a:off x="0" y="0"/>
                            <a:ext cx="1686473" cy="1227400"/>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Housefly</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Musca domestica</w:t>
            </w:r>
          </w:p>
        </w:tc>
        <w:tc>
          <w:tcPr>
            <w:tcW w:type="dxa" w:w="3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cs="Times New Roman" w:hAnsi="Times New Roman" w:eastAsia="Times New Roman"/>
                <w:kern w:val="0"/>
                <w:sz w:val="24"/>
                <w:szCs w:val="24"/>
                <w:shd w:val="nil" w:color="auto" w:fill="auto"/>
                <w:lang w:val="en-US"/>
              </w:rPr>
              <w:drawing xmlns:a="http://schemas.openxmlformats.org/drawingml/2006/main">
                <wp:inline distT="0" distB="0" distL="0" distR="0">
                  <wp:extent cx="1953262" cy="1431451"/>
                  <wp:effectExtent l="0" t="0" r="0" b="0"/>
                  <wp:docPr id="1073741842" name="officeArt object" descr="Mosquito breed’s arrival requires an updated approach to prevention | WTOP"/>
                  <wp:cNvGraphicFramePr/>
                  <a:graphic xmlns:a="http://schemas.openxmlformats.org/drawingml/2006/main">
                    <a:graphicData uri="http://schemas.openxmlformats.org/drawingml/2006/picture">
                      <pic:pic xmlns:pic="http://schemas.openxmlformats.org/drawingml/2006/picture">
                        <pic:nvPicPr>
                          <pic:cNvPr id="1073741842" name="Mosquito breed’s arrival requires an updated approach to prevention | WTOP" descr="Mosquito breed’s arrival requires an updated approach to prevention | WTOP"/>
                          <pic:cNvPicPr>
                            <a:picLocks noChangeAspect="1"/>
                          </pic:cNvPicPr>
                        </pic:nvPicPr>
                        <pic:blipFill>
                          <a:blip r:embed="rId21">
                            <a:extLst/>
                          </a:blip>
                          <a:stretch>
                            <a:fillRect/>
                          </a:stretch>
                        </pic:blipFill>
                        <pic:spPr>
                          <a:xfrm>
                            <a:off x="0" y="0"/>
                            <a:ext cx="1953262" cy="1431451"/>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kern w:val="0"/>
                <w:sz w:val="24"/>
                <w:szCs w:val="24"/>
                <w:shd w:val="nil" w:color="auto" w:fill="auto"/>
                <w:rtl w:val="0"/>
                <w:lang w:val="en-US"/>
              </w:rPr>
              <w:t>Mosquito</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i w:val="1"/>
                <w:iCs w:val="1"/>
                <w:kern w:val="0"/>
                <w:sz w:val="24"/>
                <w:szCs w:val="24"/>
                <w:shd w:val="nil" w:color="auto" w:fill="auto"/>
                <w:rtl w:val="0"/>
                <w:lang w:val="en-US"/>
              </w:rPr>
              <w:t>Culex quinquefasciatus</w:t>
            </w:r>
          </w:p>
        </w:tc>
        <w:tc>
          <w:tcPr>
            <w:tcW w:type="dxa" w:w="276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584941" cy="1203068"/>
                  <wp:effectExtent l="0" t="0" r="0" b="0"/>
                  <wp:docPr id="1073741843" name="officeArt object" descr="Honey Bee Flowers Nature - Free photo on Pixabay - Pixabay"/>
                  <wp:cNvGraphicFramePr/>
                  <a:graphic xmlns:a="http://schemas.openxmlformats.org/drawingml/2006/main">
                    <a:graphicData uri="http://schemas.openxmlformats.org/drawingml/2006/picture">
                      <pic:pic xmlns:pic="http://schemas.openxmlformats.org/drawingml/2006/picture">
                        <pic:nvPicPr>
                          <pic:cNvPr id="1073741843" name="Honey Bee Flowers Nature - Free photo on Pixabay - Pixabay" descr="Honey Bee Flowers Nature - Free photo on Pixabay - Pixabay"/>
                          <pic:cNvPicPr>
                            <a:picLocks noChangeAspect="1"/>
                          </pic:cNvPicPr>
                        </pic:nvPicPr>
                        <pic:blipFill>
                          <a:blip r:embed="rId22">
                            <a:extLst/>
                          </a:blip>
                          <a:stretch>
                            <a:fillRect/>
                          </a:stretch>
                        </pic:blipFill>
                        <pic:spPr>
                          <a:xfrm>
                            <a:off x="0" y="0"/>
                            <a:ext cx="1584941" cy="1203068"/>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Honey Bee</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Apis cerana indica</w:t>
            </w:r>
          </w:p>
        </w:tc>
      </w:tr>
      <w:tr>
        <w:tblPrEx>
          <w:shd w:val="clear" w:color="auto" w:fill="ced7e7"/>
        </w:tblPrEx>
        <w:trPr>
          <w:trHeight w:val="3773" w:hRule="atLeast"/>
        </w:trPr>
        <w:tc>
          <w:tcPr>
            <w:tcW w:type="dxa" w:w="29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jc w:val="center"/>
            </w:pP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686473" cy="1224318"/>
                  <wp:effectExtent l="0" t="0" r="0" b="0"/>
                  <wp:docPr id="1073741844" name="officeArt object" descr="Spider Wasp (Pompilidae, Hymenoptera) taking moisture from… | Flickr"/>
                  <wp:cNvGraphicFramePr/>
                  <a:graphic xmlns:a="http://schemas.openxmlformats.org/drawingml/2006/main">
                    <a:graphicData uri="http://schemas.openxmlformats.org/drawingml/2006/picture">
                      <pic:pic xmlns:pic="http://schemas.openxmlformats.org/drawingml/2006/picture">
                        <pic:nvPicPr>
                          <pic:cNvPr id="1073741844" name="Spider Wasp (Pompilidae, Hymenoptera) taking moisture from… | Flickr" descr="Spider Wasp (Pompilidae, Hymenoptera) taking moisture from… | Flickr"/>
                          <pic:cNvPicPr>
                            <a:picLocks noChangeAspect="1"/>
                          </pic:cNvPicPr>
                        </pic:nvPicPr>
                        <pic:blipFill>
                          <a:blip r:embed="rId23">
                            <a:extLst/>
                          </a:blip>
                          <a:stretch>
                            <a:fillRect/>
                          </a:stretch>
                        </pic:blipFill>
                        <pic:spPr>
                          <a:xfrm>
                            <a:off x="0" y="0"/>
                            <a:ext cx="1686473" cy="1224318"/>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kern w:val="0"/>
                <w:sz w:val="24"/>
                <w:szCs w:val="24"/>
                <w:shd w:val="nil" w:color="auto" w:fill="auto"/>
                <w:rtl w:val="0"/>
                <w:lang w:val="en-US"/>
              </w:rPr>
              <w:t>Spider Wasp</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Cyphononyxfulvognathus</w:t>
            </w:r>
          </w:p>
        </w:tc>
        <w:tc>
          <w:tcPr>
            <w:tcW w:type="dxa" w:w="3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2057127" cy="1503722"/>
                  <wp:effectExtent l="0" t="0" r="0" b="0"/>
                  <wp:docPr id="1073741845" name="officeArt object" descr="Green weaver ant (386)"/>
                  <wp:cNvGraphicFramePr/>
                  <a:graphic xmlns:a="http://schemas.openxmlformats.org/drawingml/2006/main">
                    <a:graphicData uri="http://schemas.openxmlformats.org/drawingml/2006/picture">
                      <pic:pic xmlns:pic="http://schemas.openxmlformats.org/drawingml/2006/picture">
                        <pic:nvPicPr>
                          <pic:cNvPr id="1073741845" name="Green weaver ant (386)" descr="Green weaver ant (386)"/>
                          <pic:cNvPicPr>
                            <a:picLocks noChangeAspect="1"/>
                          </pic:cNvPicPr>
                        </pic:nvPicPr>
                        <pic:blipFill>
                          <a:blip r:embed="rId24">
                            <a:extLst/>
                          </a:blip>
                          <a:stretch>
                            <a:fillRect/>
                          </a:stretch>
                        </pic:blipFill>
                        <pic:spPr>
                          <a:xfrm>
                            <a:off x="0" y="0"/>
                            <a:ext cx="2057127" cy="1503722"/>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Weaver Ant</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Oecophyllasmaragdina</w:t>
            </w:r>
          </w:p>
        </w:tc>
        <w:tc>
          <w:tcPr>
            <w:tcW w:type="dxa" w:w="276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570990" cy="1430963"/>
                  <wp:effectExtent l="0" t="0" r="0" b="0"/>
                  <wp:docPr id="1073741846" name="officeArt object" descr="Dear Earwig – Bugs In Our Backyard"/>
                  <wp:cNvGraphicFramePr/>
                  <a:graphic xmlns:a="http://schemas.openxmlformats.org/drawingml/2006/main">
                    <a:graphicData uri="http://schemas.openxmlformats.org/drawingml/2006/picture">
                      <pic:pic xmlns:pic="http://schemas.openxmlformats.org/drawingml/2006/picture">
                        <pic:nvPicPr>
                          <pic:cNvPr id="1073741846" name="Dear Earwig – Bugs In Our Backyard" descr="Dear Earwig – Bugs In Our Backyard"/>
                          <pic:cNvPicPr>
                            <a:picLocks noChangeAspect="1"/>
                          </pic:cNvPicPr>
                        </pic:nvPicPr>
                        <pic:blipFill>
                          <a:blip r:embed="rId25">
                            <a:extLst/>
                          </a:blip>
                          <a:stretch>
                            <a:fillRect/>
                          </a:stretch>
                        </pic:blipFill>
                        <pic:spPr>
                          <a:xfrm>
                            <a:off x="0" y="0"/>
                            <a:ext cx="1570990" cy="1430963"/>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Earwig</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Forficulaauricularia</w:t>
            </w:r>
          </w:p>
        </w:tc>
      </w:tr>
    </w:tbl>
    <w:p>
      <w:pPr>
        <w:pStyle w:val="Normal.0"/>
        <w:widowControl w:val="0"/>
        <w:spacing w:after="0" w:line="240" w:lineRule="auto"/>
        <w:ind w:left="108" w:hanging="108"/>
        <w:rPr>
          <w:rStyle w:val="None"/>
          <w:rFonts w:ascii="Times New Roman" w:cs="Times New Roman" w:hAnsi="Times New Roman" w:eastAsia="Times New Roman"/>
          <w:kern w:val="0"/>
          <w:sz w:val="24"/>
          <w:szCs w:val="24"/>
        </w:rPr>
      </w:pPr>
    </w:p>
    <w:p>
      <w:pPr>
        <w:pStyle w:val="Normal.0"/>
        <w:widowControl w:val="0"/>
        <w:spacing w:after="0" w:line="240" w:lineRule="auto"/>
        <w:jc w:val="both"/>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Representative insect species recorded from the                                                        Women's Christian College campus during January</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March 2025.</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RESULTS</w:t>
      </w:r>
    </w:p>
    <w:p>
      <w:pPr>
        <w:pStyle w:val="Normal.0"/>
        <w:spacing w:after="0" w:line="360" w:lineRule="auto"/>
        <w:ind w:firstLine="720"/>
        <w:jc w:val="both"/>
        <w:rPr>
          <w:rStyle w:val="Hyperlink.1"/>
        </w:rPr>
      </w:pPr>
      <w:r>
        <w:rPr>
          <w:rStyle w:val="Hyperlink.1"/>
          <w:rtl w:val="0"/>
          <w:lang w:val="en-US"/>
        </w:rPr>
        <w:t>To assess the diversity and distribution of insect fauna recorded during the study period, biodiversity indices such as Total Number of Individuals (N), Species Richness (S), Shannon</w:t>
      </w:r>
      <w:r>
        <w:rPr>
          <w:rStyle w:val="Hyperlink.1"/>
          <w:rtl w:val="0"/>
          <w:lang w:val="en-US"/>
        </w:rPr>
        <w:t>–</w:t>
      </w:r>
      <w:r>
        <w:rPr>
          <w:rStyle w:val="Hyperlink.1"/>
          <w:rtl w:val="0"/>
          <w:lang w:val="en-US"/>
        </w:rPr>
        <w:t>Wiener Diversity Index (H</w:t>
      </w:r>
      <w:r>
        <w:rPr>
          <w:rStyle w:val="Hyperlink.1"/>
          <w:rtl w:val="0"/>
          <w:lang w:val="en-US"/>
        </w:rPr>
        <w:t>′</w:t>
      </w:r>
      <w:r>
        <w:rPr>
          <w:rStyle w:val="Hyperlink.1"/>
          <w:rtl w:val="0"/>
          <w:lang w:val="en-US"/>
        </w:rPr>
        <w:t>) and Simpson Diversity Index (1</w:t>
      </w:r>
      <w:r>
        <w:rPr>
          <w:rStyle w:val="Hyperlink.1"/>
          <w:rtl w:val="0"/>
          <w:lang w:val="en-US"/>
        </w:rPr>
        <w:t>−</w:t>
      </w:r>
      <w:r>
        <w:rPr>
          <w:rStyle w:val="Hyperlink.1"/>
          <w:rtl w:val="0"/>
          <w:lang w:val="en-US"/>
        </w:rPr>
        <w:t>D) were calculated. These indices provide valuable information regarding species abundance, richness and overall diversity within the study area. A total of 281 individual insects belonging to 18 species were recorded during the survey period. The calculated biodiversity indices revealed the diversity status and distribution pattern of the insect community within the campus ecosystem.</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Order-wise Species Composition of Recorded Insects</w:t>
      </w:r>
    </w:p>
    <w:tbl>
      <w:tblPr>
        <w:tblW w:w="4910" w:type="dxa"/>
        <w:jc w:val="center"/>
        <w:tblInd w:w="194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37"/>
        <w:gridCol w:w="1950"/>
        <w:gridCol w:w="1623"/>
      </w:tblGrid>
      <w:tr>
        <w:tblPrEx>
          <w:shd w:val="clear" w:color="auto" w:fill="4f81bd"/>
        </w:tblPrEx>
        <w:trPr>
          <w:trHeight w:val="610" w:hRule="atLeast"/>
          <w:tblHeader/>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Order</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Number of Species</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Percentage (%)</w:t>
            </w:r>
          </w:p>
        </w:tc>
      </w:tr>
      <w:tr>
        <w:tblPrEx>
          <w:shd w:val="clear" w:color="auto" w:fill="ced7e7"/>
        </w:tblPrEx>
        <w:trPr>
          <w:trHeight w:val="6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Lepidoptera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27.78</w:t>
            </w:r>
          </w:p>
        </w:tc>
      </w:tr>
      <w:tr>
        <w:tblPrEx>
          <w:shd w:val="clear" w:color="auto" w:fill="ced7e7"/>
        </w:tblPrEx>
        <w:trPr>
          <w:trHeight w:val="6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Hymenoptera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16.67</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Odonata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11.11</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Hemiptera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11.11</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Diptera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11.11</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Thysanura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5.56</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Orthoptera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5.56</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Coleoptera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5.56</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Dermaptera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5.56</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Total</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18</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100</w:t>
            </w:r>
          </w:p>
        </w:tc>
      </w:tr>
    </w:tbl>
    <w:p>
      <w:pPr>
        <w:pStyle w:val="Normal.0"/>
        <w:widowControl w:val="0"/>
        <w:spacing w:after="0" w:line="240" w:lineRule="auto"/>
        <w:ind w:left="1833" w:hanging="1833"/>
        <w:jc w:val="center"/>
        <w:rPr>
          <w:rStyle w:val="None"/>
          <w:rFonts w:ascii="Times New Roman" w:cs="Times New Roman" w:hAnsi="Times New Roman" w:eastAsia="Times New Roman"/>
          <w:kern w:val="0"/>
          <w:sz w:val="24"/>
          <w:szCs w:val="24"/>
        </w:rPr>
      </w:pPr>
    </w:p>
    <w:p>
      <w:pPr>
        <w:pStyle w:val="Normal.0"/>
        <w:widowControl w:val="0"/>
        <w:spacing w:after="0" w:line="240" w:lineRule="auto"/>
        <w:ind w:left="1725" w:hanging="1725"/>
        <w:jc w:val="center"/>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2. Ecological Role Composition of Recorded Insects</w:t>
      </w:r>
    </w:p>
    <w:tbl>
      <w:tblPr>
        <w:tblW w:w="5913" w:type="dxa"/>
        <w:jc w:val="center"/>
        <w:tblInd w:w="14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1950"/>
        <w:gridCol w:w="1623"/>
      </w:tblGrid>
      <w:tr>
        <w:tblPrEx>
          <w:shd w:val="clear" w:color="auto" w:fill="4f81bd"/>
        </w:tblPrEx>
        <w:trPr>
          <w:trHeight w:val="755" w:hRule="atLeast"/>
          <w:tblHeader/>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Ecological Role</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Number of Species</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Percentage (%)</w:t>
            </w:r>
          </w:p>
        </w:tc>
      </w:tr>
      <w:tr>
        <w:tblPrEx>
          <w:shd w:val="clear" w:color="auto" w:fill="ced7e7"/>
        </w:tblPrEx>
        <w:trPr>
          <w:trHeight w:val="310"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Pollinators</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22.22</w:t>
            </w:r>
          </w:p>
        </w:tc>
      </w:tr>
      <w:tr>
        <w:tblPrEx>
          <w:shd w:val="clear" w:color="auto" w:fill="ced7e7"/>
        </w:tblPrEx>
        <w:trPr>
          <w:trHeight w:val="310"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Predators</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22.22</w:t>
            </w:r>
          </w:p>
        </w:tc>
      </w:tr>
      <w:tr>
        <w:tblPrEx>
          <w:shd w:val="clear" w:color="auto" w:fill="ced7e7"/>
        </w:tblPrEx>
        <w:trPr>
          <w:trHeight w:val="310"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Pests / Herbivores</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22.22</w:t>
            </w:r>
          </w:p>
        </w:tc>
      </w:tr>
      <w:tr>
        <w:tblPrEx>
          <w:shd w:val="clear" w:color="auto" w:fill="ced7e7"/>
        </w:tblPrEx>
        <w:trPr>
          <w:trHeight w:val="755"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Decomposers / Detritivores</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16.67</w:t>
            </w:r>
          </w:p>
        </w:tc>
      </w:tr>
      <w:tr>
        <w:tblPrEx>
          <w:shd w:val="clear" w:color="auto" w:fill="ced7e7"/>
        </w:tblPrEx>
        <w:trPr>
          <w:trHeight w:val="310"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Scavengers</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11.11</w:t>
            </w:r>
          </w:p>
        </w:tc>
      </w:tr>
      <w:tr>
        <w:tblPrEx>
          <w:shd w:val="clear" w:color="auto" w:fill="ced7e7"/>
        </w:tblPrEx>
        <w:trPr>
          <w:trHeight w:val="310"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Disease Vectors</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5.56</w:t>
            </w:r>
          </w:p>
        </w:tc>
      </w:tr>
      <w:tr>
        <w:tblPrEx>
          <w:shd w:val="clear" w:color="auto" w:fill="ced7e7"/>
        </w:tblPrEx>
        <w:trPr>
          <w:trHeight w:val="310"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Total</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18</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100</w:t>
            </w:r>
          </w:p>
        </w:tc>
      </w:tr>
    </w:tbl>
    <w:p>
      <w:pPr>
        <w:pStyle w:val="Normal.0"/>
        <w:widowControl w:val="0"/>
        <w:spacing w:after="0" w:line="240" w:lineRule="auto"/>
        <w:ind w:left="1293" w:hanging="1293"/>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ind w:left="1185" w:hanging="1185"/>
        <w:jc w:val="center"/>
        <w:rPr>
          <w:rStyle w:val="None"/>
          <w:rFonts w:ascii="Times New Roman" w:cs="Times New Roman" w:hAnsi="Times New Roman" w:eastAsia="Times New Roman"/>
          <w:b w:val="1"/>
          <w:bCs w:val="1"/>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4570858" cy="2742515"/>
            <wp:effectExtent l="0" t="0" r="0" b="0"/>
            <wp:docPr id="1073741847" name="officeArt object" descr="image.png"/>
            <wp:cNvGraphicFramePr/>
            <a:graphic xmlns:a="http://schemas.openxmlformats.org/drawingml/2006/main">
              <a:graphicData uri="http://schemas.openxmlformats.org/drawingml/2006/picture">
                <pic:pic xmlns:pic="http://schemas.openxmlformats.org/drawingml/2006/picture">
                  <pic:nvPicPr>
                    <pic:cNvPr id="1073741847" name="image.png" descr="image.png"/>
                    <pic:cNvPicPr>
                      <a:picLocks noChangeAspect="1"/>
                    </pic:cNvPicPr>
                  </pic:nvPicPr>
                  <pic:blipFill>
                    <a:blip r:embed="rId26">
                      <a:extLst/>
                    </a:blip>
                    <a:stretch>
                      <a:fillRect/>
                    </a:stretch>
                  </pic:blipFill>
                  <pic:spPr>
                    <a:xfrm>
                      <a:off x="0" y="0"/>
                      <a:ext cx="4570858" cy="2742515"/>
                    </a:xfrm>
                    <a:prstGeom prst="rect">
                      <a:avLst/>
                    </a:prstGeom>
                    <a:ln w="12700" cap="flat">
                      <a:noFill/>
                      <a:miter lim="400000"/>
                    </a:ln>
                    <a:effectLst/>
                  </pic:spPr>
                </pic:pic>
              </a:graphicData>
            </a:graphic>
          </wp:inline>
        </w:drawing>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w:t>
        <w:tab/>
        <w:t>Biodiversity Indices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total number of individual insects recorded during the study period was 281                      (N = 281). Species richness (S) was determined as the total number of species recorded in the study area and was found to be 18 species.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Total Number of Individuals (N)</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Formula:</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Hyperlink.1"/>
          <w:rtl w:val="0"/>
          <w:lang w:val="en-US"/>
        </w:rPr>
        <w:t xml:space="preserve">N </w:t>
        <w:tab/>
        <w:t>=</w:t>
        <w:tab/>
        <w:t xml:space="preserve"> </w:t>
      </w:r>
      <w:r>
        <w:rPr>
          <w:rStyle w:val="Hyperlink.1"/>
          <w:rtl w:val="0"/>
          <w:lang w:val="en-US"/>
        </w:rPr>
        <w:t>Σ</w:t>
      </w:r>
      <w:r>
        <w:rPr>
          <w:rStyle w:val="Hyperlink.1"/>
          <w:rtl w:val="0"/>
          <w:lang w:val="en-US"/>
        </w:rPr>
        <w:t>ni</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Where:</w:t>
      </w:r>
    </w:p>
    <w:p>
      <w:pPr>
        <w:pStyle w:val="Normal.0"/>
        <w:numPr>
          <w:ilvl w:val="0"/>
          <w:numId w:val="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N </w:t>
        <w:tab/>
        <w:t xml:space="preserve">= </w:t>
        <w:tab/>
        <w:t>Total number of individuals</w:t>
      </w:r>
    </w:p>
    <w:p>
      <w:pPr>
        <w:pStyle w:val="Normal.0"/>
        <w:numPr>
          <w:ilvl w:val="0"/>
          <w:numId w:val="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ni</w:t>
        <w:tab/>
        <w:t xml:space="preserve"> = </w:t>
        <w:tab/>
        <w:t>Number of individuals of the i</w:t>
      </w:r>
      <w:r>
        <w:rPr>
          <w:rStyle w:val="None"/>
          <w:rFonts w:ascii="Arial Unicode MS" w:cs="Arial Unicode MS" w:hAnsi="Arial Unicode MS" w:eastAsia="Arial Unicode MS"/>
          <w:b w:val="0"/>
          <w:bCs w:val="0"/>
          <w:i w:val="0"/>
          <w:iCs w:val="0"/>
          <w:outline w:val="0"/>
          <w:color w:val="000000"/>
          <w:kern w:val="0"/>
          <w:sz w:val="24"/>
          <w:szCs w:val="24"/>
          <w:u w:color="000000"/>
          <w:rtl w:val="1"/>
          <w:lang w:val="ar-SA" w:bidi="ar-SA"/>
          <w14:textFill>
            <w14:solidFill>
              <w14:srgbClr w14:val="000000"/>
            </w14:solidFill>
          </w14:textFill>
        </w:rPr>
        <w:t>ᵗ</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ʰ </w:t>
      </w:r>
      <w:r>
        <w:rPr>
          <w:rStyle w:val="None"/>
          <w:rFonts w:ascii="Times New Roman" w:hAnsi="Times New Roman"/>
          <w:outline w:val="0"/>
          <w:color w:val="000000"/>
          <w:kern w:val="0"/>
          <w:sz w:val="24"/>
          <w:szCs w:val="24"/>
          <w:u w:color="000000"/>
          <w:rtl w:val="0"/>
          <w:lang w:val="en-US"/>
          <w14:textFill>
            <w14:solidFill>
              <w14:srgbClr w14:val="000000"/>
            </w14:solidFill>
          </w14:textFill>
        </w:rPr>
        <w:t>species</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Value Obtained:</w:t>
      </w:r>
    </w:p>
    <w:p>
      <w:pPr>
        <w:pStyle w:val="Normal.0"/>
        <w:pBdr>
          <w:top w:val="single" w:color="000000" w:sz="4" w:space="0" w:shadow="0" w:frame="0"/>
          <w:left w:val="single" w:color="000000" w:sz="4" w:space="0" w:shadow="0" w:frame="0"/>
          <w:bottom w:val="single" w:color="000000" w:sz="4" w:space="0" w:shadow="0" w:frame="0"/>
          <w:right w:val="single" w:color="000000" w:sz="4" w:space="0" w:shadow="0" w:frame="0"/>
        </w:pBdr>
        <w:spacing w:after="0" w:line="360" w:lineRule="auto"/>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N = 281</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xml:space="preserve">2. </w:t>
        <w:tab/>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Species Richness (S)</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Formula:</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Hyperlink.1"/>
          <w:rtl w:val="0"/>
          <w:lang w:val="en-US"/>
        </w:rPr>
        <w:t xml:space="preserve">S </w:t>
        <w:tab/>
        <w:t xml:space="preserve">= </w:t>
        <w:tab/>
        <w:t>Total number of species recorded</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Where:</w:t>
      </w:r>
    </w:p>
    <w:p>
      <w:pPr>
        <w:pStyle w:val="Normal.0"/>
        <w:numPr>
          <w:ilvl w:val="0"/>
          <w:numId w:val="6"/>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S </w:t>
        <w:tab/>
        <w:t xml:space="preserve">= </w:t>
        <w:tab/>
        <w:t>Species richness</w:t>
      </w:r>
    </w:p>
    <w:p>
      <w:pPr>
        <w:pStyle w:val="Normal.0"/>
        <w:spacing w:after="0" w:line="360" w:lineRule="auto"/>
        <w:rPr>
          <w:rStyle w:val="Hyperlink.1"/>
        </w:rPr>
      </w:pPr>
      <w:r>
        <w:rPr>
          <w:rStyle w:val="Hyperlink.1"/>
          <w:rtl w:val="0"/>
          <w:lang w:val="en-US"/>
        </w:rPr>
        <w:t xml:space="preserve">Value Obtained: </w:t>
      </w:r>
    </w:p>
    <w:p>
      <w:pPr>
        <w:pStyle w:val="Normal.0"/>
        <w:spacing w:after="0" w:line="360" w:lineRule="auto"/>
        <w:ind w:firstLine="720"/>
        <w:rPr>
          <w:rStyle w:val="Hyperlink.1"/>
        </w:rPr>
      </w:pPr>
      <w:r>
        <w:rPr>
          <w:rStyle w:val="Hyperlink.1"/>
          <w:rtl w:val="0"/>
          <w:lang w:val="en-US"/>
        </w:rPr>
        <w:t xml:space="preserve">S </w:t>
        <w:tab/>
        <w:t xml:space="preserve">= </w:t>
        <w:tab/>
        <w:t>18</w:t>
      </w:r>
    </w:p>
    <w:p>
      <w:pPr>
        <w:pStyle w:val="Normal.0"/>
        <w:spacing w:after="0" w:line="360" w:lineRule="auto"/>
        <w:ind w:firstLine="720"/>
        <w:rPr>
          <w:rStyle w:val="Hyperlink.1"/>
        </w:rPr>
      </w:pPr>
    </w:p>
    <w:p>
      <w:pPr>
        <w:pStyle w:val="Normal.0"/>
        <w:spacing w:after="0" w:line="360" w:lineRule="auto"/>
        <w:ind w:firstLine="720"/>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 Shannon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Wiener Diversity Index (H</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Formula:</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Hyperlink.1"/>
          <w:rtl w:val="0"/>
          <w:lang w:val="en-US"/>
        </w:rPr>
        <w:t>H</w:t>
      </w:r>
      <w:r>
        <w:rPr>
          <w:rStyle w:val="Hyperlink.1"/>
          <w:rtl w:val="0"/>
          <w:lang w:val="en-US"/>
        </w:rPr>
        <w:t xml:space="preserve">′ </w:t>
        <w:tab/>
      </w:r>
      <w:r>
        <w:rPr>
          <w:rStyle w:val="Hyperlink.1"/>
          <w:rtl w:val="0"/>
          <w:lang w:val="en-US"/>
        </w:rPr>
        <w:t xml:space="preserve">= </w:t>
        <w:tab/>
        <w:t>-</w:t>
      </w:r>
      <w:r>
        <w:rPr>
          <w:rStyle w:val="Hyperlink.1"/>
          <w:rtl w:val="0"/>
          <w:lang w:val="en-US"/>
        </w:rPr>
        <w:t>Σ</w:t>
      </w:r>
      <w:r>
        <w:rPr>
          <w:rStyle w:val="Hyperlink.1"/>
          <w:rtl w:val="0"/>
          <w:lang w:val="en-US"/>
        </w:rPr>
        <w:t>(pilnpi)</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Where:</w:t>
      </w:r>
    </w:p>
    <w:p>
      <w:pPr>
        <w:pStyle w:val="Normal.0"/>
        <w:numPr>
          <w:ilvl w:val="0"/>
          <w:numId w:val="8"/>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H</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 </w:t>
        <w:tab/>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w:t>
        <w:tab/>
        <w:t>Shannon</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w:t>
      </w:r>
      <w:r>
        <w:rPr>
          <w:rStyle w:val="None"/>
          <w:rFonts w:ascii="Times New Roman" w:hAnsi="Times New Roman"/>
          <w:outline w:val="0"/>
          <w:color w:val="000000"/>
          <w:kern w:val="0"/>
          <w:sz w:val="24"/>
          <w:szCs w:val="24"/>
          <w:u w:color="000000"/>
          <w:rtl w:val="0"/>
          <w:lang w:val="en-US"/>
          <w14:textFill>
            <w14:solidFill>
              <w14:srgbClr w14:val="000000"/>
            </w14:solidFill>
          </w14:textFill>
        </w:rPr>
        <w:t>Wiener Diversity Index</w:t>
      </w:r>
    </w:p>
    <w:p>
      <w:pPr>
        <w:pStyle w:val="Normal.0"/>
        <w:numPr>
          <w:ilvl w:val="0"/>
          <w:numId w:val="8"/>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pi </w:t>
        <w:tab/>
        <w:t xml:space="preserve">= </w:t>
        <w:tab/>
        <w:t>Proportion of individuals of the i</w:t>
      </w:r>
      <w:r>
        <w:rPr>
          <w:rStyle w:val="None"/>
          <w:rFonts w:ascii="Arial Unicode MS" w:cs="Arial Unicode MS" w:hAnsi="Arial Unicode MS" w:eastAsia="Arial Unicode MS"/>
          <w:b w:val="0"/>
          <w:bCs w:val="0"/>
          <w:i w:val="0"/>
          <w:iCs w:val="0"/>
          <w:outline w:val="0"/>
          <w:color w:val="000000"/>
          <w:kern w:val="0"/>
          <w:sz w:val="24"/>
          <w:szCs w:val="24"/>
          <w:u w:color="000000"/>
          <w:rtl w:val="1"/>
          <w:lang w:val="ar-SA" w:bidi="ar-SA"/>
          <w14:textFill>
            <w14:solidFill>
              <w14:srgbClr w14:val="000000"/>
            </w14:solidFill>
          </w14:textFill>
        </w:rPr>
        <w:t>ᵗ</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ʰ </w:t>
      </w:r>
      <w:r>
        <w:rPr>
          <w:rStyle w:val="None"/>
          <w:rFonts w:ascii="Times New Roman" w:hAnsi="Times New Roman"/>
          <w:outline w:val="0"/>
          <w:color w:val="000000"/>
          <w:kern w:val="0"/>
          <w:sz w:val="24"/>
          <w:szCs w:val="24"/>
          <w:u w:color="000000"/>
          <w:rtl w:val="0"/>
          <w:lang w:val="en-US"/>
          <w14:textFill>
            <w14:solidFill>
              <w14:srgbClr w14:val="000000"/>
            </w14:solidFill>
          </w14:textFill>
        </w:rPr>
        <w:t>species (pi = ni/N)</w:t>
      </w:r>
    </w:p>
    <w:p>
      <w:pPr>
        <w:pStyle w:val="Normal.0"/>
        <w:numPr>
          <w:ilvl w:val="0"/>
          <w:numId w:val="8"/>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ni </w:t>
        <w:tab/>
        <w:t xml:space="preserve">= </w:t>
        <w:tab/>
        <w:t>Number of individuals of the i</w:t>
      </w:r>
      <w:r>
        <w:rPr>
          <w:rStyle w:val="None"/>
          <w:rFonts w:ascii="Arial Unicode MS" w:cs="Arial Unicode MS" w:hAnsi="Arial Unicode MS" w:eastAsia="Arial Unicode MS"/>
          <w:b w:val="0"/>
          <w:bCs w:val="0"/>
          <w:i w:val="0"/>
          <w:iCs w:val="0"/>
          <w:outline w:val="0"/>
          <w:color w:val="000000"/>
          <w:kern w:val="0"/>
          <w:sz w:val="24"/>
          <w:szCs w:val="24"/>
          <w:u w:color="000000"/>
          <w:rtl w:val="1"/>
          <w:lang w:val="ar-SA" w:bidi="ar-SA"/>
          <w14:textFill>
            <w14:solidFill>
              <w14:srgbClr w14:val="000000"/>
            </w14:solidFill>
          </w14:textFill>
        </w:rPr>
        <w:t>ᵗ</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ʰ </w:t>
      </w:r>
      <w:r>
        <w:rPr>
          <w:rStyle w:val="None"/>
          <w:rFonts w:ascii="Times New Roman" w:hAnsi="Times New Roman"/>
          <w:outline w:val="0"/>
          <w:color w:val="000000"/>
          <w:kern w:val="0"/>
          <w:sz w:val="24"/>
          <w:szCs w:val="24"/>
          <w:u w:color="000000"/>
          <w:rtl w:val="0"/>
          <w:lang w:val="en-US"/>
          <w14:textFill>
            <w14:solidFill>
              <w14:srgbClr w14:val="000000"/>
            </w14:solidFill>
          </w14:textFill>
        </w:rPr>
        <w:t>species</w:t>
      </w:r>
    </w:p>
    <w:p>
      <w:pPr>
        <w:pStyle w:val="Normal.0"/>
        <w:numPr>
          <w:ilvl w:val="0"/>
          <w:numId w:val="8"/>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N </w:t>
        <w:tab/>
        <w:t xml:space="preserve">= </w:t>
        <w:tab/>
        <w:t>Total number of individuals</w:t>
      </w:r>
    </w:p>
    <w:p>
      <w:pPr>
        <w:pStyle w:val="Normal.0"/>
        <w:numPr>
          <w:ilvl w:val="0"/>
          <w:numId w:val="8"/>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ln </w:t>
        <w:tab/>
        <w:t xml:space="preserve">= </w:t>
        <w:tab/>
        <w:t>Natural logarithm</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Value Obtained:</w:t>
      </w:r>
      <w:r>
        <w:rPr>
          <w:rStyle w:val="Hyperlink.1"/>
          <w:rtl w:val="0"/>
          <w:lang w:val="en-US"/>
        </w:rPr>
        <w:t> </w:t>
      </w:r>
    </w:p>
    <w:p>
      <w:pPr>
        <w:pStyle w:val="Normal.0"/>
        <w:pBdr>
          <w:top w:val="single" w:color="000000" w:sz="4" w:space="0" w:shadow="0" w:frame="0"/>
          <w:left w:val="single" w:color="000000" w:sz="4" w:space="0" w:shadow="0" w:frame="0"/>
          <w:bottom w:val="single" w:color="000000" w:sz="4" w:space="0" w:shadow="0" w:frame="0"/>
          <w:right w:val="single" w:color="000000" w:sz="4" w:space="0" w:shadow="0" w:frame="0"/>
        </w:pBdr>
        <w:spacing w:after="0" w:line="360" w:lineRule="auto"/>
        <w:rPr>
          <w:rStyle w:val="None"/>
          <w:rFonts w:ascii="Times New Roman" w:cs="Times New Roman" w:hAnsi="Times New Roman" w:eastAsia="Times New Roman"/>
          <w:kern w:val="0"/>
          <w:sz w:val="24"/>
          <w:szCs w:val="24"/>
        </w:rPr>
      </w:pPr>
      <w:r>
        <w:rPr>
          <w:rStyle w:val="Hyperlink.1"/>
          <w:rtl w:val="0"/>
          <w:lang w:val="en-US"/>
        </w:rPr>
        <w:t>H</w:t>
      </w:r>
      <w:r>
        <w:rPr>
          <w:rStyle w:val="Hyperlink.1"/>
          <w:rtl w:val="0"/>
          <w:lang w:val="en-US"/>
        </w:rPr>
        <w:t xml:space="preserve">′ </w:t>
      </w:r>
      <w:r>
        <w:rPr>
          <w:rStyle w:val="Hyperlink.1"/>
          <w:rtl w:val="0"/>
          <w:lang w:val="en-US"/>
        </w:rPr>
        <w:t>= 2.68</w:t>
      </w:r>
    </w:p>
    <w:p>
      <w:pPr>
        <w:pStyle w:val="Normal.0"/>
        <w:spacing w:after="0" w:line="360" w:lineRule="auto"/>
        <w:rPr>
          <w:rStyle w:val="None"/>
          <w:rFonts w:ascii="Times New Roman" w:cs="Times New Roman" w:hAnsi="Times New Roman" w:eastAsia="Times New Roman"/>
          <w:kern w:val="0"/>
          <w:sz w:val="10"/>
          <w:szCs w:val="10"/>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 </w:t>
        <w:tab/>
        <w:t>Simpson Diversity Index (1</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Formula:</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Hyperlink.1"/>
          <w:rtl w:val="0"/>
          <w:lang w:val="en-US"/>
        </w:rPr>
        <w:t>1</w:t>
      </w:r>
      <w:r>
        <w:rPr>
          <w:rStyle w:val="Hyperlink.1"/>
          <w:rtl w:val="0"/>
          <w:lang w:val="en-US"/>
        </w:rPr>
        <w:t>−</w:t>
      </w:r>
      <w:r>
        <w:rPr>
          <w:rStyle w:val="Hyperlink.1"/>
          <w:rtl w:val="0"/>
          <w:lang w:val="en-US"/>
        </w:rPr>
        <w:t xml:space="preserve">D </w:t>
        <w:tab/>
        <w:t xml:space="preserve">= </w:t>
        <w:tab/>
        <w:t>1</w:t>
      </w:r>
      <w:r>
        <w:rPr>
          <w:rStyle w:val="Hyperlink.1"/>
          <w:rtl w:val="0"/>
          <w:lang w:val="en-US"/>
        </w:rPr>
        <w:t>−Σ</w:t>
      </w:r>
      <w:r>
        <w:rPr>
          <w:rStyle w:val="Hyperlink.1"/>
          <w:rtl w:val="0"/>
          <w:lang w:val="en-US"/>
        </w:rPr>
        <w:t>(pi</w:t>
      </w:r>
      <w:r>
        <w:rPr>
          <w:rStyle w:val="Hyperlink.1"/>
          <w:rtl w:val="0"/>
          <w:lang w:val="en-US"/>
        </w:rPr>
        <w:t>²</w:t>
      </w:r>
      <w:r>
        <w:rPr>
          <w:rStyle w:val="Hyperlink.1"/>
          <w:rtl w:val="0"/>
          <w:lang w:val="en-US"/>
        </w:rPr>
        <w:t>)</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Where:</w:t>
      </w:r>
    </w:p>
    <w:p>
      <w:pPr>
        <w:pStyle w:val="Normal.0"/>
        <w:numPr>
          <w:ilvl w:val="0"/>
          <w:numId w:val="10"/>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D </w:t>
        <w:tab/>
        <w:t xml:space="preserve">= </w:t>
        <w:tab/>
        <w:t>Simpson's dominance index</w:t>
      </w:r>
    </w:p>
    <w:p>
      <w:pPr>
        <w:pStyle w:val="Normal.0"/>
        <w:numPr>
          <w:ilvl w:val="0"/>
          <w:numId w:val="10"/>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pi </w:t>
        <w:tab/>
        <w:t xml:space="preserve">= </w:t>
        <w:tab/>
        <w:t>Proportion of individuals of the i</w:t>
      </w:r>
      <w:r>
        <w:rPr>
          <w:rStyle w:val="None"/>
          <w:rFonts w:ascii="Arial Unicode MS" w:cs="Arial Unicode MS" w:hAnsi="Arial Unicode MS" w:eastAsia="Arial Unicode MS"/>
          <w:b w:val="0"/>
          <w:bCs w:val="0"/>
          <w:i w:val="0"/>
          <w:iCs w:val="0"/>
          <w:outline w:val="0"/>
          <w:color w:val="000000"/>
          <w:kern w:val="0"/>
          <w:sz w:val="24"/>
          <w:szCs w:val="24"/>
          <w:u w:color="000000"/>
          <w:rtl w:val="1"/>
          <w:lang w:val="ar-SA" w:bidi="ar-SA"/>
          <w14:textFill>
            <w14:solidFill>
              <w14:srgbClr w14:val="000000"/>
            </w14:solidFill>
          </w14:textFill>
        </w:rPr>
        <w:t>ᵗ</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ʰ </w:t>
      </w:r>
      <w:r>
        <w:rPr>
          <w:rStyle w:val="None"/>
          <w:rFonts w:ascii="Times New Roman" w:hAnsi="Times New Roman"/>
          <w:outline w:val="0"/>
          <w:color w:val="000000"/>
          <w:kern w:val="0"/>
          <w:sz w:val="24"/>
          <w:szCs w:val="24"/>
          <w:u w:color="000000"/>
          <w:rtl w:val="0"/>
          <w:lang w:val="en-US"/>
          <w14:textFill>
            <w14:solidFill>
              <w14:srgbClr w14:val="000000"/>
            </w14:solidFill>
          </w14:textFill>
        </w:rPr>
        <w:t>species (pi = ni/N)</w:t>
      </w:r>
    </w:p>
    <w:p>
      <w:pPr>
        <w:pStyle w:val="Normal.0"/>
        <w:numPr>
          <w:ilvl w:val="0"/>
          <w:numId w:val="10"/>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ni </w:t>
        <w:tab/>
        <w:t xml:space="preserve">= </w:t>
        <w:tab/>
        <w:t>Number of individuals of the i</w:t>
      </w:r>
      <w:r>
        <w:rPr>
          <w:rStyle w:val="None"/>
          <w:rFonts w:ascii="Arial Unicode MS" w:cs="Arial Unicode MS" w:hAnsi="Arial Unicode MS" w:eastAsia="Arial Unicode MS"/>
          <w:b w:val="0"/>
          <w:bCs w:val="0"/>
          <w:i w:val="0"/>
          <w:iCs w:val="0"/>
          <w:outline w:val="0"/>
          <w:color w:val="000000"/>
          <w:kern w:val="0"/>
          <w:sz w:val="24"/>
          <w:szCs w:val="24"/>
          <w:u w:color="000000"/>
          <w:rtl w:val="1"/>
          <w:lang w:val="ar-SA" w:bidi="ar-SA"/>
          <w14:textFill>
            <w14:solidFill>
              <w14:srgbClr w14:val="000000"/>
            </w14:solidFill>
          </w14:textFill>
        </w:rPr>
        <w:t>ᵗ</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ʰ </w:t>
      </w:r>
      <w:r>
        <w:rPr>
          <w:rStyle w:val="None"/>
          <w:rFonts w:ascii="Times New Roman" w:hAnsi="Times New Roman"/>
          <w:outline w:val="0"/>
          <w:color w:val="000000"/>
          <w:kern w:val="0"/>
          <w:sz w:val="24"/>
          <w:szCs w:val="24"/>
          <w:u w:color="000000"/>
          <w:rtl w:val="0"/>
          <w:lang w:val="en-US"/>
          <w14:textFill>
            <w14:solidFill>
              <w14:srgbClr w14:val="000000"/>
            </w14:solidFill>
          </w14:textFill>
        </w:rPr>
        <w:t>species</w:t>
      </w:r>
    </w:p>
    <w:p>
      <w:pPr>
        <w:pStyle w:val="Normal.0"/>
        <w:numPr>
          <w:ilvl w:val="0"/>
          <w:numId w:val="10"/>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N </w:t>
        <w:tab/>
        <w:t xml:space="preserve">= </w:t>
        <w:tab/>
        <w:t>Total number of individuals</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Value Obtained:</w:t>
      </w:r>
      <w:r>
        <w:rPr>
          <w:rStyle w:val="Hyperlink.1"/>
          <w:rtl w:val="0"/>
          <w:lang w:val="en-US"/>
        </w:rPr>
        <w:t> </w:t>
      </w:r>
    </w:p>
    <w:p>
      <w:pPr>
        <w:pStyle w:val="Normal.0"/>
        <w:pBdr>
          <w:top w:val="single" w:color="000000" w:sz="4" w:space="0" w:shadow="0" w:frame="0"/>
          <w:left w:val="single" w:color="000000" w:sz="4" w:space="0" w:shadow="0" w:frame="0"/>
          <w:bottom w:val="single" w:color="000000" w:sz="4" w:space="0" w:shadow="0" w:frame="0"/>
          <w:right w:val="single" w:color="000000" w:sz="4" w:space="0" w:shadow="0" w:frame="0"/>
        </w:pBdr>
        <w:spacing w:after="0" w:line="360" w:lineRule="auto"/>
        <w:rPr>
          <w:rStyle w:val="None"/>
          <w:rFonts w:ascii="Times New Roman" w:cs="Times New Roman" w:hAnsi="Times New Roman" w:eastAsia="Times New Roman"/>
          <w:kern w:val="0"/>
          <w:sz w:val="24"/>
          <w:szCs w:val="24"/>
        </w:rPr>
      </w:pPr>
      <w:r>
        <w:rPr>
          <w:rStyle w:val="Hyperlink.1"/>
          <w:rtl w:val="0"/>
          <w:lang w:val="en-US"/>
        </w:rPr>
        <w:t>1</w:t>
      </w:r>
      <w:r>
        <w:rPr>
          <w:rStyle w:val="Hyperlink.1"/>
          <w:rtl w:val="0"/>
          <w:lang w:val="en-US"/>
        </w:rPr>
        <w:t>−</w:t>
      </w:r>
      <w:r>
        <w:rPr>
          <w:rStyle w:val="Hyperlink.1"/>
          <w:rtl w:val="0"/>
          <w:lang w:val="en-US"/>
        </w:rPr>
        <w:t>D = 0.921</w:t>
      </w:r>
    </w:p>
    <w:p>
      <w:pPr>
        <w:pStyle w:val="Normal.0"/>
        <w:spacing w:after="0" w:line="360" w:lineRule="auto"/>
        <w:ind w:firstLine="720"/>
        <w:jc w:val="both"/>
        <w:rPr>
          <w:rStyle w:val="Hyperlink.1"/>
        </w:rPr>
      </w:pPr>
      <w:r>
        <w:rPr>
          <w:rStyle w:val="Hyperlink.1"/>
          <w:rtl w:val="0"/>
          <w:lang w:val="en-US"/>
        </w:rPr>
        <w:t>The calculated biodiversity indices revealed that the study area supported a diverse insect community. The Shannon</w:t>
      </w:r>
      <w:r>
        <w:rPr>
          <w:rStyle w:val="Hyperlink.1"/>
          <w:rtl w:val="0"/>
          <w:lang w:val="en-US"/>
        </w:rPr>
        <w:t>–</w:t>
      </w:r>
      <w:r>
        <w:rPr>
          <w:rStyle w:val="Hyperlink.1"/>
          <w:rtl w:val="0"/>
          <w:lang w:val="en-US"/>
        </w:rPr>
        <w:t>Wiener Diversity Index (H</w:t>
      </w:r>
      <w:r>
        <w:rPr>
          <w:rStyle w:val="Hyperlink.1"/>
          <w:rtl w:val="0"/>
          <w:lang w:val="en-US"/>
        </w:rPr>
        <w:t xml:space="preserve">′ </w:t>
      </w:r>
      <w:r>
        <w:rPr>
          <w:rStyle w:val="Hyperlink.1"/>
          <w:rtl w:val="0"/>
          <w:lang w:val="en-US"/>
        </w:rPr>
        <w:t>= 2.68) indicated a moderate to relatively high level of species diversity, while the Simpson Diversity Index (1</w:t>
      </w:r>
      <w:r>
        <w:rPr>
          <w:rStyle w:val="Hyperlink.1"/>
          <w:rtl w:val="0"/>
          <w:lang w:val="en-US"/>
        </w:rPr>
        <w:t>−</w:t>
      </w:r>
      <w:r>
        <w:rPr>
          <w:rStyle w:val="Hyperlink.1"/>
          <w:rtl w:val="0"/>
          <w:lang w:val="en-US"/>
        </w:rPr>
        <w:t>D = 0.921) reflected high insect diversity within the study area. Although a considerable diversity of insects was recorded during the study period, the moderate diversity pattern may reflect the influence of habitat alteration and anthropogenic activities associated with urban development in the surrounding environment. The observed diversity highlights the ecological significance of the campus ecosystem in supporting insect fauna.</w:t>
      </w:r>
    </w:p>
    <w:p>
      <w:pPr>
        <w:pStyle w:val="Normal.0"/>
        <w:spacing w:after="0" w:line="360" w:lineRule="auto"/>
        <w:ind w:firstLine="720"/>
        <w:jc w:val="both"/>
        <w:rPr>
          <w:rStyle w:val="Hyperlink.1"/>
        </w:rPr>
      </w:pP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 </w:t>
        <w:tab/>
        <w:t>DISCUSSION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Similar observations have been reported for diverse insect communities in heterogeneous habitats supporting greater species richness and biodiversity conservation (McGeoch, 1998).</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Among the recorded insect groups, Lepidoptera constituted the dominant order. This predominance may be associated with the availability of flowering plants and larval host plants within the campus ecosystem. Butterflies are widely recognized as reliable bioindicators because they respond rapidly to environmental changes and habitat quality (Thomas, 2005). Likewise, Bonebrake et al. (2010) reported that butterfly diversity is strongly influenced by plant diversity, habitat heterogeneity and environmental stability, making them valuable indicators for biodiversity assessment.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present investigation also recorded insects belonging to different ecological groups, including pollinators, predators, decomposers, herbivores and disease vectors. The coexistence of these functional groups reflects the ecological complexity of the campus ecosystem. Pollinating insects support plant reproduction, predatory insects contribute to natural pest regulation, and decomposers facilitate nutrient cycling, thereby maintaining ecosystem functioning. Losey and Vaughan (2006) emphasized that insects provide indispensable ecosystem services that are fundamental for biodiversity conservation and ecological sustainability.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Although the study documented considerable insect diversity during the survey period, anthropogenic factors such as urbanization, habitat modification and changing land-use patterns may gradually influence insect abundance and species composition. Long-term monitoring studies have demonstrated that habitat fragmentation and environmental disturbances contribute to insect population declines (Hallmann et al., 2017). Similarly, Wagner (2020) highlighted that increasing anthropogenic pressures are among the major drivers of global insect decline, emphasizing the importance of conserving natural and semi-natural habitats.</w:t>
      </w:r>
    </w:p>
    <w:p>
      <w:pPr>
        <w:pStyle w:val="Normal.0"/>
        <w:spacing w:after="0" w:line="360" w:lineRule="auto"/>
        <w:ind w:firstLine="720"/>
        <w:jc w:val="both"/>
        <w:rPr>
          <w:rStyle w:val="None"/>
          <w:rFonts w:ascii="Times New Roman" w:cs="Times New Roman" w:hAnsi="Times New Roman" w:eastAsia="Times New Roman"/>
          <w:kern w:val="0"/>
        </w:rPr>
      </w:pPr>
      <w:r>
        <w:rPr>
          <w:rStyle w:val="Hyperlink.1"/>
          <w:rtl w:val="0"/>
          <w:lang w:val="en-US"/>
        </w:rPr>
        <w:t>Overall, the findings of the present study demonstrate that educational campuses can function as important refuges for insect biodiversity. Maintaining green spaces, native vegetation and sustainable habitat management practices can enhance insect diversity and support long-term ecological stability. The present study also provides baseline information for future biodiversity monitoring and conservation initiatives within educational institutions.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Andersen, A. N., Hoffmann, B. D., M</w:t>
      </w:r>
      <w:r>
        <w:rPr>
          <w:rStyle w:val="None"/>
          <w:rFonts w:ascii="Times New Roman" w:hAnsi="Times New Roman" w:hint="default"/>
          <w:b w:val="1"/>
          <w:bCs w:val="1"/>
          <w:kern w:val="0"/>
          <w:sz w:val="24"/>
          <w:szCs w:val="24"/>
          <w:rtl w:val="0"/>
          <w:lang w:val="en-US"/>
        </w:rPr>
        <w:t>ü</w:t>
      </w:r>
      <w:r>
        <w:rPr>
          <w:rStyle w:val="None"/>
          <w:rFonts w:ascii="Times New Roman" w:hAnsi="Times New Roman"/>
          <w:b w:val="1"/>
          <w:bCs w:val="1"/>
          <w:kern w:val="0"/>
          <w:sz w:val="24"/>
          <w:szCs w:val="24"/>
          <w:rtl w:val="0"/>
          <w:lang w:val="en-US"/>
        </w:rPr>
        <w:t>ller, W. J., &amp; Griffiths, A. D., 2002.</w:t>
      </w:r>
      <w:r>
        <w:rPr>
          <w:rStyle w:val="Hyperlink.1"/>
          <w:rtl w:val="0"/>
          <w:lang w:val="en-US"/>
        </w:rPr>
        <w:t xml:space="preserve"> Using ants as bioindicators in land management: Simplifying assessment of +ant community responses. </w:t>
      </w:r>
      <w:r>
        <w:rPr>
          <w:rStyle w:val="None"/>
          <w:rFonts w:ascii="Times New Roman" w:hAnsi="Times New Roman"/>
          <w:i w:val="1"/>
          <w:iCs w:val="1"/>
          <w:kern w:val="0"/>
          <w:sz w:val="24"/>
          <w:szCs w:val="24"/>
          <w:rtl w:val="0"/>
          <w:lang w:val="en-US"/>
        </w:rPr>
        <w:t>Journal of Applied Ecology</w:t>
      </w:r>
      <w:r>
        <w:rPr>
          <w:rStyle w:val="Hyperlink.1"/>
          <w:rtl w:val="0"/>
          <w:lang w:val="en-US"/>
        </w:rPr>
        <w:t>, 39(1), 8</w:t>
      </w:r>
      <w:r>
        <w:rPr>
          <w:rStyle w:val="Hyperlink.1"/>
          <w:rtl w:val="0"/>
          <w:lang w:val="en-US"/>
        </w:rPr>
        <w:t>–</w:t>
      </w:r>
      <w:r>
        <w:rPr>
          <w:rStyle w:val="Hyperlink.1"/>
          <w:rtl w:val="0"/>
          <w:lang w:val="en-US"/>
        </w:rPr>
        <w:t>17.</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Bonebrake, T. C., Ponisio, L. C., Boggs, C. L., &amp; Ehrlich, P. R., 2010. </w:t>
      </w:r>
      <w:r>
        <w:rPr>
          <w:rStyle w:val="Hyperlink.1"/>
          <w:rtl w:val="0"/>
          <w:lang w:val="en-US"/>
        </w:rPr>
        <w:t xml:space="preserve">More than just indicators: A review of butterfly ecological roles and conservation. </w:t>
      </w:r>
      <w:r>
        <w:rPr>
          <w:rStyle w:val="None"/>
          <w:rFonts w:ascii="Times New Roman" w:hAnsi="Times New Roman"/>
          <w:i w:val="1"/>
          <w:iCs w:val="1"/>
          <w:kern w:val="0"/>
          <w:sz w:val="24"/>
          <w:szCs w:val="24"/>
          <w:rtl w:val="0"/>
          <w:lang w:val="en-US"/>
        </w:rPr>
        <w:t xml:space="preserve">Biological Conservation, </w:t>
      </w:r>
      <w:r>
        <w:rPr>
          <w:rStyle w:val="Hyperlink.1"/>
          <w:rtl w:val="0"/>
          <w:lang w:val="en-US"/>
        </w:rPr>
        <w:t>143(8), 1831</w:t>
      </w:r>
      <w:r>
        <w:rPr>
          <w:rStyle w:val="Hyperlink.1"/>
          <w:rtl w:val="0"/>
          <w:lang w:val="en-US"/>
        </w:rPr>
        <w:t>–</w:t>
      </w:r>
      <w:r>
        <w:rPr>
          <w:rStyle w:val="Hyperlink.1"/>
          <w:rtl w:val="0"/>
          <w:lang w:val="en-US"/>
        </w:rPr>
        <w:t>1841.</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Brown, K. S., Jr. ,1997.</w:t>
      </w:r>
      <w:r>
        <w:rPr>
          <w:rStyle w:val="Hyperlink.1"/>
          <w:rtl w:val="0"/>
          <w:lang w:val="en-US"/>
        </w:rPr>
        <w:t xml:space="preserve"> Diversity, disturbance and sustainable use of Neotropical forests: Insects as indicators for conservation monitoring. </w:t>
      </w:r>
      <w:r>
        <w:rPr>
          <w:rStyle w:val="None"/>
          <w:rFonts w:ascii="Times New Roman" w:hAnsi="Times New Roman"/>
          <w:i w:val="1"/>
          <w:iCs w:val="1"/>
          <w:kern w:val="0"/>
          <w:sz w:val="24"/>
          <w:szCs w:val="24"/>
          <w:rtl w:val="0"/>
          <w:lang w:val="en-US"/>
        </w:rPr>
        <w:t xml:space="preserve">Journal of Insect Conservation, </w:t>
      </w:r>
      <w:r>
        <w:rPr>
          <w:rStyle w:val="Hyperlink.1"/>
          <w:rtl w:val="0"/>
          <w:lang w:val="en-US"/>
        </w:rPr>
        <w:t>1(1), 25</w:t>
      </w:r>
      <w:r>
        <w:rPr>
          <w:rStyle w:val="Hyperlink.1"/>
          <w:rtl w:val="0"/>
          <w:lang w:val="en-US"/>
        </w:rPr>
        <w:t>–</w:t>
      </w:r>
      <w:r>
        <w:rPr>
          <w:rStyle w:val="Hyperlink.1"/>
          <w:rtl w:val="0"/>
          <w:lang w:val="en-US"/>
        </w:rPr>
        <w:t>42.</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Cardoso, P., Erwin, T. L., Borges, P. A. V., &amp; New, T. R. 2011.</w:t>
      </w:r>
      <w:r>
        <w:rPr>
          <w:rStyle w:val="Hyperlink.1"/>
          <w:rtl w:val="0"/>
          <w:lang w:val="en-US"/>
        </w:rPr>
        <w:t xml:space="preserve"> The seven impediments in invertebrate conservation and how to overcome them. </w:t>
      </w:r>
      <w:r>
        <w:rPr>
          <w:rStyle w:val="None"/>
          <w:rFonts w:ascii="Times New Roman" w:hAnsi="Times New Roman"/>
          <w:i w:val="1"/>
          <w:iCs w:val="1"/>
          <w:kern w:val="0"/>
          <w:sz w:val="24"/>
          <w:szCs w:val="24"/>
          <w:rtl w:val="0"/>
          <w:lang w:val="en-US"/>
        </w:rPr>
        <w:t>Biological Conservation</w:t>
      </w:r>
      <w:r>
        <w:rPr>
          <w:rStyle w:val="Hyperlink.1"/>
          <w:rtl w:val="0"/>
          <w:lang w:val="en-US"/>
        </w:rPr>
        <w:t>, 144(11), 2647</w:t>
      </w:r>
      <w:r>
        <w:rPr>
          <w:rStyle w:val="Hyperlink.1"/>
          <w:rtl w:val="0"/>
          <w:lang w:val="en-US"/>
        </w:rPr>
        <w:t>–</w:t>
      </w:r>
      <w:r>
        <w:rPr>
          <w:rStyle w:val="Hyperlink.1"/>
          <w:rtl w:val="0"/>
          <w:lang w:val="en-US"/>
        </w:rPr>
        <w:t>2655.</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Dennis, R. L. H., Shreeve, T. G., &amp; Van Dyck, H. 2003</w:t>
      </w:r>
      <w:r>
        <w:rPr>
          <w:rStyle w:val="Hyperlink.1"/>
          <w:rtl w:val="0"/>
          <w:lang w:val="en-US"/>
        </w:rPr>
        <w:t xml:space="preserve">. Towards a functional resource-based concept for habitat: </w:t>
      </w:r>
      <w:r>
        <w:rPr>
          <w:rStyle w:val="None"/>
          <w:rFonts w:ascii="Times New Roman" w:hAnsi="Times New Roman"/>
          <w:i w:val="1"/>
          <w:iCs w:val="1"/>
          <w:kern w:val="0"/>
          <w:sz w:val="24"/>
          <w:szCs w:val="24"/>
          <w:rtl w:val="0"/>
          <w:lang w:val="en-US"/>
        </w:rPr>
        <w:t>A butterfly biology viewpoint. Oikos,</w:t>
      </w:r>
      <w:r>
        <w:rPr>
          <w:rStyle w:val="Hyperlink.1"/>
          <w:rtl w:val="0"/>
          <w:lang w:val="en-US"/>
        </w:rPr>
        <w:t xml:space="preserve"> 102(2), 417</w:t>
      </w:r>
      <w:r>
        <w:rPr>
          <w:rStyle w:val="Hyperlink.1"/>
          <w:rtl w:val="0"/>
          <w:lang w:val="en-US"/>
        </w:rPr>
        <w:t>–</w:t>
      </w:r>
      <w:r>
        <w:rPr>
          <w:rStyle w:val="Hyperlink.1"/>
          <w:rtl w:val="0"/>
          <w:lang w:val="en-US"/>
        </w:rPr>
        <w:t>426.</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Didham, R. K., Ghazoul, J., Stork, N. E., &amp; Davis, A. J. 1996. </w:t>
      </w:r>
      <w:r>
        <w:rPr>
          <w:rStyle w:val="Hyperlink.1"/>
          <w:rtl w:val="0"/>
          <w:lang w:val="en-US"/>
        </w:rPr>
        <w:t>Insects in fragmented forests: A functional approach to ecosystem change. Trends in Ecology &amp; Evolution, 11(6), 255</w:t>
      </w:r>
      <w:r>
        <w:rPr>
          <w:rStyle w:val="Hyperlink.1"/>
          <w:rtl w:val="0"/>
          <w:lang w:val="en-US"/>
        </w:rPr>
        <w:t>–</w:t>
      </w:r>
      <w:r>
        <w:rPr>
          <w:rStyle w:val="Hyperlink.1"/>
          <w:rtl w:val="0"/>
          <w:lang w:val="en-US"/>
        </w:rPr>
        <w:t>260.</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Hallmann, C. A., Sorg, M., Jongejans, E., Siepel, H., Hofland, N., Schwan, H., Stenmans, W., M</w:t>
      </w:r>
      <w:r>
        <w:rPr>
          <w:rStyle w:val="None"/>
          <w:rFonts w:ascii="Times New Roman" w:hAnsi="Times New Roman" w:hint="default"/>
          <w:b w:val="1"/>
          <w:bCs w:val="1"/>
          <w:kern w:val="0"/>
          <w:sz w:val="24"/>
          <w:szCs w:val="24"/>
          <w:rtl w:val="0"/>
          <w:lang w:val="en-US"/>
        </w:rPr>
        <w:t>ü</w:t>
      </w:r>
      <w:r>
        <w:rPr>
          <w:rStyle w:val="None"/>
          <w:rFonts w:ascii="Times New Roman" w:hAnsi="Times New Roman"/>
          <w:b w:val="1"/>
          <w:bCs w:val="1"/>
          <w:kern w:val="0"/>
          <w:sz w:val="24"/>
          <w:szCs w:val="24"/>
          <w:rtl w:val="0"/>
          <w:lang w:val="en-US"/>
        </w:rPr>
        <w:t>ller, A., Sumser, H., H</w:t>
      </w:r>
      <w:r>
        <w:rPr>
          <w:rStyle w:val="None"/>
          <w:rFonts w:ascii="Times New Roman" w:hAnsi="Times New Roman" w:hint="default"/>
          <w:b w:val="1"/>
          <w:bCs w:val="1"/>
          <w:kern w:val="0"/>
          <w:sz w:val="24"/>
          <w:szCs w:val="24"/>
          <w:rtl w:val="0"/>
          <w:lang w:val="en-US"/>
        </w:rPr>
        <w:t>ö</w:t>
      </w:r>
      <w:r>
        <w:rPr>
          <w:rStyle w:val="None"/>
          <w:rFonts w:ascii="Times New Roman" w:hAnsi="Times New Roman"/>
          <w:b w:val="1"/>
          <w:bCs w:val="1"/>
          <w:kern w:val="0"/>
          <w:sz w:val="24"/>
          <w:szCs w:val="24"/>
          <w:rtl w:val="0"/>
          <w:lang w:val="en-US"/>
        </w:rPr>
        <w:t>rren, T., Goulson, D., &amp; de Kroon, H. 2017.</w:t>
      </w:r>
      <w:r>
        <w:rPr>
          <w:rStyle w:val="Hyperlink.1"/>
          <w:rtl w:val="0"/>
          <w:lang w:val="en-US"/>
        </w:rPr>
        <w:t xml:space="preserve"> More than 75 percent decline over 27 years in total flying insect biomass in protected areas. </w:t>
      </w:r>
      <w:r>
        <w:rPr>
          <w:rStyle w:val="None"/>
          <w:rFonts w:ascii="Times New Roman" w:hAnsi="Times New Roman"/>
          <w:i w:val="1"/>
          <w:iCs w:val="1"/>
          <w:kern w:val="0"/>
          <w:sz w:val="24"/>
          <w:szCs w:val="24"/>
          <w:rtl w:val="0"/>
          <w:lang w:val="en-US"/>
        </w:rPr>
        <w:t xml:space="preserve">PLOS ONE, </w:t>
      </w:r>
      <w:r>
        <w:rPr>
          <w:rStyle w:val="Hyperlink.1"/>
          <w:rtl w:val="0"/>
          <w:lang w:val="en-US"/>
        </w:rPr>
        <w:t>12(10), e0185809.</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Kremen, C., Colwell, R. K., Erwin, T. L., Murphy, D. D., Noss, R. F., &amp; Sanjayan, M. A. 1993. </w:t>
      </w:r>
      <w:r>
        <w:rPr>
          <w:rStyle w:val="Hyperlink.1"/>
          <w:rtl w:val="0"/>
          <w:lang w:val="en-US"/>
        </w:rPr>
        <w:t xml:space="preserve">Terrestrial arthropod assemblages: Their use in conservation planning. </w:t>
      </w:r>
      <w:r>
        <w:rPr>
          <w:rStyle w:val="None"/>
          <w:rFonts w:ascii="Times New Roman" w:hAnsi="Times New Roman"/>
          <w:i w:val="1"/>
          <w:iCs w:val="1"/>
          <w:kern w:val="0"/>
          <w:sz w:val="24"/>
          <w:szCs w:val="24"/>
          <w:rtl w:val="0"/>
          <w:lang w:val="en-US"/>
        </w:rPr>
        <w:t>Conservation Biology</w:t>
      </w:r>
      <w:r>
        <w:rPr>
          <w:rStyle w:val="Hyperlink.1"/>
          <w:rtl w:val="0"/>
          <w:lang w:val="en-US"/>
        </w:rPr>
        <w:t>, 7(4), 796</w:t>
      </w:r>
      <w:r>
        <w:rPr>
          <w:rStyle w:val="Hyperlink.1"/>
          <w:rtl w:val="0"/>
          <w:lang w:val="en-US"/>
        </w:rPr>
        <w:t>–</w:t>
      </w:r>
      <w:r>
        <w:rPr>
          <w:rStyle w:val="Hyperlink.1"/>
          <w:rtl w:val="0"/>
          <w:lang w:val="en-US"/>
        </w:rPr>
        <w:t>808.</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Lewinsohn, T. M., Freitas, A. V. L., &amp; Prado, P. I. 2005. </w:t>
      </w:r>
      <w:r>
        <w:rPr>
          <w:rStyle w:val="Hyperlink.1"/>
          <w:rtl w:val="0"/>
          <w:lang w:val="en-US"/>
        </w:rPr>
        <w:t>Conservation of terrestrial invertebrates and their habitats in Brazil. Conservation Biology, 19(3), 640</w:t>
      </w:r>
      <w:r>
        <w:rPr>
          <w:rStyle w:val="Hyperlink.1"/>
          <w:rtl w:val="0"/>
          <w:lang w:val="en-US"/>
        </w:rPr>
        <w:t>–</w:t>
      </w:r>
      <w:r>
        <w:rPr>
          <w:rStyle w:val="Hyperlink.1"/>
          <w:rtl w:val="0"/>
          <w:lang w:val="en-US"/>
        </w:rPr>
        <w:t>645.</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Losey, J. E., &amp; Vaughan, M.,2006. </w:t>
      </w:r>
      <w:r>
        <w:rPr>
          <w:rStyle w:val="Hyperlink.1"/>
          <w:rtl w:val="0"/>
          <w:lang w:val="en-US"/>
        </w:rPr>
        <w:t xml:space="preserve">The economic value of ecological services provided by insects. </w:t>
      </w:r>
      <w:r>
        <w:rPr>
          <w:rStyle w:val="None"/>
          <w:rFonts w:ascii="Times New Roman" w:hAnsi="Times New Roman"/>
          <w:i w:val="1"/>
          <w:iCs w:val="1"/>
          <w:kern w:val="0"/>
          <w:sz w:val="24"/>
          <w:szCs w:val="24"/>
          <w:rtl w:val="0"/>
          <w:lang w:val="en-US"/>
        </w:rPr>
        <w:t xml:space="preserve">BioScience, </w:t>
      </w:r>
      <w:r>
        <w:rPr>
          <w:rStyle w:val="Hyperlink.1"/>
          <w:rtl w:val="0"/>
          <w:lang w:val="en-US"/>
        </w:rPr>
        <w:t>56(4), 311</w:t>
      </w:r>
      <w:r>
        <w:rPr>
          <w:rStyle w:val="Hyperlink.1"/>
          <w:rtl w:val="0"/>
          <w:lang w:val="en-US"/>
        </w:rPr>
        <w:t>–</w:t>
      </w:r>
      <w:r>
        <w:rPr>
          <w:rStyle w:val="Hyperlink.1"/>
          <w:rtl w:val="0"/>
          <w:lang w:val="en-US"/>
        </w:rPr>
        <w:t>323.</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McGeoch, M. A.,1998. </w:t>
      </w:r>
      <w:r>
        <w:rPr>
          <w:rStyle w:val="Hyperlink.1"/>
          <w:rtl w:val="0"/>
          <w:lang w:val="en-US"/>
        </w:rPr>
        <w:t xml:space="preserve">The selection, testing and application of terrestrial insects as bioindicators. </w:t>
      </w:r>
      <w:r>
        <w:rPr>
          <w:rStyle w:val="None"/>
          <w:rFonts w:ascii="Times New Roman" w:hAnsi="Times New Roman"/>
          <w:i w:val="1"/>
          <w:iCs w:val="1"/>
          <w:kern w:val="0"/>
          <w:sz w:val="24"/>
          <w:szCs w:val="24"/>
          <w:rtl w:val="0"/>
          <w:lang w:val="en-US"/>
        </w:rPr>
        <w:t>Biological Reviews</w:t>
      </w:r>
      <w:r>
        <w:rPr>
          <w:rStyle w:val="Hyperlink.1"/>
          <w:rtl w:val="0"/>
          <w:lang w:val="en-US"/>
        </w:rPr>
        <w:t>, 73(2), 181</w:t>
      </w:r>
      <w:r>
        <w:rPr>
          <w:rStyle w:val="Hyperlink.1"/>
          <w:rtl w:val="0"/>
          <w:lang w:val="en-US"/>
        </w:rPr>
        <w:t>–</w:t>
      </w:r>
      <w:r>
        <w:rPr>
          <w:rStyle w:val="Hyperlink.1"/>
          <w:rtl w:val="0"/>
          <w:lang w:val="en-US"/>
        </w:rPr>
        <w:t>201.</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New, T. R.,1997.</w:t>
      </w:r>
      <w:r>
        <w:rPr>
          <w:rStyle w:val="Hyperlink.1"/>
          <w:rtl w:val="0"/>
          <w:lang w:val="en-US"/>
        </w:rPr>
        <w:t xml:space="preserve"> Are Lepidoptera an effective "umbrella group" for biodiversity conservation? Journal of Insect Conservation, 1(1), 5</w:t>
      </w:r>
      <w:r>
        <w:rPr>
          <w:rStyle w:val="Hyperlink.1"/>
          <w:rtl w:val="0"/>
          <w:lang w:val="en-US"/>
        </w:rPr>
        <w:t>–</w:t>
      </w:r>
      <w:r>
        <w:rPr>
          <w:rStyle w:val="Hyperlink.1"/>
          <w:rtl w:val="0"/>
          <w:lang w:val="en-US"/>
        </w:rPr>
        <w:t>12.</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Nichols, E., Spector, S., Louzada, J., Larsen, T., Amezquita, S., &amp; Favila, M. E.,2008.</w:t>
      </w:r>
      <w:r>
        <w:rPr>
          <w:rStyle w:val="Hyperlink.1"/>
          <w:rtl w:val="0"/>
          <w:lang w:val="en-US"/>
        </w:rPr>
        <w:t xml:space="preserve"> Ecological functions and ecosystem services provided by Scarabaeinae dung beetles. </w:t>
      </w:r>
      <w:r>
        <w:rPr>
          <w:rStyle w:val="None"/>
          <w:rFonts w:ascii="Times New Roman" w:hAnsi="Times New Roman"/>
          <w:i w:val="1"/>
          <w:iCs w:val="1"/>
          <w:kern w:val="0"/>
          <w:sz w:val="24"/>
          <w:szCs w:val="24"/>
          <w:rtl w:val="0"/>
          <w:lang w:val="en-US"/>
        </w:rPr>
        <w:t>Biological Conservation,</w:t>
      </w:r>
      <w:r>
        <w:rPr>
          <w:rStyle w:val="Hyperlink.1"/>
          <w:rtl w:val="0"/>
          <w:lang w:val="en-US"/>
        </w:rPr>
        <w:t xml:space="preserve"> 141(6), 1461</w:t>
      </w:r>
      <w:r>
        <w:rPr>
          <w:rStyle w:val="Hyperlink.1"/>
          <w:rtl w:val="0"/>
          <w:lang w:val="en-US"/>
        </w:rPr>
        <w:t>–</w:t>
      </w:r>
      <w:r>
        <w:rPr>
          <w:rStyle w:val="Hyperlink.1"/>
          <w:rtl w:val="0"/>
          <w:lang w:val="en-US"/>
        </w:rPr>
        <w:t>1474.</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Thomas, J. A. ,2005.</w:t>
      </w:r>
      <w:r>
        <w:rPr>
          <w:rStyle w:val="Hyperlink.1"/>
          <w:rtl w:val="0"/>
          <w:lang w:val="en-US"/>
        </w:rPr>
        <w:t xml:space="preserve"> Monitoring change in the abundance and distribution of insects using butterflies and other indicator groups. Philosophical Transactions of the Royal Society B:</w:t>
      </w:r>
      <w:r>
        <w:rPr>
          <w:rStyle w:val="None"/>
          <w:rFonts w:ascii="Times New Roman" w:hAnsi="Times New Roman"/>
          <w:i w:val="1"/>
          <w:iCs w:val="1"/>
          <w:kern w:val="0"/>
          <w:sz w:val="24"/>
          <w:szCs w:val="24"/>
          <w:rtl w:val="0"/>
          <w:lang w:val="en-US"/>
        </w:rPr>
        <w:t xml:space="preserve"> Biological Sciences</w:t>
      </w:r>
      <w:r>
        <w:rPr>
          <w:rStyle w:val="Hyperlink.1"/>
          <w:rtl w:val="0"/>
          <w:lang w:val="en-US"/>
        </w:rPr>
        <w:t>, 360(1454), 339</w:t>
      </w:r>
      <w:r>
        <w:rPr>
          <w:rStyle w:val="Hyperlink.1"/>
          <w:rtl w:val="0"/>
          <w:lang w:val="en-US"/>
        </w:rPr>
        <w:t>–</w:t>
      </w:r>
      <w:r>
        <w:rPr>
          <w:rStyle w:val="Hyperlink.1"/>
          <w:rtl w:val="0"/>
          <w:lang w:val="en-US"/>
        </w:rPr>
        <w:t>357.</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Wagner, D. L., 2020. </w:t>
      </w:r>
      <w:r>
        <w:rPr>
          <w:rStyle w:val="Hyperlink.1"/>
          <w:rtl w:val="0"/>
          <w:lang w:val="en-US"/>
        </w:rPr>
        <w:t xml:space="preserve">Insect declines in the Anthropocene. </w:t>
      </w:r>
      <w:r>
        <w:rPr>
          <w:rStyle w:val="None"/>
          <w:rFonts w:ascii="Times New Roman" w:hAnsi="Times New Roman"/>
          <w:i w:val="1"/>
          <w:iCs w:val="1"/>
          <w:kern w:val="0"/>
          <w:sz w:val="24"/>
          <w:szCs w:val="24"/>
          <w:rtl w:val="0"/>
          <w:lang w:val="en-US"/>
        </w:rPr>
        <w:t xml:space="preserve">Annual Review of Entomology, </w:t>
      </w:r>
      <w:r>
        <w:rPr>
          <w:rStyle w:val="Hyperlink.1"/>
          <w:rtl w:val="0"/>
          <w:lang w:val="en-US"/>
        </w:rPr>
        <w:t>65, 457</w:t>
      </w:r>
      <w:r>
        <w:rPr>
          <w:rStyle w:val="Hyperlink.1"/>
          <w:rtl w:val="0"/>
          <w:lang w:val="en-US"/>
        </w:rPr>
        <w:t>–</w:t>
      </w:r>
      <w:r>
        <w:rPr>
          <w:rStyle w:val="Hyperlink.1"/>
          <w:rtl w:val="0"/>
          <w:lang w:val="en-US"/>
        </w:rPr>
        <w:t>480.</w:t>
      </w: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WATER QUALITY ASSESSMENT OF FIVE DIFFERENT SOURCES TO DETERMINE SUITABILITY FOR AQUATIC ORGANISMS</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Rosenda Clare, E. and Vinoliya Josephine Mary ,J.</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vertAlign w:val="superscript"/>
          <w:rtl w:val="0"/>
          <w:lang w:val="en-US"/>
        </w:rPr>
        <w:t>1</w:t>
      </w:r>
      <w:r>
        <w:rPr>
          <w:rStyle w:val="None"/>
          <w:rFonts w:ascii="Times New Roman" w:hAnsi="Times New Roman"/>
          <w:i w:val="1"/>
          <w:iCs w:val="1"/>
          <w:kern w:val="0"/>
          <w:sz w:val="24"/>
          <w:szCs w:val="24"/>
          <w:rtl w:val="0"/>
          <w:lang w:val="en-US"/>
        </w:rPr>
        <w:t xml:space="preserve">M.Sc. Student and </w:t>
      </w:r>
      <w:r>
        <w:rPr>
          <w:rStyle w:val="None"/>
          <w:rFonts w:ascii="Times New Roman" w:hAnsi="Times New Roman"/>
          <w:i w:val="1"/>
          <w:iCs w:val="1"/>
          <w:kern w:val="0"/>
          <w:sz w:val="24"/>
          <w:szCs w:val="24"/>
          <w:vertAlign w:val="superscript"/>
          <w:rtl w:val="0"/>
          <w:lang w:val="en-US"/>
        </w:rPr>
        <w:t>2</w:t>
      </w:r>
      <w:r>
        <w:rPr>
          <w:rStyle w:val="None"/>
          <w:rFonts w:ascii="Times New Roman" w:hAnsi="Times New Roman"/>
          <w:i w:val="1"/>
          <w:iCs w:val="1"/>
          <w:kern w:val="0"/>
          <w:sz w:val="24"/>
          <w:szCs w:val="24"/>
          <w:rtl w:val="0"/>
          <w:lang w:val="en-US"/>
        </w:rPr>
        <w:t>Associate Professor of Zoology</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Holy Cross College (Autonomous)</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Nagercoil, Kanyakumari District, Tamil Nadu, India</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Water is a vital yet limited natural resource, necessitating rigorous quality analysis to ensure its safety for domestic, agricultural, and industrial applications. This study evaluates the chemical properties of water samples collected from five distinct locations: Chenapalli Pond (Kuruthankodu), Matha Garden Pond and oxidation pond water (treated sewage water) (Holy Cross College, Nagercoil), river water (Thollavillai), and rainwater collected in Holy Cross College campus. The samples were collected using standardized protocol and analysed for key water quality parameters, including dissolved oxygen, carbon dioxide, salinity using standard titration. The primary objective was to assess the suitability of these diverse water sources for the survival of aquatic organisms. The analysis revealed that rainwater and Matha Garden Pond water exhibited the highest dissolved oxygen levels (7.1049 ml/L), while sewage water showed critical depletion of oxygen (1.4244ml/L) alongside the highest carbon dioxide concentration (15ppm). Salinity remained low across all sources, peaking slightly in the pond samples (0.414</w:t>
      </w:r>
      <w:r>
        <w:rPr>
          <w:rStyle w:val="Hyperlink.1"/>
          <w:rtl w:val="0"/>
          <w:lang w:val="en-US"/>
        </w:rPr>
        <w:t>‰</w:t>
      </w:r>
      <w:r>
        <w:rPr>
          <w:rStyle w:val="Hyperlink.1"/>
          <w:rtl w:val="0"/>
          <w:lang w:val="en-US"/>
        </w:rPr>
        <w:t>). Consequently, the severe organic loading in the sewage and Chenapalli Pond water renders them completely unsuitable for the survival of aquatic organisms, whereas rain and river water demonstrated more favourable baseline parameters. Ultimately, these findings underscore the critical importance of localized water testing prior to utilization to mitigate toxic effects</w:t>
      </w:r>
    </w:p>
    <w:p>
      <w:pPr>
        <w:pStyle w:val="Normal.0"/>
        <w:spacing w:after="0" w:line="360" w:lineRule="auto"/>
        <w:jc w:val="both"/>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 xml:space="preserve">Key words: </w:t>
      </w:r>
      <w:r>
        <w:rPr>
          <w:rStyle w:val="None"/>
          <w:rFonts w:ascii="Times New Roman" w:hAnsi="Times New Roman"/>
          <w:i w:val="1"/>
          <w:iCs w:val="1"/>
          <w:kern w:val="0"/>
          <w:sz w:val="24"/>
          <w:szCs w:val="24"/>
          <w:rtl w:val="0"/>
          <w:lang w:val="en-US"/>
        </w:rPr>
        <w:t>Aquatic organisms, Oxidation Pond water, Pond water, River water, Sewage water, Water quality.</w:t>
      </w:r>
      <w:r>
        <w:rPr>
          <w:rStyle w:val="None"/>
          <w:rFonts w:ascii="Times New Roman" w:hAnsi="Times New Roman" w:hint="default"/>
          <w:i w:val="1"/>
          <w:iCs w:val="1"/>
          <w:kern w:val="0"/>
          <w:sz w:val="24"/>
          <w:szCs w:val="24"/>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Rapid population growth, expanding urban areas, and ongoing industrial development have severely complicated municipal waste management, leading to the widespread degradation of surface waters (Rachna &amp; Disha, 2016). Furthermore, altered land utilization alongside extended agricultural periods has driven up fertilizer consumption; the subsequent runoff into nearby ponds and rivers triggers severe nutrient enrichment, threatening local biodiversity (Rachna &amp; Disha, 2016).</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rapid expansion of industrialization and population growth has also severely compromised subterranean reservoirs, making the routine screening of physicochemical and biological properties vital for ecological conservation and public health (Dohare et al., 2014). Consequently, routine monitoring of the chemical properties of regional surface water resources is vital for identifying pollution from domestic waste and mitigating severe health risks in surrounding communities (Chellakan, 2018).</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primary vector for drinking water contamination stems from sewage and faecal matter, which are frequently discharged into public distribution networks, while a secondary contributor is the influx of hazardous chemicals originating from industrial effluents, agricultural pesticides, and heavy fertilizer runoff (Daud et al., 2017). Driven heavily by these anthropogenic pressures, waterborne illnesses have become a catastrophic global crisis, accounting for nearly 80% of all recorded diseases and contributing to roughly one-third of global mortalities (Daud et al., 2017).</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Ultimately, evaluating the chemical, and biological characteristics of college drinking water is essential for safeguarding students from these waterborne illnesses and supporting overall public health (Jeyasekhar, 2022). To address these critical vulnerabilities, this paper comprehensively evaluates current drinking water quality standards, identifies primary contamination pathways, assesses existing sanitation frameworks, and examines the direct physiological impacts of unsafe water consumption on human populations (Daud et al., 2017).</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The primary objectives of this study are designed to:</w:t>
      </w:r>
    </w:p>
    <w:p>
      <w:pPr>
        <w:pStyle w:val="List Paragraph"/>
        <w:numPr>
          <w:ilvl w:val="0"/>
          <w:numId w:val="1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collect</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evaluate</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water samples from five distinct, localized sources: Chenapalli Pond, Matha Garden Pond, oxidation pond (treated sewage water), river water (Thollavillai), and rainwater at the Holy Cross College campus.</w:t>
      </w:r>
    </w:p>
    <w:p>
      <w:pPr>
        <w:pStyle w:val="List Paragraph"/>
        <w:numPr>
          <w:ilvl w:val="0"/>
          <w:numId w:val="1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analyse</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compare</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key physiochemical water quality parameters specifically dissolved oxygen (DO), carbon dioxide (CO_2), and salinity levels across the selected locations using standardized titration protocols.</w:t>
      </w:r>
    </w:p>
    <w:p>
      <w:pPr>
        <w:pStyle w:val="List Paragraph"/>
        <w:numPr>
          <w:ilvl w:val="0"/>
          <w:numId w:val="1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assess</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the ecological suitability of these diverse water sources for the survival and sustenance of aquatic organisms and human use.</w:t>
      </w:r>
    </w:p>
    <w:p>
      <w:pPr>
        <w:pStyle w:val="List Paragraph"/>
        <w:numPr>
          <w:ilvl w:val="0"/>
          <w:numId w:val="1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investigate</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the impact of organic loading and environmental contamination on dissolved oxygen depletion and elevated carbon dioxide concentrations in the tested samples.</w:t>
      </w:r>
    </w:p>
    <w:p>
      <w:pPr>
        <w:pStyle w:val="List Paragraph"/>
        <w:numPr>
          <w:ilvl w:val="0"/>
          <w:numId w:val="1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establish</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baseline water quality parameters for rain and river water to highlight the critical necessity of localized testing before domestic, agricultural, or industrial utilization.</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2.1</w:t>
        <w:tab/>
        <w:t>Collection of samples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Water samples were systematically collected on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August 28, 2024</w:t>
      </w:r>
      <w:r>
        <w:rPr>
          <w:rStyle w:val="Hyperlink.1"/>
          <w:rtl w:val="0"/>
          <w:lang w:val="en-US"/>
        </w:rPr>
        <w:t xml:space="preserve">, during the morning hours between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8:00 a.m. </w:t>
      </w:r>
      <w:r>
        <w:rPr>
          <w:rStyle w:val="Hyperlink.1"/>
          <w:rtl w:val="0"/>
          <w:lang w:val="en-US"/>
        </w:rPr>
        <w:t>and</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10:00 a.m.</w:t>
      </w:r>
      <w:r>
        <w:rPr>
          <w:rStyle w:val="Hyperlink.1"/>
          <w:rtl w:val="0"/>
          <w:lang w:val="en-US"/>
        </w:rPr>
        <w:t xml:space="preserve"> to ensure uniform baseline environmental conditions and minimize diurnal fluctuations in dissolved gases. Grab sampling techniques were employed using pre-cleaned, sterilized high-density polyethylene (HDPE) bottles. Prior to collection, each bottle was rinsed three times with the respective source water to eliminate potential cross-contamination.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To preserve the integrity of volatile parameters such as dissolved oxygen (DO) and carbon dioxide (CO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 xml:space="preserve">). To prevent biodegradation, microbial activity, or thermal alterations in the target chemical profiles, the labelled samples were immediately transported to the laboratory,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stored under refrigeration at 4</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o</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w:t>
      </w:r>
      <w:r>
        <w:rPr>
          <w:rStyle w:val="Hyperlink.1"/>
          <w:rtl w:val="0"/>
          <w:lang w:val="en-US"/>
        </w:rPr>
        <w:t xml:space="preserve"> until immediate chemical analysis was performed.</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Details of Collected Water Samples</w:t>
      </w:r>
    </w:p>
    <w:tbl>
      <w:tblPr>
        <w:tblW w:w="9108"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70"/>
        <w:gridCol w:w="4135"/>
        <w:gridCol w:w="3903"/>
      </w:tblGrid>
      <w:tr>
        <w:tblPrEx>
          <w:shd w:val="clear" w:color="auto" w:fill="ced7e7"/>
        </w:tblPrEx>
        <w:trPr>
          <w:trHeight w:val="3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Samples</w:t>
            </w:r>
          </w:p>
        </w:tc>
        <w:tc>
          <w:tcPr>
            <w:tcW w:type="dxa" w:w="4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Source Type</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Sampling Location</w:t>
            </w:r>
          </w:p>
        </w:tc>
      </w:tr>
      <w:tr>
        <w:tblPrEx>
          <w:shd w:val="clear" w:color="auto" w:fill="ced7e7"/>
        </w:tblPrEx>
        <w:trPr>
          <w:trHeight w:val="3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w:t>
            </w:r>
          </w:p>
        </w:tc>
        <w:tc>
          <w:tcPr>
            <w:tcW w:type="dxa" w:w="4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Chenapalli Pond Water</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Kuruthankodu</w:t>
            </w:r>
          </w:p>
        </w:tc>
      </w:tr>
      <w:tr>
        <w:tblPrEx>
          <w:shd w:val="clear" w:color="auto" w:fill="ced7e7"/>
        </w:tblPrEx>
        <w:trPr>
          <w:trHeight w:val="6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B</w:t>
            </w:r>
          </w:p>
        </w:tc>
        <w:tc>
          <w:tcPr>
            <w:tcW w:type="dxa" w:w="4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Matha Garden Pond Water</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Holy Cross College Campus, Nagercoil</w:t>
            </w:r>
          </w:p>
        </w:tc>
      </w:tr>
      <w:tr>
        <w:tblPrEx>
          <w:shd w:val="clear" w:color="auto" w:fill="ced7e7"/>
        </w:tblPrEx>
        <w:trPr>
          <w:trHeight w:val="6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w:t>
            </w:r>
          </w:p>
        </w:tc>
        <w:tc>
          <w:tcPr>
            <w:tcW w:type="dxa" w:w="4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Oxidation Pond (Treated Sewage Water)</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Holy Cross College Campus, Nagercoil</w:t>
            </w:r>
          </w:p>
        </w:tc>
      </w:tr>
      <w:tr>
        <w:tblPrEx>
          <w:shd w:val="clear" w:color="auto" w:fill="ced7e7"/>
        </w:tblPrEx>
        <w:trPr>
          <w:trHeight w:val="3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D</w:t>
            </w:r>
          </w:p>
        </w:tc>
        <w:tc>
          <w:tcPr>
            <w:tcW w:type="dxa" w:w="4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River Water</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Thollavillai</w:t>
            </w:r>
          </w:p>
        </w:tc>
      </w:tr>
      <w:tr>
        <w:tblPrEx>
          <w:shd w:val="clear" w:color="auto" w:fill="ced7e7"/>
        </w:tblPrEx>
        <w:trPr>
          <w:trHeight w:val="3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E</w:t>
            </w:r>
          </w:p>
        </w:tc>
        <w:tc>
          <w:tcPr>
            <w:tcW w:type="dxa" w:w="4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Rainwater</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Kurusady</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799055" cy="2101369"/>
            <wp:effectExtent l="0" t="0" r="0" b="0"/>
            <wp:docPr id="1073741848" name="officeArt object" descr="image.jpeg"/>
            <wp:cNvGraphicFramePr/>
            <a:graphic xmlns:a="http://schemas.openxmlformats.org/drawingml/2006/main">
              <a:graphicData uri="http://schemas.openxmlformats.org/drawingml/2006/picture">
                <pic:pic xmlns:pic="http://schemas.openxmlformats.org/drawingml/2006/picture">
                  <pic:nvPicPr>
                    <pic:cNvPr id="1073741848" name="image.jpeg" descr="image.jpeg"/>
                    <pic:cNvPicPr>
                      <a:picLocks noChangeAspect="1"/>
                    </pic:cNvPicPr>
                  </pic:nvPicPr>
                  <pic:blipFill>
                    <a:blip r:embed="rId27">
                      <a:extLst/>
                    </a:blip>
                    <a:stretch>
                      <a:fillRect/>
                    </a:stretch>
                  </pic:blipFill>
                  <pic:spPr>
                    <a:xfrm>
                      <a:off x="0" y="0"/>
                      <a:ext cx="2799055" cy="2101369"/>
                    </a:xfrm>
                    <a:prstGeom prst="rect">
                      <a:avLst/>
                    </a:prstGeom>
                    <a:ln w="12700" cap="flat">
                      <a:noFill/>
                      <a:miter lim="400000"/>
                    </a:ln>
                    <a:effectLst/>
                  </pic:spPr>
                </pic:pic>
              </a:graphicData>
            </a:graphic>
          </wp:inline>
        </w:drawing>
      </w:r>
      <w:r>
        <w:rPr>
          <w:rStyle w:val="Hyperlink.1"/>
          <w:rtl w:val="0"/>
          <w:lang w:val="en-US"/>
        </w:rPr>
        <w:t>*</w:t>
      </w:r>
      <w:r>
        <w:rPr>
          <w:rStyle w:val="Hyperlink.1"/>
        </w:rPr>
        <w:br w:type="textWrapping"/>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Oxidation Pond (Treated Sewage Water)</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2500590" cy="2660015"/>
            <wp:effectExtent l="0" t="0" r="0" b="0"/>
            <wp:docPr id="1073741849" name="officeArt object" descr="image.jpeg"/>
            <wp:cNvGraphicFramePr/>
            <a:graphic xmlns:a="http://schemas.openxmlformats.org/drawingml/2006/main">
              <a:graphicData uri="http://schemas.openxmlformats.org/drawingml/2006/picture">
                <pic:pic xmlns:pic="http://schemas.openxmlformats.org/drawingml/2006/picture">
                  <pic:nvPicPr>
                    <pic:cNvPr id="1073741849" name="image.jpeg" descr="image.jpeg"/>
                    <pic:cNvPicPr>
                      <a:picLocks noChangeAspect="1"/>
                    </pic:cNvPicPr>
                  </pic:nvPicPr>
                  <pic:blipFill>
                    <a:blip r:embed="rId28">
                      <a:extLst/>
                    </a:blip>
                    <a:stretch>
                      <a:fillRect/>
                    </a:stretch>
                  </pic:blipFill>
                  <pic:spPr>
                    <a:xfrm>
                      <a:off x="0" y="0"/>
                      <a:ext cx="2500590" cy="2660015"/>
                    </a:xfrm>
                    <a:prstGeom prst="rect">
                      <a:avLst/>
                    </a:prstGeom>
                    <a:ln w="12700" cap="flat">
                      <a:noFill/>
                      <a:miter lim="400000"/>
                    </a:ln>
                    <a:effectLst/>
                  </pic:spPr>
                </pic:pic>
              </a:graphicData>
            </a:graphic>
          </wp:inline>
        </w:drawing>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2759488" cy="2641245"/>
            <wp:effectExtent l="0" t="0" r="0" b="0"/>
            <wp:docPr id="1073741850" name="officeArt object" descr="image.jpeg"/>
            <wp:cNvGraphicFramePr/>
            <a:graphic xmlns:a="http://schemas.openxmlformats.org/drawingml/2006/main">
              <a:graphicData uri="http://schemas.openxmlformats.org/drawingml/2006/picture">
                <pic:pic xmlns:pic="http://schemas.openxmlformats.org/drawingml/2006/picture">
                  <pic:nvPicPr>
                    <pic:cNvPr id="1073741850" name="image.jpeg" descr="image.jpeg"/>
                    <pic:cNvPicPr>
                      <a:picLocks noChangeAspect="1"/>
                    </pic:cNvPicPr>
                  </pic:nvPicPr>
                  <pic:blipFill>
                    <a:blip r:embed="rId29">
                      <a:extLst/>
                    </a:blip>
                    <a:stretch>
                      <a:fillRect/>
                    </a:stretch>
                  </pic:blipFill>
                  <pic:spPr>
                    <a:xfrm>
                      <a:off x="0" y="0"/>
                      <a:ext cx="2759488" cy="2641245"/>
                    </a:xfrm>
                    <a:prstGeom prst="rect">
                      <a:avLst/>
                    </a:prstGeom>
                    <a:ln w="12700" cap="flat">
                      <a:noFill/>
                      <a:miter lim="400000"/>
                    </a:ln>
                    <a:effectLst/>
                  </pic:spPr>
                </pic:pic>
              </a:graphicData>
            </a:graphic>
          </wp:inline>
        </w:drawing>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Chenapalli Pond Water </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Matha Garden Pond Water</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2.2</w:t>
        <w:tab/>
        <w:t>Procedure for Oxygen Estimation</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Wrinkler titration method</w:t>
      </w:r>
    </w:p>
    <w:p>
      <w:pPr>
        <w:pStyle w:val="Normal.0"/>
        <w:numPr>
          <w:ilvl w:val="0"/>
          <w:numId w:val="1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Carefully fill a Winkler reagent bottle to the brim with sample A, ensuring no air bubbles are trapped inside.</w:t>
      </w:r>
    </w:p>
    <w:p>
      <w:pPr>
        <w:pStyle w:val="Normal.0"/>
        <w:numPr>
          <w:ilvl w:val="0"/>
          <w:numId w:val="1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Add 1 mL of Manganous Sulfate and 1 mL of Alkaline Iodide below the liquid surface to fix the Oxygen.</w:t>
      </w:r>
    </w:p>
    <w:p>
      <w:pPr>
        <w:pStyle w:val="Normal.0"/>
        <w:numPr>
          <w:ilvl w:val="0"/>
          <w:numId w:val="1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Securely close it with the stopper and invert several times to mix. A white/brown precipitate will form.</w:t>
      </w:r>
    </w:p>
    <w:p>
      <w:pPr>
        <w:pStyle w:val="Normal.0"/>
        <w:numPr>
          <w:ilvl w:val="0"/>
          <w:numId w:val="1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Allow the precipitate to settle halfway.</w:t>
      </w:r>
    </w:p>
    <w:p>
      <w:pPr>
        <w:pStyle w:val="Normal.0"/>
        <w:numPr>
          <w:ilvl w:val="0"/>
          <w:numId w:val="1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Add 1 mL of Concentrated Sulfuric Acid down the inside neck of the bottle.</w:t>
      </w:r>
    </w:p>
    <w:p>
      <w:pPr>
        <w:pStyle w:val="Normal.0"/>
        <w:numPr>
          <w:ilvl w:val="0"/>
          <w:numId w:val="1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Replace the stopper and invert until the precipitate completely dissolves, leaving a yellow-brown solution of free iodine.</w:t>
      </w:r>
    </w:p>
    <w:p>
      <w:pPr>
        <w:pStyle w:val="Normal.0"/>
        <w:numPr>
          <w:ilvl w:val="0"/>
          <w:numId w:val="1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Measure out exactly 20 mL of the solution into a conical flask.</w:t>
      </w:r>
    </w:p>
    <w:p>
      <w:pPr>
        <w:pStyle w:val="Normal.0"/>
        <w:numPr>
          <w:ilvl w:val="0"/>
          <w:numId w:val="1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Titrate with 0.025N Sodium Thiosulfate until the solution becomes a pale, straw-yellow colour.</w:t>
      </w:r>
    </w:p>
    <w:p>
      <w:pPr>
        <w:pStyle w:val="Normal.0"/>
        <w:numPr>
          <w:ilvl w:val="0"/>
          <w:numId w:val="1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Add a few drops of 1% Starch Indicator; the solution will turn dark blue.</w:t>
      </w:r>
    </w:p>
    <w:p>
      <w:pPr>
        <w:pStyle w:val="Normal.0"/>
        <w:numPr>
          <w:ilvl w:val="0"/>
          <w:numId w:val="1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Continue titrating drop-by-drop until the blue color completely disappears and the solution becomes colourless.</w:t>
      </w:r>
    </w:p>
    <w:p>
      <w:pPr>
        <w:pStyle w:val="Normal.0"/>
        <w:numPr>
          <w:ilvl w:val="0"/>
          <w:numId w:val="1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Repeat the titration for concordant values</w:t>
      </w:r>
    </w:p>
    <w:p>
      <w:pPr>
        <w:pStyle w:val="Normal.0"/>
        <w:numPr>
          <w:ilvl w:val="0"/>
          <w:numId w:val="1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Repeat this exact procedure for sample B, C, D, and E.</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2.3</w:t>
        <w:tab/>
        <w:t>Procedure for Carbon dioxide Estimation:</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Acid-Base titration method</w:t>
      </w:r>
    </w:p>
    <w:p>
      <w:pPr>
        <w:pStyle w:val="Normal.0"/>
        <w:numPr>
          <w:ilvl w:val="0"/>
          <w:numId w:val="16"/>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Take 50 mL of sample A in a conical flask.</w:t>
      </w:r>
    </w:p>
    <w:p>
      <w:pPr>
        <w:pStyle w:val="Normal.0"/>
        <w:numPr>
          <w:ilvl w:val="0"/>
          <w:numId w:val="16"/>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Add a few drops of 5% Phenolphthalein indicator to it.</w:t>
      </w:r>
    </w:p>
    <w:p>
      <w:pPr>
        <w:pStyle w:val="Normal.0"/>
        <w:numPr>
          <w:ilvl w:val="0"/>
          <w:numId w:val="16"/>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If the sample shows no pink colour, it is titrated against 0,025N sodium hydroxide; if the sample shows pink colour, it is titrated against 0.025N Hydrochloric acid.</w:t>
      </w:r>
    </w:p>
    <w:p>
      <w:pPr>
        <w:pStyle w:val="Normal.0"/>
        <w:numPr>
          <w:ilvl w:val="0"/>
          <w:numId w:val="16"/>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Repeat the titration for concordant values</w:t>
      </w:r>
    </w:p>
    <w:p>
      <w:pPr>
        <w:pStyle w:val="Normal.0"/>
        <w:numPr>
          <w:ilvl w:val="0"/>
          <w:numId w:val="16"/>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Repeat this exact procedure for sample B, C, D, and E.</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2.4</w:t>
        <w:tab/>
        <w:t>Procedure for Salinity Estimation:</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Mohr's method</w:t>
      </w:r>
    </w:p>
    <w:p>
      <w:pPr>
        <w:pStyle w:val="Normal.0"/>
        <w:numPr>
          <w:ilvl w:val="0"/>
          <w:numId w:val="1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 clean burette is rinsed with distilled water and then with AgNo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3</w:t>
      </w:r>
      <w:r>
        <w:rPr>
          <w:rStyle w:val="None"/>
          <w:rFonts w:ascii="Times New Roman" w:hAnsi="Times New Roman"/>
          <w:outline w:val="0"/>
          <w:color w:val="000000"/>
          <w:kern w:val="0"/>
          <w:sz w:val="24"/>
          <w:szCs w:val="24"/>
          <w:u w:color="000000"/>
          <w:rtl w:val="0"/>
          <w:lang w:val="en-US"/>
          <w14:textFill>
            <w14:solidFill>
              <w14:srgbClr w14:val="000000"/>
            </w14:solidFill>
          </w14:textFill>
        </w:rPr>
        <w:t>.</w:t>
      </w:r>
    </w:p>
    <w:p>
      <w:pPr>
        <w:pStyle w:val="Normal.0"/>
        <w:numPr>
          <w:ilvl w:val="0"/>
          <w:numId w:val="1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After rinsing, it was filled with 0.1N Agno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3</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solution.</w:t>
      </w:r>
    </w:p>
    <w:p>
      <w:pPr>
        <w:pStyle w:val="Normal.0"/>
        <w:numPr>
          <w:ilvl w:val="0"/>
          <w:numId w:val="1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Carefully fill the nostril portion of the bottle.</w:t>
      </w:r>
    </w:p>
    <w:p>
      <w:pPr>
        <w:pStyle w:val="Normal.0"/>
        <w:numPr>
          <w:ilvl w:val="0"/>
          <w:numId w:val="18"/>
        </w:numPr>
        <w:bidi w:val="0"/>
        <w:spacing w:after="0" w:line="360" w:lineRule="auto"/>
        <w:ind w:right="0"/>
        <w:jc w:val="both"/>
        <w:rPr>
          <w:rFonts w:ascii="Times New Roman" w:hAnsi="Times New Roman" w:hint="default"/>
          <w:sz w:val="24"/>
          <w:szCs w:val="24"/>
          <w:rtl w:val="0"/>
          <w:lang w:val="en-US"/>
        </w:rPr>
      </w:pP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w:t>
      </w:r>
      <w:r>
        <w:rPr>
          <w:rStyle w:val="None"/>
          <w:rFonts w:ascii="Times New Roman" w:hAnsi="Times New Roman"/>
          <w:outline w:val="0"/>
          <w:color w:val="000000"/>
          <w:kern w:val="0"/>
          <w:sz w:val="24"/>
          <w:szCs w:val="24"/>
          <w:u w:color="000000"/>
          <w:rtl w:val="0"/>
          <w:lang w:val="en-US"/>
          <w14:textFill>
            <w14:solidFill>
              <w14:srgbClr w14:val="000000"/>
            </w14:solidFill>
          </w14:textFill>
        </w:rPr>
        <w:t>Ten mL of the given sample was pipetted out into the clean conical flask and a few drops of 5% potassium dichromate was added as an indicator, till lemon yellow colour was obtained.</w:t>
      </w:r>
    </w:p>
    <w:p>
      <w:pPr>
        <w:pStyle w:val="Normal.0"/>
        <w:numPr>
          <w:ilvl w:val="0"/>
          <w:numId w:val="1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This was titrated against 0.1N AgNo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3</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Solution till the appearance of brick red colour.</w:t>
      </w:r>
    </w:p>
    <w:p>
      <w:pPr>
        <w:pStyle w:val="Normal.0"/>
        <w:numPr>
          <w:ilvl w:val="0"/>
          <w:numId w:val="1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The final reading was noted and the volume of AgNo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3</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consumed was calculated.</w:t>
      </w:r>
    </w:p>
    <w:p>
      <w:pPr>
        <w:pStyle w:val="Normal.0"/>
        <w:numPr>
          <w:ilvl w:val="0"/>
          <w:numId w:val="1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The titration was repeated to get the concordant values.</w:t>
      </w:r>
    </w:p>
    <w:p>
      <w:pPr>
        <w:pStyle w:val="Normal.0"/>
        <w:numPr>
          <w:ilvl w:val="0"/>
          <w:numId w:val="18"/>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Repeat this exact procedure for sample B, C, D, and E.</w:t>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ind w:left="720" w:firstLine="0"/>
        <w:rPr>
          <w:rStyle w:val="None"/>
          <w:rFonts w:ascii="Times New Roman" w:cs="Times New Roman" w:hAnsi="Times New Roman" w:eastAsia="Times New Roman"/>
          <w:kern w:val="0"/>
          <w:sz w:val="24"/>
          <w:szCs w:val="24"/>
        </w:rPr>
      </w:pPr>
      <w:r>
        <w:rPr>
          <w:rStyle w:val="Hyperlink.1"/>
          <w:rtl w:val="0"/>
          <w:lang w:val="en-US"/>
        </w:rPr>
        <w:t>                             </w:t>
      </w:r>
      <w:r>
        <w:rPr>
          <w:rStyle w:val="Hyperlink.1"/>
        </w:rPr>
        <w:drawing xmlns:a="http://schemas.openxmlformats.org/drawingml/2006/main">
          <wp:inline distT="0" distB="0" distL="0" distR="0">
            <wp:extent cx="2064601" cy="2679764"/>
            <wp:effectExtent l="0" t="0" r="0" b="0"/>
            <wp:docPr id="1073741851" name="officeArt object" descr="image.jpeg"/>
            <wp:cNvGraphicFramePr/>
            <a:graphic xmlns:a="http://schemas.openxmlformats.org/drawingml/2006/main">
              <a:graphicData uri="http://schemas.openxmlformats.org/drawingml/2006/picture">
                <pic:pic xmlns:pic="http://schemas.openxmlformats.org/drawingml/2006/picture">
                  <pic:nvPicPr>
                    <pic:cNvPr id="1073741851" name="image.jpeg" descr="image.jpeg"/>
                    <pic:cNvPicPr>
                      <a:picLocks noChangeAspect="1"/>
                    </pic:cNvPicPr>
                  </pic:nvPicPr>
                  <pic:blipFill>
                    <a:blip r:embed="rId30">
                      <a:extLst/>
                    </a:blip>
                    <a:stretch>
                      <a:fillRect/>
                    </a:stretch>
                  </pic:blipFill>
                  <pic:spPr>
                    <a:xfrm>
                      <a:off x="0" y="0"/>
                      <a:ext cx="2064601" cy="2679764"/>
                    </a:xfrm>
                    <a:prstGeom prst="rect">
                      <a:avLst/>
                    </a:prstGeom>
                    <a:ln w="12700" cap="flat">
                      <a:noFill/>
                      <a:miter lim="400000"/>
                    </a:ln>
                    <a:effectLst/>
                  </pic:spPr>
                </pic:pic>
              </a:graphicData>
            </a:graphic>
          </wp:inline>
        </w:drawing>
      </w:r>
    </w:p>
    <w:p>
      <w:pPr>
        <w:pStyle w:val="Normal.0"/>
        <w:spacing w:after="0" w:line="360" w:lineRule="auto"/>
        <w:ind w:left="720" w:firstLine="0"/>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Estimation of Dissolved Oxygen (DO)</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Calculations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Calculation for the estimation of Dissolved Oxygen (DO)</w:t>
      </w:r>
    </w:p>
    <w:p>
      <w:pPr>
        <w:pStyle w:val="Normal.0"/>
        <w:spacing w:after="0" w:line="360" w:lineRule="auto"/>
        <w:jc w:val="both"/>
        <w:rPr>
          <w:rStyle w:val="Hyperlink.1"/>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5727573" cy="427995"/>
            <wp:effectExtent l="0" t="0" r="0" b="0"/>
            <wp:docPr id="1073741852" name="officeArt object" descr="image.pdf"/>
            <wp:cNvGraphicFramePr/>
            <a:graphic xmlns:a="http://schemas.openxmlformats.org/drawingml/2006/main">
              <a:graphicData uri="http://schemas.openxmlformats.org/drawingml/2006/picture">
                <pic:pic xmlns:pic="http://schemas.openxmlformats.org/drawingml/2006/picture">
                  <pic:nvPicPr>
                    <pic:cNvPr id="1073741852" name="image.pdf" descr="image.pdf"/>
                    <pic:cNvPicPr>
                      <a:picLocks noChangeAspect="1"/>
                    </pic:cNvPicPr>
                  </pic:nvPicPr>
                  <pic:blipFill>
                    <a:blip r:embed="rId31">
                      <a:extLst/>
                    </a:blip>
                    <a:stretch>
                      <a:fillRect/>
                    </a:stretch>
                  </pic:blipFill>
                  <pic:spPr>
                    <a:xfrm>
                      <a:off x="0" y="0"/>
                      <a:ext cx="5727573" cy="427995"/>
                    </a:xfrm>
                    <a:prstGeom prst="rect">
                      <a:avLst/>
                    </a:prstGeom>
                    <a:ln w="12700" cap="flat">
                      <a:noFill/>
                      <a:miter lim="400000"/>
                    </a:ln>
                    <a:effectLst/>
                  </pic:spPr>
                </pic:pic>
              </a:graphicData>
            </a:graphic>
          </wp:inline>
        </w:drawing>
      </w:r>
      <w:r>
        <w:rPr>
          <w:rStyle w:val="Hyperlink.1"/>
          <w:rtl w:val="0"/>
          <w:lang w:val="en-US"/>
        </w:rPr>
        <w:t>Where,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3398140" cy="427914"/>
            <wp:effectExtent l="0" t="0" r="0" b="0"/>
            <wp:docPr id="1073741853" name="officeArt object" descr="image.pdf"/>
            <wp:cNvGraphicFramePr/>
            <a:graphic xmlns:a="http://schemas.openxmlformats.org/drawingml/2006/main">
              <a:graphicData uri="http://schemas.openxmlformats.org/drawingml/2006/picture">
                <pic:pic xmlns:pic="http://schemas.openxmlformats.org/drawingml/2006/picture">
                  <pic:nvPicPr>
                    <pic:cNvPr id="1073741853" name="image.pdf" descr="image.pdf"/>
                    <pic:cNvPicPr>
                      <a:picLocks noChangeAspect="1"/>
                    </pic:cNvPicPr>
                  </pic:nvPicPr>
                  <pic:blipFill>
                    <a:blip r:embed="rId32">
                      <a:extLst/>
                    </a:blip>
                    <a:stretch>
                      <a:fillRect/>
                    </a:stretch>
                  </pic:blipFill>
                  <pic:spPr>
                    <a:xfrm>
                      <a:off x="0" y="0"/>
                      <a:ext cx="3398140" cy="427914"/>
                    </a:xfrm>
                    <a:prstGeom prst="rect">
                      <a:avLst/>
                    </a:prstGeom>
                    <a:ln w="12700" cap="flat">
                      <a:noFill/>
                      <a:miter lim="400000"/>
                    </a:ln>
                    <a:effectLst/>
                  </pic:spPr>
                </pic:pic>
              </a:graphicData>
            </a:graphic>
          </wp:inline>
        </w:drawing>
      </w:r>
    </w:p>
    <w:p>
      <w:pPr>
        <w:pStyle w:val="Normal.0"/>
        <w:spacing w:after="0" w:line="360" w:lineRule="auto"/>
        <w:ind w:left="720" w:firstLine="0"/>
        <w:jc w:val="both"/>
        <w:rPr>
          <w:rStyle w:val="None"/>
          <w:rFonts w:ascii="Times New Roman" w:cs="Times New Roman" w:hAnsi="Times New Roman" w:eastAsia="Times New Roman"/>
          <w:kern w:val="0"/>
          <w:sz w:val="24"/>
          <w:szCs w:val="24"/>
        </w:rPr>
      </w:pPr>
      <w:r>
        <w:rPr>
          <w:rStyle w:val="Hyperlink.1"/>
          <w:rtl w:val="0"/>
          <w:lang w:val="en-US"/>
        </w:rPr>
        <w:t>200</w:t>
        <w:tab/>
        <w:t xml:space="preserve">= </w:t>
        <w:tab/>
        <w:t>Equivalent weight of 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 xml:space="preserve"> x Normality of Sodium thiosulphate x 100</w:t>
      </w:r>
    </w:p>
    <w:p>
      <w:pPr>
        <w:pStyle w:val="Normal.0"/>
        <w:spacing w:after="0" w:line="360" w:lineRule="auto"/>
        <w:ind w:left="720" w:firstLine="0"/>
        <w:jc w:val="both"/>
        <w:rPr>
          <w:rStyle w:val="None"/>
          <w:rFonts w:ascii="Times New Roman" w:cs="Times New Roman" w:hAnsi="Times New Roman" w:eastAsia="Times New Roman"/>
          <w:kern w:val="0"/>
          <w:sz w:val="24"/>
          <w:szCs w:val="24"/>
        </w:rPr>
      </w:pPr>
      <w:r>
        <w:rPr>
          <w:rStyle w:val="Hyperlink.1"/>
          <w:rtl w:val="0"/>
          <w:lang w:val="en-US"/>
        </w:rPr>
        <w:t>0.698</w:t>
        <w:tab/>
        <w:t xml:space="preserve">= </w:t>
        <w:tab/>
        <w:t>Conversion factor to covert ppm to ml/L</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Calculation for the estimation of Dissolved Carbon Dioxide (CO</w:t>
      </w:r>
      <w:r>
        <w:rPr>
          <w:rStyle w:val="None"/>
          <w:rFonts w:ascii="Times New Roman" w:hAnsi="Times New Roman"/>
          <w:b w:val="1"/>
          <w:bCs w:val="1"/>
          <w:outline w:val="0"/>
          <w:color w:val="000000"/>
          <w:kern w:val="0"/>
          <w:sz w:val="24"/>
          <w:szCs w:val="24"/>
          <w:u w:color="000000"/>
          <w:vertAlign w:val="subscript"/>
          <w:rtl w:val="0"/>
          <w:lang w:val="en-US"/>
          <w14:textFill>
            <w14:solidFill>
              <w14:srgbClr w14:val="000000"/>
            </w14:solidFill>
          </w14:textFill>
        </w:rPr>
        <w:t>2</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Amount of Carbon Dioxide dissolved in water sample</w:t>
        <w:tab/>
        <w:t xml:space="preserve"> =</w:t>
        <w:tab/>
        <w:t>Titre value x 10</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10</w:t>
        <w:tab/>
        <w:t>=</w:t>
        <w:tab/>
        <w:t>Conversion factor to convert the amount in ppm</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Reference-Laboratory Manual of Chemical and Bacterial Analysis of Water and Sewage</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Calculation for the estimation of Salinity</w:t>
      </w:r>
    </w:p>
    <w:p>
      <w:pPr>
        <w:pStyle w:val="Normal.0"/>
        <w:spacing w:after="0" w:line="360" w:lineRule="auto"/>
        <w:ind w:left="720" w:firstLine="0"/>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4820324" cy="427914"/>
            <wp:effectExtent l="0" t="0" r="0" b="0"/>
            <wp:docPr id="1073741854" name="officeArt object" descr="image.pdf"/>
            <wp:cNvGraphicFramePr/>
            <a:graphic xmlns:a="http://schemas.openxmlformats.org/drawingml/2006/main">
              <a:graphicData uri="http://schemas.openxmlformats.org/drawingml/2006/picture">
                <pic:pic xmlns:pic="http://schemas.openxmlformats.org/drawingml/2006/picture">
                  <pic:nvPicPr>
                    <pic:cNvPr id="1073741854" name="image.pdf" descr="image.pdf"/>
                    <pic:cNvPicPr>
                      <a:picLocks noChangeAspect="1"/>
                    </pic:cNvPicPr>
                  </pic:nvPicPr>
                  <pic:blipFill>
                    <a:blip r:embed="rId33">
                      <a:extLst/>
                    </a:blip>
                    <a:stretch>
                      <a:fillRect/>
                    </a:stretch>
                  </pic:blipFill>
                  <pic:spPr>
                    <a:xfrm>
                      <a:off x="0" y="0"/>
                      <a:ext cx="4820324" cy="427914"/>
                    </a:xfrm>
                    <a:prstGeom prst="rect">
                      <a:avLst/>
                    </a:prstGeom>
                    <a:ln w="12700" cap="flat">
                      <a:noFill/>
                      <a:miter lim="400000"/>
                    </a:ln>
                    <a:effectLst/>
                  </pic:spPr>
                </pic:pic>
              </a:graphicData>
            </a:graphic>
          </wp:inline>
        </w:drawing>
      </w:r>
    </w:p>
    <w:p>
      <w:pPr>
        <w:pStyle w:val="Normal.0"/>
        <w:spacing w:after="0" w:line="360" w:lineRule="auto"/>
        <w:ind w:left="720" w:firstLine="0"/>
        <w:jc w:val="both"/>
        <w:rPr>
          <w:rStyle w:val="None"/>
          <w:rFonts w:ascii="Times New Roman" w:cs="Times New Roman" w:hAnsi="Times New Roman" w:eastAsia="Times New Roman"/>
          <w:kern w:val="0"/>
          <w:sz w:val="24"/>
          <w:szCs w:val="24"/>
        </w:rPr>
      </w:pPr>
      <w:r>
        <w:rPr>
          <w:rStyle w:val="Hyperlink.1"/>
          <w:rtl w:val="0"/>
          <w:lang w:val="en-US"/>
        </w:rPr>
        <w:t>Where,</w:t>
      </w:r>
    </w:p>
    <w:p>
      <w:pPr>
        <w:pStyle w:val="Normal.0"/>
        <w:tabs>
          <w:tab w:val="left" w:pos="3780"/>
          <w:tab w:val="left" w:pos="4320"/>
        </w:tabs>
        <w:spacing w:after="0" w:line="360" w:lineRule="auto"/>
        <w:ind w:left="720" w:firstLine="0"/>
        <w:jc w:val="both"/>
        <w:rPr>
          <w:rStyle w:val="None"/>
          <w:rFonts w:ascii="Times New Roman" w:cs="Times New Roman" w:hAnsi="Times New Roman" w:eastAsia="Times New Roman"/>
          <w:kern w:val="0"/>
          <w:sz w:val="24"/>
          <w:szCs w:val="24"/>
        </w:rPr>
      </w:pPr>
      <w:r>
        <w:rPr>
          <w:rStyle w:val="Hyperlink.1"/>
          <w:rtl w:val="0"/>
          <w:lang w:val="en-US"/>
        </w:rPr>
        <w:t>Normality of Silver Nitrate</w:t>
        <w:tab/>
        <w:t>=</w:t>
        <w:tab/>
        <w:t>0.1</w:t>
      </w:r>
      <w:r>
        <w:rPr>
          <w:rStyle w:val="Hyperlink.1"/>
          <w:rtl w:val="0"/>
          <w:lang w:val="en-US"/>
        </w:rPr>
        <w:t> </w:t>
      </w:r>
    </w:p>
    <w:p>
      <w:pPr>
        <w:pStyle w:val="Normal.0"/>
        <w:tabs>
          <w:tab w:val="left" w:pos="3780"/>
          <w:tab w:val="left" w:pos="4320"/>
        </w:tabs>
        <w:spacing w:after="0" w:line="360" w:lineRule="auto"/>
        <w:ind w:left="4320" w:hanging="3600"/>
        <w:jc w:val="both"/>
        <w:rPr>
          <w:rStyle w:val="None"/>
          <w:rFonts w:ascii="Times New Roman" w:cs="Times New Roman" w:hAnsi="Times New Roman" w:eastAsia="Times New Roman"/>
          <w:kern w:val="0"/>
          <w:sz w:val="24"/>
          <w:szCs w:val="24"/>
        </w:rPr>
      </w:pPr>
      <w:r>
        <w:rPr>
          <w:rStyle w:val="Hyperlink.1"/>
          <w:rtl w:val="0"/>
          <w:lang w:val="en-US"/>
        </w:rPr>
        <w:t>Chlorocity</w:t>
        <w:tab/>
        <w:t xml:space="preserve">= </w:t>
        <w:tab/>
        <w:t>Molarity of Chloride x Atomic weight of Chloride</w:t>
      </w:r>
    </w:p>
    <w:p>
      <w:pPr>
        <w:pStyle w:val="Normal.0"/>
        <w:tabs>
          <w:tab w:val="left" w:pos="3780"/>
          <w:tab w:val="left" w:pos="4320"/>
        </w:tabs>
        <w:spacing w:after="0" w:line="360" w:lineRule="auto"/>
        <w:ind w:left="720" w:firstLine="0"/>
        <w:jc w:val="both"/>
        <w:rPr>
          <w:rStyle w:val="Hyperlink.1"/>
        </w:rPr>
      </w:pPr>
      <w:r>
        <w:rPr>
          <w:rStyle w:val="Hyperlink.1"/>
          <w:rtl w:val="0"/>
          <w:lang w:val="en-US"/>
        </w:rPr>
        <w:t>Atomic weight of Chloride</w:t>
        <w:tab/>
        <w:t>=</w:t>
        <w:tab/>
        <w:t>35.5</w:t>
      </w:r>
    </w:p>
    <w:p>
      <w:pPr>
        <w:pStyle w:val="Normal.0"/>
        <w:tabs>
          <w:tab w:val="left" w:pos="3780"/>
          <w:tab w:val="left" w:pos="4320"/>
        </w:tabs>
        <w:spacing w:after="0" w:line="360" w:lineRule="auto"/>
        <w:ind w:left="720" w:firstLine="0"/>
        <w:jc w:val="both"/>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1862684" cy="427914"/>
            <wp:effectExtent l="0" t="0" r="0" b="0"/>
            <wp:docPr id="1073741855" name="officeArt object" descr="image.pdf"/>
            <wp:cNvGraphicFramePr/>
            <a:graphic xmlns:a="http://schemas.openxmlformats.org/drawingml/2006/main">
              <a:graphicData uri="http://schemas.openxmlformats.org/drawingml/2006/picture">
                <pic:pic xmlns:pic="http://schemas.openxmlformats.org/drawingml/2006/picture">
                  <pic:nvPicPr>
                    <pic:cNvPr id="1073741855" name="image.pdf" descr="image.pdf"/>
                    <pic:cNvPicPr>
                      <a:picLocks noChangeAspect="1"/>
                    </pic:cNvPicPr>
                  </pic:nvPicPr>
                  <pic:blipFill>
                    <a:blip r:embed="rId34">
                      <a:extLst/>
                    </a:blip>
                    <a:stretch>
                      <a:fillRect/>
                    </a:stretch>
                  </pic:blipFill>
                  <pic:spPr>
                    <a:xfrm>
                      <a:off x="0" y="0"/>
                      <a:ext cx="1862684" cy="427914"/>
                    </a:xfrm>
                    <a:prstGeom prst="rect">
                      <a:avLst/>
                    </a:prstGeom>
                    <a:ln w="12700" cap="flat">
                      <a:noFill/>
                      <a:miter lim="400000"/>
                    </a:ln>
                    <a:effectLst/>
                  </pic:spPr>
                </pic:pic>
              </a:graphicData>
            </a:graphic>
          </wp:inline>
        </w:drawing>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Density of water</w:t>
        <w:tab/>
        <w:t>=</w:t>
        <w:tab/>
        <w:t>1</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Salinity of sample</w:t>
        <w:tab/>
        <w:t>=</w:t>
        <w:tab/>
        <w:t>0.03 + (1.805 x chlorinity)</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RESULTS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physicochemical analysis of the five collected water samples revealed significant variations in dissolved oxygen (DO), carbon dioxide (CO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 and salinity levels across the different ecological sources</w:t>
      </w:r>
    </w:p>
    <w:p>
      <w:pPr>
        <w:pStyle w:val="Normal.0"/>
        <w:spacing w:after="0" w:line="360" w:lineRule="auto"/>
        <w:jc w:val="both"/>
        <w:rPr>
          <w:rStyle w:val="Hyperlink.1"/>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w:t>
        <w:tab/>
        <w:t>Dissolved Oxygen (DO):</w:t>
      </w:r>
      <w:r>
        <w:rPr>
          <w:rStyle w:val="Hyperlink.1"/>
          <w:rtl w:val="0"/>
          <w:lang w:val="en-US"/>
        </w:rPr>
        <w:t xml:space="preserve"> The highest dissolved oxygen concentration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(7.1049 ml/L</w:t>
      </w:r>
      <w:r>
        <w:rPr>
          <w:rStyle w:val="Hyperlink.1"/>
          <w:rtl w:val="0"/>
          <w:lang w:val="en-US"/>
        </w:rPr>
        <w:t xml:space="preserve">) was recorded equally in both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Matha Garden Pond Water (Sample B)</w:t>
      </w:r>
      <w:r>
        <w:rPr>
          <w:rStyle w:val="Hyperlink.1"/>
          <w:rtl w:val="0"/>
          <w:lang w:val="en-US"/>
        </w:rPr>
        <w:t xml:space="preserve">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Rainwater (Sample E)</w:t>
      </w:r>
      <w:r>
        <w:rPr>
          <w:rStyle w:val="Hyperlink.1"/>
          <w:rtl w:val="0"/>
          <w:lang w:val="en-US"/>
        </w:rPr>
        <w:t xml:space="preserve">, indicating favourable atmospheric aeration and lower organic degradation in these sources. Conversely,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Sewage Water (Sample C)</w:t>
      </w:r>
      <w:r>
        <w:rPr>
          <w:rStyle w:val="Hyperlink.1"/>
          <w:rtl w:val="0"/>
          <w:lang w:val="en-US"/>
        </w:rPr>
        <w:t xml:space="preserve"> exhibited a critical depletion of oxygen, dropping to a minimum of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(1.4244ml/L)</w:t>
      </w:r>
      <w:r>
        <w:rPr>
          <w:rStyle w:val="Hyperlink.1"/>
          <w:rtl w:val="0"/>
          <w:lang w:val="en-US"/>
        </w:rPr>
        <w:t xml:space="preserve">. This severe deficit underscores intense microbial activity and high biochemical oxygen demand (BOD) typical of untreated or partially treated wastewater.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Chenapalli Pond Water (Sample A)</w:t>
      </w:r>
      <w:r>
        <w:rPr>
          <w:rStyle w:val="Hyperlink.1"/>
          <w:rtl w:val="0"/>
          <w:lang w:val="en-US"/>
        </w:rPr>
        <w:t xml:space="preserve"> also showed restricted DO levels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(3.5636ml/L)</w:t>
      </w:r>
      <w:r>
        <w:rPr>
          <w:rStyle w:val="Hyperlink.1"/>
          <w:rtl w:val="0"/>
          <w:lang w:val="en-US"/>
        </w:rPr>
        <w:t>, signaling moderate organic stress.</w:t>
      </w:r>
    </w:p>
    <w:p>
      <w:pPr>
        <w:pStyle w:val="Normal.0"/>
        <w:spacing w:after="0" w:line="360" w:lineRule="auto"/>
        <w:jc w:val="both"/>
        <w:rPr>
          <w:rStyle w:val="Hyperlink.1"/>
        </w:rPr>
      </w:pPr>
      <w:r>
        <w:rPr>
          <w:rStyle w:val="None"/>
          <w:rFonts w:ascii="Times New Roman" w:hAnsi="Times New Roman"/>
          <w:kern w:val="0"/>
          <w:sz w:val="24"/>
          <w:szCs w:val="24"/>
          <w:rtl w:val="0"/>
          <w:lang w:val="en-US"/>
        </w:rPr>
        <w:t>ii.</w:t>
        <w:tab/>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Carbon Dioxide (CO</w:t>
      </w:r>
      <w:r>
        <w:rPr>
          <w:rStyle w:val="None"/>
          <w:rFonts w:ascii="Times New Roman" w:hAnsi="Times New Roman"/>
          <w:b w:val="1"/>
          <w:bCs w:val="1"/>
          <w:outline w:val="0"/>
          <w:color w:val="000000"/>
          <w:kern w:val="0"/>
          <w:sz w:val="24"/>
          <w:szCs w:val="24"/>
          <w:u w:color="000000"/>
          <w:vertAlign w:val="subscript"/>
          <w:rtl w:val="0"/>
          <w:lang w:val="en-US"/>
          <w14:textFill>
            <w14:solidFill>
              <w14:srgbClr w14:val="000000"/>
            </w14:solidFill>
          </w14:textFill>
        </w:rPr>
        <w:t>2</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r>
        <w:rPr>
          <w:rStyle w:val="Hyperlink.1"/>
          <w:rtl w:val="0"/>
          <w:lang w:val="en-US"/>
        </w:rPr>
        <w:t xml:space="preserve"> Carbon dioxide levels displayed an inverse relationship with dissolved oxygen.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Sewage Water (Sample C)</w:t>
      </w:r>
      <w:r>
        <w:rPr>
          <w:rStyle w:val="Hyperlink.1"/>
          <w:rtl w:val="0"/>
          <w:lang w:val="en-US"/>
        </w:rPr>
        <w:t xml:space="preserve"> contained the highest concentration of CO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 xml:space="preserve"> at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15ppm</w:t>
      </w:r>
      <w:r>
        <w:rPr>
          <w:rStyle w:val="Hyperlink.1"/>
          <w:rtl w:val="0"/>
          <w:lang w:val="en-US"/>
        </w:rPr>
        <w:t xml:space="preserve">, closely followed by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Chenapalli Pond Water (Sample A)</w:t>
      </w:r>
      <w:r>
        <w:rPr>
          <w:rStyle w:val="Hyperlink.1"/>
          <w:rtl w:val="0"/>
          <w:lang w:val="en-US"/>
        </w:rPr>
        <w:t xml:space="preserve"> at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11ppm</w:t>
      </w:r>
      <w:r>
        <w:rPr>
          <w:rStyle w:val="Hyperlink.1"/>
          <w:rtl w:val="0"/>
          <w:lang w:val="en-US"/>
        </w:rPr>
        <w:t xml:space="preserve"> These elevated values are reflective of active microbial respiration breaking down organic matter. In contrast,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Matha Garden Pond Water (Sample B)</w:t>
      </w:r>
      <w:r>
        <w:rPr>
          <w:rStyle w:val="Hyperlink.1"/>
          <w:rtl w:val="0"/>
          <w:lang w:val="en-US"/>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River Water (Sample D)</w:t>
      </w:r>
      <w:r>
        <w:rPr>
          <w:rStyle w:val="Hyperlink.1"/>
          <w:rtl w:val="0"/>
          <w:lang w:val="en-US"/>
        </w:rPr>
        <w:t xml:space="preserve"> and</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Rainwater (Sample E) </w:t>
      </w:r>
      <w:r>
        <w:rPr>
          <w:rStyle w:val="Hyperlink.1"/>
          <w:rtl w:val="0"/>
          <w:lang w:val="en-US"/>
        </w:rPr>
        <w:t>maintained low CO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 xml:space="preserve"> levels at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3ppm, 4ppm</w:t>
      </w:r>
      <w:r>
        <w:rPr>
          <w:rStyle w:val="Hyperlink.1"/>
          <w:rtl w:val="0"/>
          <w:lang w:val="en-US"/>
        </w:rPr>
        <w:t xml:space="preserve">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6ppm</w:t>
      </w:r>
      <w:r>
        <w:rPr>
          <w:rStyle w:val="Hyperlink.1"/>
          <w:rtl w:val="0"/>
          <w:lang w:val="en-US"/>
        </w:rPr>
        <w:t xml:space="preserve"> respectively, aligning with healthier aquatic environments.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iii.</w:t>
        <w:tab/>
        <w:t>Salinity:</w:t>
      </w:r>
      <w:r>
        <w:rPr>
          <w:rStyle w:val="Hyperlink.1"/>
          <w:rtl w:val="0"/>
          <w:lang w:val="en-US"/>
        </w:rPr>
        <w:t xml:space="preserve"> The salinity values remained low across all tested environments, highlighting fresh baseline conditions. The highest salinity concentration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(0.414</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Hyperlink.1"/>
          <w:rtl w:val="0"/>
          <w:lang w:val="en-US"/>
        </w:rPr>
        <w:t xml:space="preserve">was detected in the stagnant ecosystems of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Chenapalli Pond</w:t>
      </w:r>
      <w:r>
        <w:rPr>
          <w:rStyle w:val="Hyperlink.1"/>
          <w:rtl w:val="0"/>
          <w:lang w:val="en-US"/>
        </w:rPr>
        <w:t xml:space="preserve">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Matha Garden Pond</w:t>
      </w:r>
      <w:r>
        <w:rPr>
          <w:rStyle w:val="Hyperlink.1"/>
          <w:rtl w:val="0"/>
          <w:lang w:val="en-US"/>
        </w:rPr>
        <w:t xml:space="preserve">, likely driven by surface evaporation and concentrated mineral runoff. Meanwhile, the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Sewage, River, and Rainwater</w:t>
      </w:r>
      <w:r>
        <w:rPr>
          <w:rStyle w:val="Hyperlink.1"/>
          <w:rtl w:val="0"/>
          <w:lang w:val="en-US"/>
        </w:rPr>
        <w:t xml:space="preserve"> samples all shared a uniform lower salinity reading of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(0.286</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r>
        <w:rPr>
          <w:rStyle w:val="None"/>
          <w:rFonts w:ascii="Times New Roman" w:cs="Times New Roman" w:hAnsi="Times New Roman" w:eastAsia="Times New Roman"/>
          <w:kern w:val="0"/>
          <w:sz w:val="24"/>
          <w:szCs w:val="24"/>
        </w:rPr>
        <w:br w:type="textWrapping"/>
        <w:br w:type="textWrapping"/>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2: Result of Physicochemical analysis</w:t>
      </w:r>
    </w:p>
    <w:tbl>
      <w:tblPr>
        <w:tblW w:w="924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70"/>
        <w:gridCol w:w="3134"/>
        <w:gridCol w:w="2208"/>
        <w:gridCol w:w="1675"/>
        <w:gridCol w:w="1155"/>
      </w:tblGrid>
      <w:tr>
        <w:tblPrEx>
          <w:shd w:val="clear" w:color="auto" w:fill="ced7e7"/>
        </w:tblPrEx>
        <w:trPr>
          <w:trHeight w:val="6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Samples</w:t>
            </w:r>
          </w:p>
        </w:tc>
        <w:tc>
          <w:tcPr>
            <w:tcW w:type="dxa" w:w="3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Source Type</w:t>
            </w:r>
          </w:p>
        </w:tc>
        <w:tc>
          <w:tcPr>
            <w:tcW w:type="dxa" w:w="2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Dissolved Oxygen (ml/L)</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Carbon Dioxide (ppm)</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Salinity (</w:t>
            </w:r>
            <w:r>
              <w:rPr>
                <w:rStyle w:val="None"/>
                <w:rFonts w:ascii="Times New Roman" w:hAnsi="Times New Roman" w:hint="default"/>
                <w:b w:val="1"/>
                <w:bCs w:val="1"/>
                <w:kern w:val="0"/>
                <w:sz w:val="24"/>
                <w:szCs w:val="24"/>
                <w:shd w:val="nil" w:color="auto" w:fill="auto"/>
                <w:rtl w:val="0"/>
                <w:lang w:val="en-US"/>
              </w:rPr>
              <w:t>‰</w:t>
            </w: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435"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w:t>
            </w:r>
          </w:p>
        </w:tc>
        <w:tc>
          <w:tcPr>
            <w:tcW w:type="dxa" w:w="3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Chenapalli Pond Water</w:t>
            </w:r>
          </w:p>
        </w:tc>
        <w:tc>
          <w:tcPr>
            <w:tcW w:type="dxa" w:w="2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3.5636</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11</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0.414</w:t>
            </w:r>
          </w:p>
        </w:tc>
      </w:tr>
      <w:tr>
        <w:tblPrEx>
          <w:shd w:val="clear" w:color="auto" w:fill="ced7e7"/>
        </w:tblPrEx>
        <w:trPr>
          <w:trHeight w:val="39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B</w:t>
            </w:r>
          </w:p>
        </w:tc>
        <w:tc>
          <w:tcPr>
            <w:tcW w:type="dxa" w:w="3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Matha Garden Pond Water</w:t>
            </w:r>
          </w:p>
        </w:tc>
        <w:tc>
          <w:tcPr>
            <w:tcW w:type="dxa" w:w="2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7.1049</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0.414</w:t>
            </w:r>
          </w:p>
        </w:tc>
      </w:tr>
      <w:tr>
        <w:tblPrEx>
          <w:shd w:val="clear" w:color="auto" w:fill="ced7e7"/>
        </w:tblPrEx>
        <w:trPr>
          <w:trHeight w:val="6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w:t>
            </w:r>
          </w:p>
        </w:tc>
        <w:tc>
          <w:tcPr>
            <w:tcW w:type="dxa" w:w="3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Oxidation Pond (Treated Sewage Water)</w:t>
            </w:r>
          </w:p>
        </w:tc>
        <w:tc>
          <w:tcPr>
            <w:tcW w:type="dxa" w:w="2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1.4244</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0.286</w:t>
            </w:r>
          </w:p>
        </w:tc>
      </w:tr>
      <w:tr>
        <w:tblPrEx>
          <w:shd w:val="clear" w:color="auto" w:fill="ced7e7"/>
        </w:tblPrEx>
        <w:trPr>
          <w:trHeight w:val="3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D</w:t>
            </w:r>
          </w:p>
        </w:tc>
        <w:tc>
          <w:tcPr>
            <w:tcW w:type="dxa" w:w="3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River Water</w:t>
            </w:r>
          </w:p>
        </w:tc>
        <w:tc>
          <w:tcPr>
            <w:tcW w:type="dxa" w:w="2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4.2629</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4</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0.286</w:t>
            </w:r>
          </w:p>
        </w:tc>
      </w:tr>
      <w:tr>
        <w:tblPrEx>
          <w:shd w:val="clear" w:color="auto" w:fill="ced7e7"/>
        </w:tblPrEx>
        <w:trPr>
          <w:trHeight w:val="3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E</w:t>
            </w:r>
          </w:p>
        </w:tc>
        <w:tc>
          <w:tcPr>
            <w:tcW w:type="dxa" w:w="3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Rainwater</w:t>
            </w:r>
          </w:p>
        </w:tc>
        <w:tc>
          <w:tcPr>
            <w:tcW w:type="dxa" w:w="2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7.1049</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6</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0.286</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w:t>
        <w:tab/>
        <w:t>Discussion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severe hypoxia (1.4244 ml/L) and elevated CO2 (15 ppm) measured in the Sewage Water (Sample C) mark an environment under intense respiratory stress. According to Kubitza (2025), high environmental carbon dioxide acts antagonistically against oxygen uptake, elevating blood gas levels to induce hypercapnia in aquatic organisms. This physiological shift compromises transport proteins like haemoglobin and hemocyanin, blocking internal oxygen distribution and risking metabolic depression via respiratory acidosis</w:t>
      </w:r>
      <w:r>
        <w:rPr>
          <w:rStyle w:val="Hyperlink.1"/>
          <w:rtl w:val="0"/>
          <w:lang w:val="en-US"/>
        </w:rPr>
        <w:t>—</w:t>
      </w:r>
      <w:r>
        <w:rPr>
          <w:rStyle w:val="Hyperlink.1"/>
          <w:rtl w:val="0"/>
          <w:lang w:val="en-US"/>
        </w:rPr>
        <w:t>a degradative trend mirrored to a lesser extent in the stagnant Chenapalli Pond Water (Sample A) (3.5636 ml/L DO; 11 ppm CO2).</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simultaneous occurrence of severe oxygen depletion and elevated carbon dioxide observed in Sample C represents a critical ecological threat. As demonstrated by </w:t>
      </w:r>
      <w:r>
        <w:rPr>
          <w:rStyle w:val="Hyperlink.1"/>
        </w:rPr>
        <w:fldChar w:fldCharType="begin" w:fldLock="0"/>
      </w:r>
      <w:r>
        <w:rPr>
          <w:rStyle w:val="Hyperlink.1"/>
        </w:rPr>
        <w:instrText xml:space="preserve"> HYPERLINK "https://www.sciencedirect.com/science/article/pii/S0044848623000121"</w:instrText>
      </w:r>
      <w:r>
        <w:rPr>
          <w:rStyle w:val="Hyperlink.1"/>
        </w:rPr>
        <w:fldChar w:fldCharType="separate" w:fldLock="0"/>
      </w:r>
      <w:r>
        <w:rPr>
          <w:rStyle w:val="Hyperlink.1"/>
          <w:rtl w:val="0"/>
          <w:lang w:val="en-US"/>
        </w:rPr>
        <w:t>Hamad et al. (2023)</w:t>
      </w:r>
      <w:r>
        <w:rPr/>
        <w:fldChar w:fldCharType="end" w:fldLock="0"/>
      </w:r>
      <w:r>
        <w:rPr>
          <w:rStyle w:val="Hyperlink.1"/>
          <w:rtl w:val="0"/>
          <w:lang w:val="en-US"/>
        </w:rPr>
        <w:t>, the combined synergistic stress of nocturnal hypoxia and hypercapnia induces chronic physiological depression, compounding appetite loss and drastically lowering metabolic and growth efficiency in aquatic species compared to single-gas fluctuations alone which is a degradative risk that begins to manifest in the stagnant environment of Sample 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From a public health standpoint, the long-term presence of these degraded water characteristics introduces severe biological hazards to nearby communities. Initial or brief exposure can precipitate sudden gastrointestinal infections, whereas the prolonged consumption of such poorly managed aquatic resources leads to deep-seated, systemic physiological harm, including chronic cardiovascular complications and heightened risks of oncology-related illnesses. Consequently, these systemic risks place a disproportionate burden on developing regions, where severe underinvestment in municipal sanitation facilities leaves local populations highly vulnerable to widespread outbreaks of waterborne infections and toxic chemical exposures.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Beyond localized environmental vectors, this form of pollution represents a devastating catalyst for juvenile illness globally. The combined toll of compromised air, water, and soil systems claimed the lives of approximately 940,000 children worldwide in 2016 alone, with two-thirds of these fatalities affecting infants and toddlers under the age of five, and the vast majority occurring in low- and middle-income countries (Landrigan et al., 2018).</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To mitigate these severe public health risks, current research emphasizes optimizing water safety directly at the point of consumption. Implementing localized interventions to improve water quality, including chemical chlorination alongside secure storage protocols, serves as an effective immediate defence (Gundry et al., 2004). Ultimately, establishing broader municipal provision of systematically processed, treated, and clean water supplies remains the definitive priority for reducing community exposure risks and safeguarding public health (Khan et al., 2013).</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Jeyasekhar, M. P.</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2022. </w:t>
      </w:r>
      <w:r>
        <w:rPr>
          <w:rStyle w:val="Hyperlink.1"/>
          <w:rtl w:val="0"/>
          <w:lang w:val="en-US"/>
        </w:rPr>
        <w:t xml:space="preserve">Assessment of drinking water quality in government schools in Virudhunagar District, Tamil Nadu, India. </w:t>
      </w:r>
      <w:r>
        <w:rPr>
          <w:rStyle w:val="None"/>
          <w:rFonts w:ascii="Times New Roman" w:hAnsi="Times New Roman"/>
          <w:i w:val="1"/>
          <w:iCs w:val="1"/>
          <w:kern w:val="0"/>
          <w:sz w:val="24"/>
          <w:szCs w:val="24"/>
          <w:rtl w:val="0"/>
          <w:lang w:val="en-US"/>
        </w:rPr>
        <w:t xml:space="preserve">International Journal of Health Sciences, </w:t>
      </w:r>
      <w:r>
        <w:rPr>
          <w:rStyle w:val="Hyperlink.1"/>
          <w:rtl w:val="0"/>
          <w:lang w:val="en-US"/>
        </w:rPr>
        <w:t>6(S5): 4534</w:t>
      </w:r>
      <w:r>
        <w:rPr>
          <w:rStyle w:val="Hyperlink.1"/>
          <w:rtl w:val="0"/>
          <w:lang w:val="en-US"/>
        </w:rPr>
        <w:t>–</w:t>
      </w:r>
      <w:r>
        <w:rPr>
          <w:rStyle w:val="Hyperlink.1"/>
          <w:rtl w:val="0"/>
          <w:lang w:val="en-US"/>
        </w:rPr>
        <w:t>4543</w:t>
      </w:r>
      <w:r>
        <w:rPr>
          <w:rStyle w:val="Hyperlink.1"/>
          <w:rtl w:val="0"/>
          <w:lang w:val="en-US"/>
        </w:rPr>
        <w:t> </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Dohare, D., Deshpande, S., &amp;Kotiya, A. 2014</w:t>
      </w:r>
      <w:r>
        <w:rPr>
          <w:rStyle w:val="Hyperlink.1"/>
          <w:rtl w:val="0"/>
          <w:lang w:val="en-US"/>
        </w:rPr>
        <w:t xml:space="preserve">. Analysis of ground water quality parameters: A review. Research </w:t>
      </w:r>
      <w:r>
        <w:rPr>
          <w:rStyle w:val="None"/>
          <w:rFonts w:ascii="Times New Roman" w:hAnsi="Times New Roman"/>
          <w:i w:val="1"/>
          <w:iCs w:val="1"/>
          <w:kern w:val="0"/>
          <w:sz w:val="24"/>
          <w:szCs w:val="24"/>
          <w:rtl w:val="0"/>
          <w:lang w:val="en-US"/>
        </w:rPr>
        <w:t>Journal of Engineering Sciences,</w:t>
      </w:r>
      <w:r>
        <w:rPr>
          <w:rStyle w:val="Hyperlink.1"/>
          <w:rtl w:val="0"/>
          <w:lang w:val="en-US"/>
        </w:rPr>
        <w:t xml:space="preserve"> 3(5), 26</w:t>
      </w:r>
      <w:r>
        <w:rPr>
          <w:rStyle w:val="Hyperlink.1"/>
          <w:rtl w:val="0"/>
          <w:lang w:val="en-US"/>
        </w:rPr>
        <w:t>–</w:t>
      </w:r>
      <w:r>
        <w:rPr>
          <w:rStyle w:val="Hyperlink.1"/>
          <w:rtl w:val="0"/>
          <w:lang w:val="en-US"/>
        </w:rPr>
        <w:t>31</w:t>
      </w:r>
      <w:r>
        <w:rPr>
          <w:rStyle w:val="Hyperlink.1"/>
          <w:rtl w:val="0"/>
          <w:lang w:val="en-US"/>
        </w:rPr>
        <w:t> </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Chellakan, R. S.</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2018.</w:t>
      </w:r>
      <w:r>
        <w:rPr>
          <w:rStyle w:val="Hyperlink.1"/>
          <w:rtl w:val="0"/>
          <w:lang w:val="en-US"/>
        </w:rPr>
        <w:t xml:space="preserve"> A study on water quality in Kanyakumari District, Tamil Nadu, India. </w:t>
      </w:r>
      <w:r>
        <w:rPr>
          <w:rStyle w:val="None"/>
          <w:rFonts w:ascii="Times New Roman" w:hAnsi="Times New Roman"/>
          <w:i w:val="1"/>
          <w:iCs w:val="1"/>
          <w:kern w:val="0"/>
          <w:sz w:val="24"/>
          <w:szCs w:val="24"/>
          <w:rtl w:val="0"/>
          <w:lang w:val="en-US"/>
        </w:rPr>
        <w:t xml:space="preserve">International Review of Business and Economics, </w:t>
      </w:r>
      <w:r>
        <w:rPr>
          <w:rStyle w:val="Hyperlink.1"/>
          <w:rtl w:val="0"/>
          <w:lang w:val="en-US"/>
        </w:rPr>
        <w:t>1(3), Article 13</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Bhateria, R., &amp; Jain, D.,</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2016.</w:t>
      </w:r>
      <w:r>
        <w:rPr>
          <w:rStyle w:val="Hyperlink.1"/>
          <w:rtl w:val="0"/>
          <w:lang w:val="en-US"/>
        </w:rPr>
        <w:t xml:space="preserve"> Water quality assessment of lake water: a review. </w:t>
      </w:r>
      <w:r>
        <w:rPr>
          <w:rStyle w:val="None"/>
          <w:rFonts w:ascii="Times New Roman" w:hAnsi="Times New Roman"/>
          <w:i w:val="1"/>
          <w:iCs w:val="1"/>
          <w:kern w:val="0"/>
          <w:sz w:val="24"/>
          <w:szCs w:val="24"/>
          <w:rtl w:val="0"/>
          <w:lang w:val="en-US"/>
        </w:rPr>
        <w:t xml:space="preserve">Sustainable Water Resources Management, </w:t>
      </w:r>
      <w:r>
        <w:rPr>
          <w:rStyle w:val="Hyperlink.1"/>
          <w:rtl w:val="0"/>
          <w:lang w:val="en-US"/>
        </w:rPr>
        <w:t>2(2): 161</w:t>
      </w:r>
      <w:r>
        <w:rPr>
          <w:rStyle w:val="Hyperlink.1"/>
          <w:rtl w:val="0"/>
          <w:lang w:val="en-US"/>
        </w:rPr>
        <w:t>–</w:t>
      </w:r>
      <w:r>
        <w:rPr>
          <w:rStyle w:val="Hyperlink.1"/>
          <w:rtl w:val="0"/>
          <w:lang w:val="en-US"/>
        </w:rPr>
        <w:t>173</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Daud, M. K., Nafees, M., Ali, S., Rizwan, M., Bajwa, R. A., Shakoor, M. B., Arshad, M. U., Chatha, S. A. S., Deeba, F., Murad, W., Malook, I., &amp; Zhu, S. J., 2017. </w:t>
      </w:r>
      <w:r>
        <w:rPr>
          <w:rStyle w:val="None"/>
          <w:rFonts w:ascii="Times New Roman" w:hAnsi="Times New Roman"/>
          <w:kern w:val="0"/>
          <w:sz w:val="24"/>
          <w:szCs w:val="24"/>
          <w:rtl w:val="0"/>
          <w:lang w:val="en-US"/>
        </w:rPr>
        <w:t>Drinking</w:t>
      </w:r>
      <w:r>
        <w:rPr>
          <w:rStyle w:val="Hyperlink.1"/>
          <w:rtl w:val="0"/>
          <w:lang w:val="en-US"/>
        </w:rPr>
        <w:t xml:space="preserve"> water quality status and contamination in Pakistan. B</w:t>
      </w:r>
      <w:r>
        <w:rPr>
          <w:rStyle w:val="None"/>
          <w:rFonts w:ascii="Times New Roman" w:hAnsi="Times New Roman"/>
          <w:i w:val="1"/>
          <w:iCs w:val="1"/>
          <w:kern w:val="0"/>
          <w:sz w:val="24"/>
          <w:szCs w:val="24"/>
          <w:rtl w:val="0"/>
          <w:lang w:val="en-US"/>
        </w:rPr>
        <w:t>ioMed Research International</w:t>
      </w:r>
      <w:r>
        <w:rPr>
          <w:rStyle w:val="Hyperlink.1"/>
          <w:rtl w:val="0"/>
          <w:lang w:val="en-US"/>
        </w:rPr>
        <w:t>, Article ID 7908183, 1-18</w:t>
      </w:r>
    </w:p>
    <w:p>
      <w:pPr>
        <w:pStyle w:val="Normal.0"/>
        <w:spacing w:after="0" w:line="360" w:lineRule="auto"/>
        <w:ind w:left="720" w:hanging="720"/>
        <w:jc w:val="both"/>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kern w:val="0"/>
          <w:sz w:val="24"/>
          <w:szCs w:val="24"/>
          <w:rtl w:val="0"/>
          <w:lang w:val="en-US"/>
        </w:rPr>
        <w:t>Kubitza, F.,</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2025</w:t>
      </w:r>
      <w:r>
        <w:rPr>
          <w:rStyle w:val="Hyperlink.1"/>
          <w:rtl w:val="0"/>
          <w:lang w:val="en-US"/>
        </w:rPr>
        <w:t xml:space="preserve">. The impact of water quality on health and performance of farmed fish and shrimp, Part 1: dissolved oxygen and carbon dioxide. </w:t>
      </w:r>
      <w:r>
        <w:rPr>
          <w:rStyle w:val="None"/>
          <w:rFonts w:ascii="Times New Roman" w:hAnsi="Times New Roman"/>
          <w:i w:val="1"/>
          <w:iCs w:val="1"/>
          <w:kern w:val="0"/>
          <w:sz w:val="24"/>
          <w:szCs w:val="24"/>
          <w:rtl w:val="0"/>
          <w:lang w:val="en-US"/>
        </w:rPr>
        <w:t>Responsible Seafood Advocate, Global Seafood Alliance.</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Hamad, M. I., Lamtane, H. A., Munubi, R. N., &amp; Skov, P. V.,</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2023.</w:t>
      </w:r>
      <w:r>
        <w:rPr>
          <w:rStyle w:val="Hyperlink.1"/>
          <w:rtl w:val="0"/>
          <w:lang w:val="en-US"/>
        </w:rPr>
        <w:t xml:space="preserve"> Individual and combined effects of hypoxia and hypercapnia on feeding and feed utilization in Nile tilapia (Oreochromis niloticus). </w:t>
      </w:r>
      <w:r>
        <w:rPr>
          <w:rStyle w:val="None"/>
          <w:rFonts w:ascii="Times New Roman" w:hAnsi="Times New Roman"/>
          <w:i w:val="1"/>
          <w:iCs w:val="1"/>
          <w:kern w:val="0"/>
          <w:sz w:val="24"/>
          <w:szCs w:val="24"/>
          <w:rtl w:val="0"/>
          <w:lang w:val="en-US"/>
        </w:rPr>
        <w:t>Aquaculture, 5</w:t>
      </w:r>
      <w:r>
        <w:rPr>
          <w:rStyle w:val="Hyperlink.1"/>
          <w:rtl w:val="0"/>
          <w:lang w:val="en-US"/>
        </w:rPr>
        <w:t>67, Article 739239</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Abalasei, M. E., Fighir, D., &amp; Teodosiu, C.,</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2026.</w:t>
      </w:r>
      <w:r>
        <w:rPr>
          <w:rStyle w:val="Hyperlink.1"/>
          <w:rtl w:val="0"/>
          <w:lang w:val="en-US"/>
        </w:rPr>
        <w:t xml:space="preserve"> Water Pollution and Human Health: An Integrated Risk Perspective. Water, 18(13), 1612</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Landrigan, J., et al.,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2018.</w:t>
      </w:r>
      <w:r>
        <w:rPr>
          <w:rStyle w:val="Hyperlink.1"/>
          <w:rtl w:val="0"/>
          <w:lang w:val="en-US"/>
        </w:rPr>
        <w:t xml:space="preserve"> The Lancet Commission on pollution and health. </w:t>
      </w:r>
      <w:r>
        <w:rPr>
          <w:rStyle w:val="None"/>
          <w:rFonts w:ascii="Times New Roman" w:hAnsi="Times New Roman"/>
          <w:i w:val="1"/>
          <w:iCs w:val="1"/>
          <w:kern w:val="0"/>
          <w:sz w:val="24"/>
          <w:szCs w:val="24"/>
          <w:rtl w:val="0"/>
          <w:lang w:val="en-US"/>
        </w:rPr>
        <w:t xml:space="preserve">The Lancet, </w:t>
      </w:r>
      <w:r>
        <w:rPr>
          <w:rStyle w:val="Hyperlink.1"/>
          <w:rtl w:val="0"/>
          <w:lang w:val="en-US"/>
        </w:rPr>
        <w:t>391(10119), 462</w:t>
      </w:r>
      <w:r>
        <w:rPr>
          <w:rStyle w:val="Hyperlink.1"/>
          <w:rtl w:val="0"/>
          <w:lang w:val="en-US"/>
        </w:rPr>
        <w:t>–</w:t>
      </w:r>
      <w:r>
        <w:rPr>
          <w:rStyle w:val="Hyperlink.1"/>
          <w:rtl w:val="0"/>
          <w:lang w:val="en-US"/>
        </w:rPr>
        <w:t>512</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Lin, L., Yang, H., &amp; Xu, X.,</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2022</w:t>
      </w:r>
      <w:r>
        <w:rPr>
          <w:rStyle w:val="Hyperlink.1"/>
          <w:rtl w:val="0"/>
          <w:lang w:val="en-US"/>
        </w:rPr>
        <w:t xml:space="preserve">. Effects of Water Pollution on Human Health and Disease Heterogeneity: A Review. </w:t>
      </w:r>
      <w:r>
        <w:rPr>
          <w:rStyle w:val="None"/>
          <w:rFonts w:ascii="Times New Roman" w:hAnsi="Times New Roman"/>
          <w:i w:val="1"/>
          <w:iCs w:val="1"/>
          <w:kern w:val="0"/>
          <w:sz w:val="24"/>
          <w:szCs w:val="24"/>
          <w:rtl w:val="0"/>
          <w:lang w:val="en-US"/>
        </w:rPr>
        <w:t xml:space="preserve">Frontiers in Environmental Science, </w:t>
      </w:r>
      <w:r>
        <w:rPr>
          <w:rStyle w:val="Hyperlink.1"/>
          <w:rtl w:val="0"/>
          <w:lang w:val="en-US"/>
        </w:rPr>
        <w:t>10, 880246</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Gundry, S., Wright, J., &amp; Conroy, R.,</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2004</w:t>
      </w:r>
      <w:r>
        <w:rPr>
          <w:rStyle w:val="Hyperlink.1"/>
          <w:rtl w:val="0"/>
          <w:lang w:val="en-US"/>
        </w:rPr>
        <w:t xml:space="preserve">. A systematic review of the health outcomes related to household water quality in developing countries. </w:t>
      </w:r>
      <w:r>
        <w:rPr>
          <w:rStyle w:val="None"/>
          <w:rFonts w:ascii="Times New Roman" w:hAnsi="Times New Roman"/>
          <w:i w:val="1"/>
          <w:iCs w:val="1"/>
          <w:kern w:val="0"/>
          <w:sz w:val="24"/>
          <w:szCs w:val="24"/>
          <w:rtl w:val="0"/>
          <w:lang w:val="en-US"/>
        </w:rPr>
        <w:t>Journal of Water and Health,</w:t>
      </w:r>
      <w:r>
        <w:rPr>
          <w:rStyle w:val="Hyperlink.1"/>
          <w:rtl w:val="0"/>
          <w:lang w:val="en-US"/>
        </w:rPr>
        <w:t xml:space="preserve"> 2(2), 67</w:t>
      </w:r>
      <w:r>
        <w:rPr>
          <w:rStyle w:val="Hyperlink.1"/>
          <w:rtl w:val="0"/>
          <w:lang w:val="en-US"/>
        </w:rPr>
        <w:t>–</w:t>
      </w:r>
      <w:r>
        <w:rPr>
          <w:rStyle w:val="Hyperlink.1"/>
          <w:rtl w:val="0"/>
          <w:lang w:val="en-US"/>
        </w:rPr>
        <w:t>79</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Khan, S., Shahnaz, M., Jehan, N., Rehman, S., Shah, M. T., &amp; Din, I.</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2013.</w:t>
      </w:r>
      <w:r>
        <w:rPr>
          <w:rStyle w:val="Hyperlink.1"/>
          <w:rtl w:val="0"/>
          <w:lang w:val="en-US"/>
        </w:rPr>
        <w:t xml:space="preserve"> Drinking water quality and human health risk in Charsadda District, Pakistan. </w:t>
      </w:r>
      <w:r>
        <w:rPr>
          <w:rStyle w:val="None"/>
          <w:rFonts w:ascii="Times New Roman" w:hAnsi="Times New Roman"/>
          <w:i w:val="1"/>
          <w:iCs w:val="1"/>
          <w:kern w:val="0"/>
          <w:sz w:val="24"/>
          <w:szCs w:val="24"/>
          <w:rtl w:val="0"/>
          <w:lang w:val="en-US"/>
        </w:rPr>
        <w:t xml:space="preserve">Journal of Cleaner Production, </w:t>
      </w:r>
      <w:r>
        <w:rPr>
          <w:rStyle w:val="Hyperlink.1"/>
          <w:rtl w:val="0"/>
          <w:lang w:val="en-US"/>
        </w:rPr>
        <w:t>60, 93</w:t>
      </w:r>
      <w:r>
        <w:rPr>
          <w:rStyle w:val="Hyperlink.1"/>
          <w:rtl w:val="0"/>
          <w:lang w:val="en-US"/>
        </w:rPr>
        <w:t>–</w:t>
      </w:r>
      <w:r>
        <w:rPr>
          <w:rStyle w:val="Hyperlink.1"/>
          <w:rtl w:val="0"/>
          <w:lang w:val="en-US"/>
        </w:rPr>
        <w:t>101</w:t>
      </w: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 (Web)"/>
        <w:spacing w:after="0" w:line="360" w:lineRule="auto"/>
        <w:ind w:right="26"/>
        <w:jc w:val="center"/>
        <w:rPr>
          <w:rStyle w:val="None"/>
          <w:kern w:val="0"/>
        </w:rPr>
      </w:pPr>
      <w:r>
        <w:rPr>
          <w:rStyle w:val="None"/>
          <w:b w:val="1"/>
          <w:bCs w:val="1"/>
          <w:outline w:val="0"/>
          <w:color w:val="000000"/>
          <w:kern w:val="0"/>
          <w:u w:color="000000"/>
          <w:rtl w:val="0"/>
          <w:lang w:val="en-US"/>
          <w14:textFill>
            <w14:solidFill>
              <w14:srgbClr w14:val="000000"/>
            </w14:solidFill>
          </w14:textFill>
        </w:rPr>
        <w:t>BACTERIAL CLEARANCE DYNAMICS AND TOTAL HAEMOCYTE</w:t>
      </w:r>
      <w:r>
        <w:rPr>
          <w:rStyle w:val="None"/>
          <w:b w:val="1"/>
          <w:bCs w:val="1"/>
          <w:outline w:val="0"/>
          <w:color w:val="000000"/>
          <w:kern w:val="0"/>
          <w:u w:color="000000"/>
          <w:rtl w:val="0"/>
          <w:lang w:val="en-US"/>
          <w14:textFill>
            <w14:solidFill>
              <w14:srgbClr w14:val="000000"/>
            </w14:solidFill>
          </w14:textFill>
        </w:rPr>
        <w:t xml:space="preserve">  </w:t>
      </w:r>
      <w:r>
        <w:rPr>
          <w:rStyle w:val="None"/>
          <w:b w:val="1"/>
          <w:bCs w:val="1"/>
          <w:outline w:val="0"/>
          <w:color w:val="000000"/>
          <w:kern w:val="0"/>
          <w:u w:color="000000"/>
          <w:rtl w:val="0"/>
          <w:lang w:val="en-US"/>
          <w14:textFill>
            <w14:solidFill>
              <w14:srgbClr w14:val="000000"/>
            </w14:solidFill>
          </w14:textFill>
        </w:rPr>
        <w:t>RESPONSES IN SHHRIMP FOLLOWING EXPERIMENT CHALLENGE WITH MAJOR BACTERIAL PATHOGENS</w:t>
      </w:r>
    </w:p>
    <w:p>
      <w:pPr>
        <w:pStyle w:val="Normal.0"/>
        <w:spacing w:after="0" w:line="360" w:lineRule="auto"/>
        <w:ind w:right="2476"/>
        <w:jc w:val="right"/>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Alrich Michael.M</w:t>
      </w:r>
      <w:r>
        <w:rPr>
          <w:rStyle w:val="None"/>
          <w:rFonts w:ascii="Times New Roman" w:hAnsi="Times New Roman"/>
          <w:i w:val="1"/>
          <w:iCs w:val="1"/>
          <w:kern w:val="0"/>
          <w:sz w:val="24"/>
          <w:szCs w:val="24"/>
          <w:rtl w:val="0"/>
          <w:lang w:val="en-US"/>
        </w:rPr>
        <w:t>.</w:t>
      </w:r>
      <w:r>
        <w:rPr>
          <w:rStyle w:val="None"/>
          <w:rFonts w:ascii="Times New Roman" w:hAnsi="Times New Roman"/>
          <w:i w:val="1"/>
          <w:iCs w:val="1"/>
          <w:kern w:val="0"/>
          <w:sz w:val="24"/>
          <w:szCs w:val="24"/>
          <w:rtl w:val="0"/>
          <w:lang w:val="en-US"/>
        </w:rPr>
        <w:t>,</w:t>
      </w:r>
      <w:r>
        <w:rPr>
          <w:rStyle w:val="None"/>
          <w:rFonts w:ascii="Times New Roman" w:hAnsi="Times New Roman"/>
          <w:i w:val="1"/>
          <w:iCs w:val="1"/>
          <w:kern w:val="0"/>
          <w:sz w:val="24"/>
          <w:szCs w:val="24"/>
          <w:rtl w:val="0"/>
          <w:lang w:val="en-US"/>
        </w:rPr>
        <w:t xml:space="preserve">and </w:t>
      </w:r>
      <w:r>
        <w:rPr>
          <w:rStyle w:val="None"/>
          <w:rFonts w:ascii="Times New Roman" w:hAnsi="Times New Roman"/>
          <w:i w:val="1"/>
          <w:iCs w:val="1"/>
          <w:kern w:val="0"/>
          <w:sz w:val="24"/>
          <w:szCs w:val="24"/>
          <w:rtl w:val="0"/>
          <w:lang w:val="en-US"/>
        </w:rPr>
        <w:t>Raja Jeya Sekar R.</w:t>
      </w:r>
      <w:r>
        <w:rPr>
          <w:rStyle w:val="None"/>
          <w:rFonts w:ascii="Times New Roman" w:hAnsi="Times New Roman" w:hint="default"/>
          <w:i w:val="1"/>
          <w:iCs w:val="1"/>
          <w:kern w:val="0"/>
          <w:sz w:val="24"/>
          <w:szCs w:val="24"/>
          <w:rtl w:val="0"/>
          <w:lang w:val="en-US"/>
        </w:rPr>
        <w:t> </w:t>
      </w:r>
    </w:p>
    <w:p>
      <w:pPr>
        <w:pStyle w:val="Normal.0"/>
        <w:spacing w:after="0" w:line="360" w:lineRule="auto"/>
        <w:ind w:left="1282" w:firstLine="0"/>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*Research Department of Zoology, S.T.Hindu College, Nagercoil,</w:t>
      </w:r>
      <w:r>
        <w:rPr>
          <w:rStyle w:val="None"/>
          <w:rFonts w:ascii="Times New Roman" w:hAnsi="Times New Roman" w:hint="default"/>
          <w:i w:val="1"/>
          <w:iCs w:val="1"/>
          <w:kern w:val="0"/>
          <w:sz w:val="24"/>
          <w:szCs w:val="24"/>
          <w:rtl w:val="0"/>
          <w:lang w:val="en-US"/>
        </w:rPr>
        <w:t>  </w:t>
      </w:r>
    </w:p>
    <w:p>
      <w:pPr>
        <w:pStyle w:val="Normal.0"/>
        <w:spacing w:after="0" w:line="360" w:lineRule="auto"/>
        <w:ind w:left="898" w:right="1120" w:firstLine="0"/>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Kanyakumari District, Tamil Nadu, India, Affiliated to Manonmaniam</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 xml:space="preserve">Sundaranar University, Tirunelveli. Email. </w:t>
      </w:r>
      <w:r>
        <w:rPr>
          <w:rStyle w:val="None"/>
          <w:rFonts w:ascii="Times New Roman" w:hAnsi="Times New Roman"/>
          <w:i w:val="1"/>
          <w:iCs w:val="1"/>
          <w:kern w:val="0"/>
          <w:sz w:val="24"/>
          <w:szCs w:val="24"/>
          <w:rtl w:val="0"/>
          <w:lang w:val="en-US"/>
        </w:rPr>
        <w:t>Email-</w:t>
      </w:r>
      <w:r>
        <w:rPr>
          <w:rStyle w:val="None"/>
          <w:rFonts w:ascii="Times New Roman" w:hAnsi="Times New Roman"/>
          <w:i w:val="1"/>
          <w:iCs w:val="1"/>
          <w:outline w:val="0"/>
          <w:color w:val="467886"/>
          <w:kern w:val="0"/>
          <w:sz w:val="24"/>
          <w:szCs w:val="24"/>
          <w:u w:val="single" w:color="467886"/>
          <w:rtl w:val="0"/>
          <w:lang w:val="en-US"/>
          <w14:textFill>
            <w14:solidFill>
              <w14:srgbClr w14:val="467886"/>
            </w14:solidFill>
          </w14:textFill>
        </w:rPr>
        <w:t>2001alrichmichael@gmail.com</w:t>
      </w:r>
      <w:r>
        <w:rPr>
          <w:rStyle w:val="None"/>
          <w:rFonts w:ascii="Times New Roman" w:hAnsi="Times New Roman" w:hint="default"/>
          <w:i w:val="1"/>
          <w:iCs w:val="1"/>
          <w:outline w:val="0"/>
          <w:color w:val="467886"/>
          <w:kern w:val="0"/>
          <w:sz w:val="24"/>
          <w:szCs w:val="24"/>
          <w:u w:val="single" w:color="467886"/>
          <w:rtl w:val="0"/>
          <w:lang w:val="en-US"/>
          <w14:textFill>
            <w14:solidFill>
              <w14:srgbClr w14:val="467886"/>
            </w14:solidFill>
          </w14:textFill>
        </w:rPr>
        <w:t> </w:t>
      </w:r>
    </w:p>
    <w:p>
      <w:pPr>
        <w:pStyle w:val="Normal.0"/>
        <w:spacing w:after="0" w:line="360" w:lineRule="auto"/>
        <w:ind w:left="28"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Shrimp aquaculture is frequently threatened by bacterial diseases caused by</w:t>
      </w:r>
      <w:r>
        <w:rPr>
          <w:rStyle w:val="Hyperlink.1"/>
          <w:rtl w:val="0"/>
          <w:lang w:val="en-US"/>
        </w:rPr>
        <w:t xml:space="preserve">  </w:t>
      </w:r>
      <w:r>
        <w:rPr>
          <w:rStyle w:val="Hyperlink.1"/>
          <w:rtl w:val="0"/>
          <w:lang w:val="en-US"/>
        </w:rPr>
        <w:t xml:space="preserve">pathogenic microorganisms, particularly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parahaemolyticus</w:t>
      </w:r>
      <w:r>
        <w:rPr>
          <w:rStyle w:val="Hyperlink.1"/>
          <w:rtl w:val="0"/>
          <w:lang w:val="en-US"/>
        </w:rPr>
        <w:t>, and</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spp., resulting in substantial economic losses worldwide. Since shrimp rely</w:t>
      </w:r>
      <w:r>
        <w:rPr>
          <w:rStyle w:val="Hyperlink.1"/>
          <w:rtl w:val="0"/>
          <w:lang w:val="en-US"/>
        </w:rPr>
        <w:t xml:space="preserve">  </w:t>
      </w:r>
      <w:r>
        <w:rPr>
          <w:rStyle w:val="Hyperlink.1"/>
          <w:rtl w:val="0"/>
          <w:lang w:val="en-US"/>
        </w:rPr>
        <w:t>exclusively on innate immunity, bacterial clearance from the haemolymph serves as an</w:t>
      </w:r>
      <w:r>
        <w:rPr>
          <w:rStyle w:val="Hyperlink.1"/>
          <w:rtl w:val="0"/>
          <w:lang w:val="en-US"/>
        </w:rPr>
        <w:t xml:space="preserve">  </w:t>
      </w:r>
      <w:r>
        <w:rPr>
          <w:rStyle w:val="Hyperlink.1"/>
          <w:rtl w:val="0"/>
          <w:lang w:val="en-US"/>
        </w:rPr>
        <w:t>important indicator of immune competence. The present study investigated the bacterial</w:t>
      </w:r>
      <w:r>
        <w:rPr>
          <w:rStyle w:val="Hyperlink.1"/>
          <w:rtl w:val="0"/>
          <w:lang w:val="en-US"/>
        </w:rPr>
        <w:t xml:space="preserve">  </w:t>
      </w:r>
      <w:r>
        <w:rPr>
          <w:rStyle w:val="Hyperlink.1"/>
          <w:rtl w:val="0"/>
          <w:lang w:val="en-US"/>
        </w:rPr>
        <w:t>clearance efficiency and haemocyte response of shrimp experimentally challenged with three</w:t>
      </w:r>
      <w:r>
        <w:rPr>
          <w:rStyle w:val="Hyperlink.1"/>
          <w:rtl w:val="0"/>
          <w:lang w:val="en-US"/>
        </w:rPr>
        <w:t xml:space="preserve">  </w:t>
      </w:r>
      <w:r>
        <w:rPr>
          <w:rStyle w:val="Hyperlink.1"/>
          <w:rtl w:val="0"/>
          <w:lang w:val="en-US"/>
        </w:rPr>
        <w:t>pathogenic bacterial species. Pathogenic bacteria were isolated from infected shrimp and</w:t>
      </w:r>
      <w:r>
        <w:rPr>
          <w:rStyle w:val="Hyperlink.1"/>
          <w:rtl w:val="0"/>
          <w:lang w:val="en-US"/>
        </w:rPr>
        <w:t xml:space="preserve">  </w:t>
      </w:r>
      <w:r>
        <w:rPr>
          <w:rStyle w:val="Hyperlink.1"/>
          <w:rtl w:val="0"/>
          <w:lang w:val="en-US"/>
        </w:rPr>
        <w:t>identified using conventional bacteriological methods. Healthy shrimp were maintained under</w:t>
      </w:r>
      <w:r>
        <w:rPr>
          <w:rStyle w:val="Hyperlink.1"/>
          <w:rtl w:val="0"/>
          <w:lang w:val="en-US"/>
        </w:rPr>
        <w:t xml:space="preserve">  </w:t>
      </w:r>
      <w:r>
        <w:rPr>
          <w:rStyle w:val="Hyperlink.1"/>
          <w:rtl w:val="0"/>
          <w:lang w:val="en-US"/>
        </w:rPr>
        <w:t xml:space="preserve">controlled laboratory conditions and injected with bacterial suspensions containing 5 </w:t>
      </w:r>
      <w:r>
        <w:rPr>
          <w:rStyle w:val="Hyperlink.1"/>
          <w:rtl w:val="0"/>
          <w:lang w:val="en-US"/>
        </w:rPr>
        <w:t xml:space="preserve">× </w:t>
      </w:r>
      <w:r>
        <w:rPr>
          <w:rStyle w:val="Hyperlink.1"/>
          <w:rtl w:val="0"/>
          <w:lang w:val="en-US"/>
        </w:rPr>
        <w:t>10</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⁶</w:t>
      </w:r>
      <w:r>
        <w:rPr>
          <w:rStyle w:val="Hyperlink.1"/>
          <w:rtl w:val="0"/>
          <w:lang w:val="en-US"/>
        </w:rPr>
        <w:t xml:space="preserve">  </w:t>
      </w:r>
      <w:r>
        <w:rPr>
          <w:rStyle w:val="Hyperlink.1"/>
          <w:rtl w:val="0"/>
          <w:lang w:val="en-US"/>
        </w:rPr>
        <w:t>cells mL</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Haemolymph samples were collected at 10-minute intervals up to 60 minutes to</w:t>
      </w:r>
      <w:r>
        <w:rPr>
          <w:rStyle w:val="Hyperlink.1"/>
          <w:rtl w:val="0"/>
          <w:lang w:val="en-US"/>
        </w:rPr>
        <w:t xml:space="preserve">  </w:t>
      </w:r>
      <w:r>
        <w:rPr>
          <w:rStyle w:val="Hyperlink.1"/>
          <w:rtl w:val="0"/>
          <w:lang w:val="en-US"/>
        </w:rPr>
        <w:t>determine bacterial clearance, while total haemocyte count (THC) was monitored to evaluate</w:t>
      </w:r>
      <w:r>
        <w:rPr>
          <w:rStyle w:val="Hyperlink.1"/>
          <w:rtl w:val="0"/>
          <w:lang w:val="en-US"/>
        </w:rPr>
        <w:t xml:space="preserve">  </w:t>
      </w:r>
      <w:r>
        <w:rPr>
          <w:rStyle w:val="Hyperlink.1"/>
          <w:rtl w:val="0"/>
          <w:lang w:val="en-US"/>
        </w:rPr>
        <w:t>the cellular immune response. The results demonstrated rapid elimination of all three</w:t>
      </w:r>
      <w:r>
        <w:rPr>
          <w:rStyle w:val="Hyperlink.1"/>
          <w:rtl w:val="0"/>
          <w:lang w:val="en-US"/>
        </w:rPr>
        <w:t xml:space="preserve">  </w:t>
      </w:r>
      <w:r>
        <w:rPr>
          <w:rStyle w:val="Hyperlink.1"/>
          <w:rtl w:val="0"/>
          <w:lang w:val="en-US"/>
        </w:rPr>
        <w:t xml:space="preserve">bacterial species from the haemolymph.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 was completely cleared within 30</w:t>
      </w:r>
      <w:r>
        <w:rPr>
          <w:rStyle w:val="Hyperlink.1"/>
          <w:rtl w:val="0"/>
          <w:lang w:val="en-US"/>
        </w:rPr>
        <w:t xml:space="preserve">  </w:t>
      </w:r>
      <w:r>
        <w:rPr>
          <w:rStyle w:val="Hyperlink.1"/>
          <w:rtl w:val="0"/>
          <w:lang w:val="en-US"/>
        </w:rPr>
        <w:t xml:space="preserve">minutes, followed by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Vibrio parahaemolyticus </w:t>
      </w:r>
      <w:r>
        <w:rPr>
          <w:rStyle w:val="Hyperlink.1"/>
          <w:rtl w:val="0"/>
          <w:lang w:val="en-US"/>
        </w:rPr>
        <w:t xml:space="preserve">within 40 minutes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within</w:t>
      </w:r>
      <w:r>
        <w:rPr>
          <w:rStyle w:val="Hyperlink.1"/>
          <w:rtl w:val="0"/>
          <w:lang w:val="en-US"/>
        </w:rPr>
        <w:t xml:space="preserve">  </w:t>
      </w:r>
      <w:r>
        <w:rPr>
          <w:rStyle w:val="Hyperlink.1"/>
          <w:rtl w:val="0"/>
          <w:lang w:val="en-US"/>
        </w:rPr>
        <w:t>50 minutes. The haemocyte count changed markedly following bacterial challenge, indicating</w:t>
      </w:r>
      <w:r>
        <w:rPr>
          <w:rStyle w:val="Hyperlink.1"/>
          <w:rtl w:val="0"/>
          <w:lang w:val="en-US"/>
        </w:rPr>
        <w:t xml:space="preserve">  </w:t>
      </w:r>
      <w:r>
        <w:rPr>
          <w:rStyle w:val="Hyperlink.1"/>
          <w:rtl w:val="0"/>
          <w:lang w:val="en-US"/>
        </w:rPr>
        <w:t>rapid activation of the innate immune system during pathogen elimination and gradual</w:t>
      </w:r>
      <w:r>
        <w:rPr>
          <w:rStyle w:val="Hyperlink.1"/>
          <w:rtl w:val="0"/>
          <w:lang w:val="en-US"/>
        </w:rPr>
        <w:t xml:space="preserve">  </w:t>
      </w:r>
      <w:r>
        <w:rPr>
          <w:rStyle w:val="Hyperlink.1"/>
          <w:rtl w:val="0"/>
          <w:lang w:val="en-US"/>
        </w:rPr>
        <w:t>restoration of immune homeostasis after bacterial clearance. The comparatively slower</w:t>
      </w:r>
      <w:r>
        <w:rPr>
          <w:rStyle w:val="Hyperlink.1"/>
          <w:rtl w:val="0"/>
          <w:lang w:val="en-US"/>
        </w:rPr>
        <w:t xml:space="preserve">  </w:t>
      </w:r>
      <w:r>
        <w:rPr>
          <w:rStyle w:val="Hyperlink.1"/>
          <w:rtl w:val="0"/>
          <w:lang w:val="en-US"/>
        </w:rPr>
        <w:t xml:space="preserve">clearance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 harveyi</w:t>
      </w:r>
      <w:r>
        <w:rPr>
          <w:rStyle w:val="Hyperlink.1"/>
          <w:rtl w:val="0"/>
          <w:lang w:val="en-US"/>
        </w:rPr>
        <w:t>suggests greater virulence and enhanced immune-evasion capability</w:t>
      </w:r>
      <w:r>
        <w:rPr>
          <w:rStyle w:val="Hyperlink.1"/>
          <w:rtl w:val="0"/>
          <w:lang w:val="en-US"/>
        </w:rPr>
        <w:t xml:space="preserve">  </w:t>
      </w:r>
      <w:r>
        <w:rPr>
          <w:rStyle w:val="Hyperlink.1"/>
          <w:rtl w:val="0"/>
          <w:lang w:val="en-US"/>
        </w:rPr>
        <w:t>compared with the other pathogens. These findings demonstrate the efficiency of haemocyte mediated defence mechanisms in shrimp and highlight bacterial clearance assays as valuable</w:t>
      </w:r>
      <w:r>
        <w:rPr>
          <w:rStyle w:val="Hyperlink.1"/>
          <w:rtl w:val="0"/>
          <w:lang w:val="en-US"/>
        </w:rPr>
        <w:t xml:space="preserve">  </w:t>
      </w:r>
      <w:r>
        <w:rPr>
          <w:rStyle w:val="Hyperlink.1"/>
          <w:rtl w:val="0"/>
          <w:lang w:val="en-US"/>
        </w:rPr>
        <w:t>tools for evaluating immune competence, disease resistance, and health management</w:t>
      </w:r>
      <w:r>
        <w:rPr>
          <w:rStyle w:val="Hyperlink.1"/>
          <w:rtl w:val="0"/>
          <w:lang w:val="en-US"/>
        </w:rPr>
        <w:t xml:space="preserve">  </w:t>
      </w:r>
      <w:r>
        <w:rPr>
          <w:rStyle w:val="Hyperlink.1"/>
          <w:rtl w:val="0"/>
          <w:lang w:val="en-US"/>
        </w:rPr>
        <w:t>strategies in shrimp aquaculture.</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 xml:space="preserve">Keywords: </w:t>
      </w:r>
      <w:r>
        <w:rPr>
          <w:rStyle w:val="None"/>
          <w:rFonts w:ascii="Times New Roman" w:hAnsi="Times New Roman"/>
          <w:i w:val="1"/>
          <w:iCs w:val="1"/>
          <w:kern w:val="0"/>
          <w:sz w:val="24"/>
          <w:szCs w:val="24"/>
          <w:rtl w:val="0"/>
          <w:lang w:val="en-US"/>
        </w:rPr>
        <w:t>Shrimp immunity; Bacterial clearance; Haemolymph; Total haemocyte count;</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Vibrio harveyi; Vibrio parahaemolyticus; Aeromonas sp.; Innate immunity; Aquaculture;</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Crustacean immunology.</w:t>
      </w:r>
      <w:r>
        <w:rPr>
          <w:rStyle w:val="None"/>
          <w:rFonts w:ascii="Times New Roman" w:hAnsi="Times New Roman" w:hint="default"/>
          <w:i w:val="1"/>
          <w:iCs w:val="1"/>
          <w:kern w:val="0"/>
          <w:sz w:val="24"/>
          <w:szCs w:val="24"/>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Shrimp aquaculture is one of the fastest-growing sectors of global food production</w:t>
      </w:r>
      <w:r>
        <w:rPr>
          <w:rStyle w:val="Hyperlink.1"/>
          <w:rtl w:val="0"/>
          <w:lang w:val="en-US"/>
        </w:rPr>
        <w:t xml:space="preserve">  </w:t>
      </w:r>
      <w:r>
        <w:rPr>
          <w:rStyle w:val="Hyperlink.1"/>
          <w:rtl w:val="0"/>
          <w:lang w:val="en-US"/>
        </w:rPr>
        <w:t>and contributes substantially to food security, employment, and international trade. However,</w:t>
      </w:r>
      <w:r>
        <w:rPr>
          <w:rStyle w:val="Hyperlink.1"/>
          <w:rtl w:val="0"/>
          <w:lang w:val="en-US"/>
        </w:rPr>
        <w:t xml:space="preserve">  </w:t>
      </w:r>
      <w:r>
        <w:rPr>
          <w:rStyle w:val="Hyperlink.1"/>
          <w:rtl w:val="0"/>
          <w:lang w:val="en-US"/>
        </w:rPr>
        <w:t>disease outbreaks remain one of the major constraints affecting sustainable shrimp farming,</w:t>
      </w:r>
      <w:r>
        <w:rPr>
          <w:rStyle w:val="Hyperlink.1"/>
          <w:rtl w:val="0"/>
          <w:lang w:val="en-US"/>
        </w:rPr>
        <w:t xml:space="preserve">  </w:t>
      </w:r>
      <w:r>
        <w:rPr>
          <w:rStyle w:val="Hyperlink.1"/>
          <w:rtl w:val="0"/>
          <w:lang w:val="en-US"/>
        </w:rPr>
        <w:t>causing severe economic losses worldwide. Among the bacterial diseases, infections caused</w:t>
      </w:r>
      <w:r>
        <w:rPr>
          <w:rStyle w:val="Hyperlink.1"/>
          <w:rtl w:val="0"/>
          <w:lang w:val="en-US"/>
        </w:rPr>
        <w:t xml:space="preserve">  </w:t>
      </w:r>
      <w:r>
        <w:rPr>
          <w:rStyle w:val="Hyperlink.1"/>
          <w:rtl w:val="0"/>
          <w:lang w:val="en-US"/>
        </w:rPr>
        <w:t xml:space="preserve">by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Vibrio </w:t>
      </w:r>
      <w:r>
        <w:rPr>
          <w:rStyle w:val="Hyperlink.1"/>
          <w:rtl w:val="0"/>
          <w:lang w:val="en-US"/>
        </w:rPr>
        <w:t xml:space="preserve">species, particularly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 xml:space="preserve">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parahaemolyticus</w:t>
      </w:r>
      <w:r>
        <w:rPr>
          <w:rStyle w:val="Hyperlink.1"/>
          <w:rtl w:val="0"/>
          <w:lang w:val="en-US"/>
        </w:rPr>
        <w:t>, together with</w:t>
      </w:r>
      <w:r>
        <w:rPr>
          <w:rStyle w:val="Hyperlink.1"/>
          <w:rtl w:val="0"/>
          <w:lang w:val="en-US"/>
        </w:rPr>
        <w:t xml:space="preserve">  </w:t>
      </w:r>
      <w:r>
        <w:rPr>
          <w:rStyle w:val="Hyperlink.1"/>
          <w:rtl w:val="0"/>
          <w:lang w:val="en-US"/>
        </w:rPr>
        <w:t xml:space="preserve">opportunistic pathogens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spp., are responsible for significant mortality and</w:t>
      </w:r>
      <w:r>
        <w:rPr>
          <w:rStyle w:val="Hyperlink.1"/>
          <w:rtl w:val="0"/>
          <w:lang w:val="en-US"/>
        </w:rPr>
        <w:t> </w:t>
      </w:r>
      <w:r>
        <w:rPr>
          <w:rStyle w:val="Hyperlink.1"/>
          <w:rtl w:val="0"/>
          <w:lang w:val="en-US"/>
        </w:rPr>
        <w:t>reduced productivity in cultured shrimp. These pathogens invade shrimp tissues, impair</w:t>
      </w:r>
      <w:r>
        <w:rPr>
          <w:rStyle w:val="Hyperlink.1"/>
          <w:rtl w:val="0"/>
          <w:lang w:val="en-US"/>
        </w:rPr>
        <w:t xml:space="preserve">  </w:t>
      </w:r>
      <w:r>
        <w:rPr>
          <w:rStyle w:val="Hyperlink.1"/>
          <w:rtl w:val="0"/>
          <w:lang w:val="en-US"/>
        </w:rPr>
        <w:t>physiological functions, and suppress immune responses, thereby increasing susceptibility to</w:t>
      </w:r>
      <w:r>
        <w:rPr>
          <w:rStyle w:val="Hyperlink.1"/>
          <w:rtl w:val="0"/>
          <w:lang w:val="en-US"/>
        </w:rPr>
        <w:t xml:space="preserve">  </w:t>
      </w:r>
      <w:r>
        <w:rPr>
          <w:rStyle w:val="Hyperlink.1"/>
          <w:rtl w:val="0"/>
          <w:lang w:val="en-US"/>
        </w:rPr>
        <w:t>secondary infections. (Lightner, 2011).</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Unlike vertebrates, shrimp lack an adaptive immune system and rely entirely on</w:t>
      </w:r>
      <w:r>
        <w:rPr>
          <w:rStyle w:val="Hyperlink.1"/>
          <w:rtl w:val="0"/>
          <w:lang w:val="en-US"/>
        </w:rPr>
        <w:t xml:space="preserve">  </w:t>
      </w:r>
      <w:r>
        <w:rPr>
          <w:rStyle w:val="Hyperlink.1"/>
          <w:rtl w:val="0"/>
          <w:lang w:val="en-US"/>
        </w:rPr>
        <w:t>innate immunity for defence against invading microorganisms. Their immune system</w:t>
      </w:r>
      <w:r>
        <w:rPr>
          <w:rStyle w:val="Hyperlink.1"/>
          <w:rtl w:val="0"/>
          <w:lang w:val="en-US"/>
        </w:rPr>
        <w:t xml:space="preserve">  </w:t>
      </w:r>
      <w:r>
        <w:rPr>
          <w:rStyle w:val="Hyperlink.1"/>
          <w:rtl w:val="0"/>
          <w:lang w:val="en-US"/>
        </w:rPr>
        <w:t>comprises both cellular and humoral components, with circulating haemocytes playing a</w:t>
      </w:r>
      <w:r>
        <w:rPr>
          <w:rStyle w:val="Hyperlink.1"/>
          <w:rtl w:val="0"/>
          <w:lang w:val="en-US"/>
        </w:rPr>
        <w:t xml:space="preserve">  </w:t>
      </w:r>
      <w:r>
        <w:rPr>
          <w:rStyle w:val="Hyperlink.1"/>
          <w:rtl w:val="0"/>
          <w:lang w:val="en-US"/>
        </w:rPr>
        <w:t>central role in pathogen recognition, phagocytosis, encapsulation, nodulation, melanization,</w:t>
      </w:r>
      <w:r>
        <w:rPr>
          <w:rStyle w:val="Hyperlink.1"/>
          <w:rtl w:val="0"/>
          <w:lang w:val="en-US"/>
        </w:rPr>
        <w:t xml:space="preserve">  </w:t>
      </w:r>
      <w:r>
        <w:rPr>
          <w:rStyle w:val="Hyperlink.1"/>
          <w:rtl w:val="0"/>
          <w:lang w:val="en-US"/>
        </w:rPr>
        <w:t>and production of antimicrobial peptides. The efficiency of these defence mechanisms</w:t>
      </w:r>
      <w:r>
        <w:rPr>
          <w:rStyle w:val="Hyperlink.1"/>
          <w:rtl w:val="0"/>
          <w:lang w:val="en-US"/>
        </w:rPr>
        <w:t xml:space="preserve">  </w:t>
      </w:r>
      <w:r>
        <w:rPr>
          <w:rStyle w:val="Hyperlink.1"/>
          <w:rtl w:val="0"/>
          <w:lang w:val="en-US"/>
        </w:rPr>
        <w:t>determines the ability of shrimp to survive pathogenic infections and maintain physiological</w:t>
      </w:r>
      <w:r>
        <w:rPr>
          <w:rStyle w:val="Hyperlink.1"/>
          <w:rtl w:val="0"/>
          <w:lang w:val="en-US"/>
        </w:rPr>
        <w:t xml:space="preserve">  </w:t>
      </w:r>
      <w:r>
        <w:rPr>
          <w:rStyle w:val="Hyperlink.1"/>
          <w:rtl w:val="0"/>
          <w:lang w:val="en-US"/>
        </w:rPr>
        <w:t>homeostasis. Therefore, understanding the dynamics of haemocyte-mediated immune</w:t>
      </w:r>
      <w:r>
        <w:rPr>
          <w:rStyle w:val="Hyperlink.1"/>
          <w:rtl w:val="0"/>
          <w:lang w:val="en-US"/>
        </w:rPr>
        <w:t xml:space="preserve">  </w:t>
      </w:r>
      <w:r>
        <w:rPr>
          <w:rStyle w:val="Hyperlink.1"/>
          <w:rtl w:val="0"/>
          <w:lang w:val="en-US"/>
        </w:rPr>
        <w:t>responses is essential for improving disease management strategies in shrimp aquaculture.</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Bacterial clearance from the haemolymph represents one of the most important</w:t>
      </w:r>
      <w:r>
        <w:rPr>
          <w:rStyle w:val="Hyperlink.1"/>
          <w:rtl w:val="0"/>
          <w:lang w:val="en-US"/>
        </w:rPr>
        <w:t xml:space="preserve">  </w:t>
      </w:r>
      <w:r>
        <w:rPr>
          <w:rStyle w:val="Hyperlink.1"/>
          <w:rtl w:val="0"/>
          <w:lang w:val="en-US"/>
        </w:rPr>
        <w:t>indicators of innate immune competence in crustaceans. Following invasion by pathogenic</w:t>
      </w:r>
      <w:r>
        <w:rPr>
          <w:rStyle w:val="Hyperlink.1"/>
          <w:rtl w:val="0"/>
          <w:lang w:val="en-US"/>
        </w:rPr>
        <w:t xml:space="preserve">  </w:t>
      </w:r>
      <w:r>
        <w:rPr>
          <w:rStyle w:val="Hyperlink.1"/>
          <w:rtl w:val="0"/>
          <w:lang w:val="en-US"/>
        </w:rPr>
        <w:t>bacteria, haemocytes rapidly recognize and eliminate foreign microorganisms through</w:t>
      </w:r>
      <w:r>
        <w:rPr>
          <w:rStyle w:val="Hyperlink.1"/>
          <w:rtl w:val="0"/>
          <w:lang w:val="en-US"/>
        </w:rPr>
        <w:t xml:space="preserve">  </w:t>
      </w:r>
      <w:r>
        <w:rPr>
          <w:rStyle w:val="Hyperlink.1"/>
          <w:rtl w:val="0"/>
          <w:lang w:val="en-US"/>
        </w:rPr>
        <w:t>phagocytosis and activation of the prophenoloxidase cascade. The rate at which pathogens</w:t>
      </w:r>
      <w:r>
        <w:rPr>
          <w:rStyle w:val="Hyperlink.1"/>
          <w:rtl w:val="0"/>
          <w:lang w:val="en-US"/>
        </w:rPr>
        <w:t xml:space="preserve">  </w:t>
      </w:r>
      <w:r>
        <w:rPr>
          <w:rStyle w:val="Hyperlink.1"/>
          <w:rtl w:val="0"/>
          <w:lang w:val="en-US"/>
        </w:rPr>
        <w:t>are removed from circulation reflects the effectiveness of the host immune system and has</w:t>
      </w:r>
      <w:r>
        <w:rPr>
          <w:rStyle w:val="Hyperlink.1"/>
          <w:rtl w:val="0"/>
          <w:lang w:val="en-US"/>
        </w:rPr>
        <w:t xml:space="preserve">  </w:t>
      </w:r>
      <w:r>
        <w:rPr>
          <w:rStyle w:val="Hyperlink.1"/>
          <w:rtl w:val="0"/>
          <w:lang w:val="en-US"/>
        </w:rPr>
        <w:t>been widely employed as a reliable parameter for evaluating immune status in penaeid</w:t>
      </w:r>
      <w:r>
        <w:rPr>
          <w:rStyle w:val="Hyperlink.1"/>
          <w:rtl w:val="0"/>
          <w:lang w:val="en-US"/>
        </w:rPr>
        <w:t xml:space="preserve">  </w:t>
      </w:r>
      <w:r>
        <w:rPr>
          <w:rStyle w:val="Hyperlink.1"/>
          <w:rtl w:val="0"/>
          <w:lang w:val="en-US"/>
        </w:rPr>
        <w:t>shrimp. Alterations in total haemocyte count (THC) during infection further provide valuable</w:t>
      </w:r>
      <w:r>
        <w:rPr>
          <w:rStyle w:val="Hyperlink.1"/>
          <w:rtl w:val="0"/>
          <w:lang w:val="en-US"/>
        </w:rPr>
        <w:t xml:space="preserve">  </w:t>
      </w:r>
      <w:r>
        <w:rPr>
          <w:rStyle w:val="Hyperlink.1"/>
          <w:rtl w:val="0"/>
          <w:lang w:val="en-US"/>
        </w:rPr>
        <w:t>information regarding immune activation, haemocyte recruitment, and recovery following</w:t>
      </w:r>
      <w:r>
        <w:rPr>
          <w:rStyle w:val="Hyperlink.1"/>
          <w:rtl w:val="0"/>
          <w:lang w:val="en-US"/>
        </w:rPr>
        <w:t xml:space="preserve">  </w:t>
      </w:r>
      <w:r>
        <w:rPr>
          <w:rStyle w:val="Hyperlink.1"/>
          <w:rtl w:val="0"/>
          <w:lang w:val="en-US"/>
        </w:rPr>
        <w:t>pathogen elimination.</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 xml:space="preserve">Among the bacterial pathogens affecting shrimp culture,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 xml:space="preserve">is a well recognized etiological agent of luminous vibriosis, whereas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Vibrio parahaemolyticus </w:t>
      </w:r>
      <w:r>
        <w:rPr>
          <w:rStyle w:val="Hyperlink.1"/>
          <w:rtl w:val="0"/>
          <w:lang w:val="en-US"/>
        </w:rPr>
        <w:t>is</w:t>
      </w:r>
      <w:r>
        <w:rPr>
          <w:rStyle w:val="Hyperlink.1"/>
          <w:rtl w:val="0"/>
          <w:lang w:val="en-US"/>
        </w:rPr>
        <w:t xml:space="preserve">  </w:t>
      </w:r>
      <w:r>
        <w:rPr>
          <w:rStyle w:val="Hyperlink.1"/>
          <w:rtl w:val="0"/>
          <w:lang w:val="en-US"/>
        </w:rPr>
        <w:t>associated with Acute Hepatopancreatic Necrosis Disease (AHPND), one of the most</w:t>
      </w:r>
      <w:r>
        <w:rPr>
          <w:rStyle w:val="Hyperlink.1"/>
          <w:rtl w:val="0"/>
          <w:lang w:val="en-US"/>
        </w:rPr>
        <w:t xml:space="preserve">  </w:t>
      </w:r>
      <w:r>
        <w:rPr>
          <w:rStyle w:val="Hyperlink.1"/>
          <w:rtl w:val="0"/>
          <w:lang w:val="en-US"/>
        </w:rPr>
        <w:t xml:space="preserve">destructive bacterial diseases in shrimp farming.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species are opportunistic</w:t>
      </w:r>
      <w:r>
        <w:rPr>
          <w:rStyle w:val="Hyperlink.1"/>
          <w:rtl w:val="0"/>
          <w:lang w:val="en-US"/>
        </w:rPr>
        <w:t xml:space="preserve">  </w:t>
      </w:r>
      <w:r>
        <w:rPr>
          <w:rStyle w:val="Hyperlink.1"/>
          <w:rtl w:val="0"/>
          <w:lang w:val="en-US"/>
        </w:rPr>
        <w:t>pathogens capable of inducing septicemia and tissue damage under stressful environmental</w:t>
      </w:r>
      <w:r>
        <w:rPr>
          <w:rStyle w:val="Hyperlink.1"/>
          <w:rtl w:val="0"/>
          <w:lang w:val="en-US"/>
        </w:rPr>
        <w:t xml:space="preserve">  </w:t>
      </w:r>
      <w:r>
        <w:rPr>
          <w:rStyle w:val="Hyperlink.1"/>
          <w:rtl w:val="0"/>
          <w:lang w:val="en-US"/>
        </w:rPr>
        <w:t>conditions. Comparative evaluation of host responses against these pathogens is therefore</w:t>
      </w:r>
      <w:r>
        <w:rPr>
          <w:rStyle w:val="Hyperlink.1"/>
          <w:rtl w:val="0"/>
          <w:lang w:val="en-US"/>
        </w:rPr>
        <w:t xml:space="preserve">  </w:t>
      </w:r>
      <w:r>
        <w:rPr>
          <w:rStyle w:val="Hyperlink.1"/>
          <w:rtl w:val="0"/>
          <w:lang w:val="en-US"/>
        </w:rPr>
        <w:t>essential for understanding differences in pathogenicity and immune clearance mechanisms.</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Although considerable progress has been made in characterizing shrimp immune</w:t>
      </w:r>
      <w:r>
        <w:rPr>
          <w:rStyle w:val="Hyperlink.1"/>
          <w:rtl w:val="0"/>
          <w:lang w:val="en-US"/>
        </w:rPr>
        <w:t xml:space="preserve">  </w:t>
      </w:r>
      <w:r>
        <w:rPr>
          <w:rStyle w:val="Hyperlink.1"/>
          <w:rtl w:val="0"/>
          <w:lang w:val="en-US"/>
        </w:rPr>
        <w:t>responses, limited information is available regarding the comparative kinetics of bacterial</w:t>
      </w:r>
      <w:r>
        <w:rPr>
          <w:rStyle w:val="Hyperlink.1"/>
          <w:rtl w:val="0"/>
          <w:lang w:val="en-US"/>
        </w:rPr>
        <w:t xml:space="preserve">  </w:t>
      </w:r>
      <w:r>
        <w:rPr>
          <w:rStyle w:val="Hyperlink.1"/>
          <w:rtl w:val="0"/>
          <w:lang w:val="en-US"/>
        </w:rPr>
        <w:t>clearance and haemocyte dynamics following experimental infection with different bacterial</w:t>
      </w:r>
      <w:r>
        <w:rPr>
          <w:rStyle w:val="Hyperlink.1"/>
          <w:rtl w:val="0"/>
          <w:lang w:val="en-US"/>
        </w:rPr>
        <w:t xml:space="preserve">  </w:t>
      </w:r>
      <w:r>
        <w:rPr>
          <w:rStyle w:val="Hyperlink.1"/>
          <w:rtl w:val="0"/>
          <w:lang w:val="en-US"/>
        </w:rPr>
        <w:t>pathogens. Such information is important for understanding host</w:t>
      </w:r>
      <w:r>
        <w:rPr>
          <w:rStyle w:val="Hyperlink.1"/>
          <w:rtl w:val="0"/>
          <w:lang w:val="en-US"/>
        </w:rPr>
        <w:t>–</w:t>
      </w:r>
      <w:r>
        <w:rPr>
          <w:rStyle w:val="Hyperlink.1"/>
          <w:rtl w:val="0"/>
          <w:lang w:val="en-US"/>
        </w:rPr>
        <w:t>pathogen interactions and</w:t>
      </w:r>
      <w:r>
        <w:rPr>
          <w:rStyle w:val="Hyperlink.1"/>
          <w:rtl w:val="0"/>
          <w:lang w:val="en-US"/>
        </w:rPr>
        <w:t xml:space="preserve">  </w:t>
      </w:r>
      <w:r>
        <w:rPr>
          <w:rStyle w:val="Hyperlink.1"/>
          <w:rtl w:val="0"/>
          <w:lang w:val="en-US"/>
        </w:rPr>
        <w:t>developing effective disease prevention strategies.</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Therefore, the present study was undertaken to investigate the bacterial clearance</w:t>
      </w:r>
      <w:r>
        <w:rPr>
          <w:rStyle w:val="Hyperlink.1"/>
          <w:rtl w:val="0"/>
          <w:lang w:val="en-US"/>
        </w:rPr>
        <w:t xml:space="preserve">  </w:t>
      </w:r>
      <w:r>
        <w:rPr>
          <w:rStyle w:val="Hyperlink.1"/>
          <w:rtl w:val="0"/>
          <w:lang w:val="en-US"/>
        </w:rPr>
        <w:t xml:space="preserve">efficiency in the haemolymph of shrimp experimentally challenged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parahaemolyticus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spp. In addition, changes in total haemocyte count</w:t>
      </w:r>
      <w:r>
        <w:rPr>
          <w:rStyle w:val="Hyperlink.1"/>
          <w:rtl w:val="0"/>
          <w:lang w:val="en-US"/>
        </w:rPr>
        <w:t xml:space="preserve">  </w:t>
      </w:r>
      <w:r>
        <w:rPr>
          <w:rStyle w:val="Hyperlink.1"/>
          <w:rtl w:val="0"/>
          <w:lang w:val="en-US"/>
        </w:rPr>
        <w:t>following bacterial challenge were evaluated to understand the cellular immune response</w:t>
      </w:r>
      <w:r>
        <w:rPr>
          <w:rStyle w:val="Hyperlink.1"/>
          <w:rtl w:val="0"/>
          <w:lang w:val="en-US"/>
        </w:rPr>
        <w:t xml:space="preserve">  </w:t>
      </w:r>
      <w:r>
        <w:rPr>
          <w:rStyle w:val="Hyperlink.1"/>
          <w:rtl w:val="0"/>
          <w:lang w:val="en-US"/>
        </w:rPr>
        <w:t>associated with pathogen elimination. The findings of this study provide insights into the</w:t>
      </w:r>
      <w:r>
        <w:rPr>
          <w:rStyle w:val="Hyperlink.1"/>
          <w:rtl w:val="0"/>
          <w:lang w:val="en-US"/>
        </w:rPr>
        <w:t xml:space="preserve">  </w:t>
      </w:r>
      <w:r>
        <w:rPr>
          <w:rStyle w:val="Hyperlink.1"/>
          <w:rtl w:val="0"/>
          <w:lang w:val="en-US"/>
        </w:rPr>
        <w:t>innate immune defence mechanisms of shrimp and contribute to the development of</w:t>
      </w:r>
      <w:r>
        <w:rPr>
          <w:rStyle w:val="Hyperlink.1"/>
          <w:rtl w:val="0"/>
          <w:lang w:val="en-US"/>
        </w:rPr>
        <w:t xml:space="preserve">  </w:t>
      </w:r>
      <w:r>
        <w:rPr>
          <w:rStyle w:val="Hyperlink.1"/>
          <w:rtl w:val="0"/>
          <w:lang w:val="en-US"/>
        </w:rPr>
        <w:t>improved health management practices in aquaculture.</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Hyperlink.1"/>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Isolation and purification of pathogenic bacterium from shrimp: </w:t>
      </w:r>
      <w:r>
        <w:rPr>
          <w:rStyle w:val="Hyperlink.1"/>
          <w:rtl w:val="0"/>
          <w:lang w:val="en-US"/>
        </w:rPr>
        <w:t>Infected shrimp were collected from Ganapathipuram Shrimp farm,</w:t>
      </w:r>
      <w:r>
        <w:rPr>
          <w:rStyle w:val="Hyperlink.1"/>
          <w:rtl w:val="0"/>
          <w:lang w:val="en-US"/>
        </w:rPr>
        <w:t xml:space="preserve">  </w:t>
      </w:r>
      <w:r>
        <w:rPr>
          <w:rStyle w:val="Hyperlink.1"/>
          <w:rtl w:val="0"/>
          <w:lang w:val="en-US"/>
        </w:rPr>
        <w:t>Kanniyakumari District, and transported to the laboratory under aseptic conditions for</w:t>
      </w:r>
      <w:r>
        <w:rPr>
          <w:rStyle w:val="Hyperlink.1"/>
          <w:rtl w:val="0"/>
          <w:lang w:val="en-US"/>
        </w:rPr>
        <w:t xml:space="preserve">  </w:t>
      </w:r>
      <w:r>
        <w:rPr>
          <w:rStyle w:val="Hyperlink.1"/>
          <w:rtl w:val="0"/>
          <w:lang w:val="en-US"/>
        </w:rPr>
        <w:t>further analysis. The gut, gill, and hepatopancreas were aseptically dissected from the</w:t>
      </w:r>
      <w:r>
        <w:rPr>
          <w:rStyle w:val="Hyperlink.1"/>
          <w:rtl w:val="0"/>
          <w:lang w:val="en-US"/>
        </w:rPr>
        <w:t xml:space="preserve">  </w:t>
      </w:r>
      <w:r>
        <w:rPr>
          <w:rStyle w:val="Hyperlink.1"/>
          <w:rtl w:val="0"/>
          <w:lang w:val="en-US"/>
        </w:rPr>
        <w:t>shrimp. The tissues were washed with sterile distilled water, homogenized using a mortar</w:t>
      </w:r>
      <w:r>
        <w:rPr>
          <w:rStyle w:val="Hyperlink.1"/>
          <w:rtl w:val="0"/>
          <w:lang w:val="en-US"/>
        </w:rPr>
        <w:t xml:space="preserve">  </w:t>
      </w:r>
      <w:r>
        <w:rPr>
          <w:rStyle w:val="Hyperlink.1"/>
          <w:rtl w:val="0"/>
          <w:lang w:val="en-US"/>
        </w:rPr>
        <w:t>and pestle, and serially diluted with 9 ml of sterile distilled water. The diluted samples</w:t>
      </w:r>
      <w:r>
        <w:rPr>
          <w:rStyle w:val="Hyperlink.1"/>
          <w:rtl w:val="0"/>
          <w:lang w:val="en-US"/>
        </w:rPr>
        <w:t xml:space="preserve">  </w:t>
      </w:r>
      <w:r>
        <w:rPr>
          <w:rStyle w:val="Hyperlink.1"/>
          <w:rtl w:val="0"/>
          <w:lang w:val="en-US"/>
        </w:rPr>
        <w:t>were plated onto nutrient agar and thiosulfate</w:t>
      </w:r>
      <w:r>
        <w:rPr>
          <w:rStyle w:val="Hyperlink.1"/>
          <w:rtl w:val="0"/>
          <w:lang w:val="en-US"/>
        </w:rPr>
        <w:t>–</w:t>
      </w:r>
      <w:r>
        <w:rPr>
          <w:rStyle w:val="Hyperlink.1"/>
          <w:rtl w:val="0"/>
          <w:lang w:val="en-US"/>
        </w:rPr>
        <w:t>citrate</w:t>
      </w:r>
      <w:r>
        <w:rPr>
          <w:rStyle w:val="Hyperlink.1"/>
          <w:rtl w:val="0"/>
          <w:lang w:val="en-US"/>
        </w:rPr>
        <w:t>–</w:t>
      </w:r>
      <w:r>
        <w:rPr>
          <w:rStyle w:val="Hyperlink.1"/>
          <w:rtl w:val="0"/>
          <w:lang w:val="en-US"/>
        </w:rPr>
        <w:t>bile salts</w:t>
      </w:r>
      <w:r>
        <w:rPr>
          <w:rStyle w:val="Hyperlink.1"/>
          <w:rtl w:val="0"/>
          <w:lang w:val="en-US"/>
        </w:rPr>
        <w:t>–</w:t>
      </w:r>
      <w:r>
        <w:rPr>
          <w:rStyle w:val="Hyperlink.1"/>
          <w:rtl w:val="0"/>
          <w:lang w:val="en-US"/>
        </w:rPr>
        <w:t>sucrose (TCBS) agar</w:t>
      </w:r>
      <w:r>
        <w:rPr>
          <w:rStyle w:val="Hyperlink.1"/>
          <w:rtl w:val="0"/>
          <w:lang w:val="en-US"/>
        </w:rPr>
        <w:t xml:space="preserve">  </w:t>
      </w:r>
      <w:r>
        <w:rPr>
          <w:rStyle w:val="Hyperlink.1"/>
          <w:rtl w:val="0"/>
          <w:lang w:val="en-US"/>
        </w:rPr>
        <w:t xml:space="preserve">using the spread plate technique and incubated at 37 </w:t>
      </w:r>
      <w:r>
        <w:rPr>
          <w:rStyle w:val="Hyperlink.1"/>
          <w:rtl w:val="0"/>
          <w:lang w:val="en-US"/>
        </w:rPr>
        <w:t xml:space="preserve">± </w:t>
      </w:r>
      <w:r>
        <w:rPr>
          <w:rStyle w:val="Hyperlink.1"/>
          <w:rtl w:val="0"/>
          <w:lang w:val="en-US"/>
        </w:rPr>
        <w:t xml:space="preserve">1 </w:t>
      </w:r>
      <w:r>
        <w:rPr>
          <w:rStyle w:val="Hyperlink.1"/>
          <w:rtl w:val="0"/>
          <w:lang w:val="en-US"/>
        </w:rPr>
        <w:t>°</w:t>
      </w:r>
      <w:r>
        <w:rPr>
          <w:rStyle w:val="Hyperlink.1"/>
          <w:rtl w:val="0"/>
          <w:lang w:val="en-US"/>
        </w:rPr>
        <w:t>C for 24</w:t>
      </w:r>
      <w:r>
        <w:rPr>
          <w:rStyle w:val="Hyperlink.1"/>
          <w:rtl w:val="0"/>
          <w:lang w:val="en-US"/>
        </w:rPr>
        <w:t>–</w:t>
      </w:r>
      <w:r>
        <w:rPr>
          <w:rStyle w:val="Hyperlink.1"/>
          <w:rtl w:val="0"/>
          <w:lang w:val="en-US"/>
        </w:rPr>
        <w:t>48 hours. The</w:t>
      </w:r>
      <w:r>
        <w:rPr>
          <w:rStyle w:val="Hyperlink.1"/>
          <w:rtl w:val="0"/>
          <w:lang w:val="en-US"/>
        </w:rPr>
        <w:t xml:space="preserve">  </w:t>
      </w:r>
      <w:r>
        <w:rPr>
          <w:rStyle w:val="Hyperlink.1"/>
          <w:rtl w:val="0"/>
          <w:lang w:val="en-US"/>
        </w:rPr>
        <w:t>resulting colonies were identified based on biochemical characteristics described in</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Bergey</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s Manual of Systematic Bacteriology </w:t>
      </w:r>
      <w:r>
        <w:rPr>
          <w:rStyle w:val="Hyperlink.1"/>
          <w:rtl w:val="0"/>
          <w:lang w:val="en-US"/>
        </w:rPr>
        <w:t>(Williams, 1989)</w:t>
      </w:r>
      <w:r>
        <w:rPr>
          <w:rStyle w:val="Hyperlink.1"/>
          <w:rtl w:val="0"/>
          <w:lang w:val="en-US"/>
        </w:rPr>
        <w:t> </w:t>
      </w:r>
    </w:p>
    <w:p>
      <w:pPr>
        <w:pStyle w:val="Normal.0"/>
        <w:spacing w:after="0" w:line="360" w:lineRule="auto"/>
        <w:ind w:left="15" w:firstLine="747"/>
        <w:jc w:val="both"/>
        <w:rPr>
          <w:rStyle w:val="Hyperlink.1"/>
        </w:rPr>
      </w:pPr>
    </w:p>
    <w:p>
      <w:pPr>
        <w:pStyle w:val="Normal.0"/>
        <w:spacing w:after="0" w:line="360" w:lineRule="auto"/>
        <w:ind w:left="15" w:firstLine="747"/>
        <w:jc w:val="both"/>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2.1</w:t>
        <w:tab/>
        <w:t>Collection and maintenance of animals: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Hyperlink.1"/>
          <w:rtl w:val="0"/>
          <w:lang w:val="en-US"/>
        </w:rPr>
        <w:t>Shrimp were collected from a shrimp farm and treated with 0.5 ppm</w:t>
      </w:r>
      <w:r>
        <w:rPr>
          <w:rStyle w:val="Hyperlink.1"/>
          <w:rtl w:val="0"/>
          <w:lang w:val="en-US"/>
        </w:rPr>
        <w:t xml:space="preserve">  </w:t>
      </w:r>
      <w:r>
        <w:rPr>
          <w:rStyle w:val="Hyperlink.1"/>
          <w:rtl w:val="0"/>
          <w:lang w:val="en-US"/>
        </w:rPr>
        <w:t>chloramphenicol for 1 hour to eliminate intestinal and surface microorganisms.</w:t>
      </w:r>
      <w:r>
        <w:rPr>
          <w:rStyle w:val="Hyperlink.1"/>
          <w:rtl w:val="0"/>
          <w:lang w:val="en-US"/>
        </w:rPr>
        <w:t xml:space="preserve">  </w:t>
      </w:r>
      <w:r>
        <w:rPr>
          <w:rStyle w:val="Hyperlink.1"/>
          <w:rtl w:val="0"/>
          <w:lang w:val="en-US"/>
        </w:rPr>
        <w:t>Subsequently, the animals were maintained in aquaria with flow-through seawater at a</w:t>
      </w:r>
      <w:r>
        <w:rPr>
          <w:rStyle w:val="Hyperlink.1"/>
          <w:rtl w:val="0"/>
          <w:lang w:val="en-US"/>
        </w:rPr>
        <w:t xml:space="preserve">  </w:t>
      </w:r>
      <w:r>
        <w:rPr>
          <w:rStyle w:val="Hyperlink.1"/>
          <w:rtl w:val="0"/>
          <w:lang w:val="en-US"/>
        </w:rPr>
        <w:t xml:space="preserve">salinity of 20 ppt and a temperature of 30 </w:t>
      </w:r>
      <w:r>
        <w:rPr>
          <w:rStyle w:val="Hyperlink.1"/>
          <w:rtl w:val="0"/>
          <w:lang w:val="en-US"/>
        </w:rPr>
        <w:t xml:space="preserve">± </w:t>
      </w:r>
      <w:r>
        <w:rPr>
          <w:rStyle w:val="Hyperlink.1"/>
          <w:rtl w:val="0"/>
          <w:lang w:val="en-US"/>
        </w:rPr>
        <w:t xml:space="preserve">2 </w:t>
      </w:r>
      <w:r>
        <w:rPr>
          <w:rStyle w:val="Hyperlink.1"/>
          <w:rtl w:val="0"/>
          <w:lang w:val="en-US"/>
        </w:rPr>
        <w:t>°</w:t>
      </w:r>
      <w:r>
        <w:rPr>
          <w:rStyle w:val="Hyperlink.1"/>
          <w:rtl w:val="0"/>
          <w:lang w:val="en-US"/>
        </w:rPr>
        <w:t>C. Ten shrimp were housed in each plastic</w:t>
      </w:r>
      <w:r>
        <w:rPr>
          <w:rStyle w:val="Hyperlink.1"/>
          <w:rtl w:val="0"/>
          <w:lang w:val="en-US"/>
        </w:rPr>
        <w:t xml:space="preserve">  </w:t>
      </w:r>
      <w:r>
        <w:rPr>
          <w:rStyle w:val="Hyperlink.1"/>
          <w:rtl w:val="0"/>
          <w:lang w:val="en-US"/>
        </w:rPr>
        <w:t>trough.</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2.2</w:t>
        <w:tab/>
        <w:t>Preparation of bacterial solutions for injection: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Hyperlink.1"/>
          <w:rtl w:val="0"/>
          <w:lang w:val="en-US"/>
        </w:rPr>
        <w:t xml:space="preserve">The bacterial species used in this study were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parahaemolyticus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 These bacteria were cultured overnight in</w:t>
      </w:r>
      <w:r>
        <w:rPr>
          <w:rStyle w:val="Hyperlink.1"/>
          <w:rtl w:val="0"/>
          <w:lang w:val="en-US"/>
        </w:rPr>
        <w:t xml:space="preserve">  </w:t>
      </w:r>
      <w:r>
        <w:rPr>
          <w:rStyle w:val="Hyperlink.1"/>
          <w:rtl w:val="0"/>
          <w:lang w:val="en-US"/>
        </w:rPr>
        <w:t>marine broth at 37</w:t>
      </w:r>
      <w:r>
        <w:rPr>
          <w:rStyle w:val="Hyperlink.1"/>
          <w:rtl w:val="0"/>
          <w:lang w:val="en-US"/>
        </w:rPr>
        <w:t>°</w:t>
      </w:r>
      <w:r>
        <w:rPr>
          <w:rStyle w:val="Hyperlink.1"/>
          <w:rtl w:val="0"/>
          <w:lang w:val="en-US"/>
        </w:rPr>
        <w:t>C. For injection preparation, the cultures were pelleted by</w:t>
      </w:r>
      <w:r>
        <w:rPr>
          <w:rStyle w:val="Hyperlink.1"/>
          <w:rtl w:val="0"/>
          <w:lang w:val="en-US"/>
        </w:rPr>
        <w:t xml:space="preserve">  </w:t>
      </w:r>
      <w:r>
        <w:rPr>
          <w:rStyle w:val="Hyperlink.1"/>
          <w:rtl w:val="0"/>
          <w:lang w:val="en-US"/>
        </w:rPr>
        <w:t xml:space="preserve">centrifugation at 6000 rpm for 10 minutes, washed three times with 0.2 </w:t>
      </w:r>
      <w:r>
        <w:rPr>
          <w:rStyle w:val="Hyperlink.1"/>
          <w:rtl w:val="0"/>
          <w:lang w:val="en-US"/>
        </w:rPr>
        <w:t>µ</w:t>
      </w:r>
      <w:r>
        <w:rPr>
          <w:rStyle w:val="Hyperlink.1"/>
          <w:rtl w:val="0"/>
          <w:lang w:val="en-US"/>
        </w:rPr>
        <w:t>m filter sterilized 3% saline, and resuspended in sterile saline to achieve a final concentration of</w:t>
      </w:r>
      <w:r>
        <w:rPr>
          <w:rStyle w:val="Hyperlink.1"/>
          <w:rtl w:val="0"/>
          <w:lang w:val="en-US"/>
        </w:rPr>
        <w:t xml:space="preserve">  </w:t>
      </w:r>
      <w:r>
        <w:rPr>
          <w:rStyle w:val="Hyperlink.1"/>
          <w:rtl w:val="0"/>
          <w:lang w:val="en-US"/>
        </w:rPr>
        <w:t xml:space="preserve">5 </w:t>
      </w:r>
      <w:r>
        <w:rPr>
          <w:rStyle w:val="Hyperlink.1"/>
          <w:rtl w:val="0"/>
          <w:lang w:val="en-US"/>
        </w:rPr>
        <w:t xml:space="preserve">× </w:t>
      </w:r>
      <w:r>
        <w:rPr>
          <w:rStyle w:val="Hyperlink.1"/>
          <w:rtl w:val="0"/>
          <w:lang w:val="en-US"/>
        </w:rPr>
        <w:t>10</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⁶</w:t>
      </w:r>
      <w:r>
        <w:rPr>
          <w:rStyle w:val="Hyperlink.1"/>
          <w:rtl w:val="0"/>
          <w:lang w:val="en-US"/>
        </w:rPr>
        <w:t xml:space="preserve"> cells/ml. Bacterial counts were determined using a Bright-Line</w:t>
      </w:r>
      <w:r>
        <w:rPr>
          <w:rStyle w:val="Hyperlink.1"/>
          <w:rtl w:val="0"/>
          <w:lang w:val="en-US"/>
        </w:rPr>
        <w:t xml:space="preserve">  </w:t>
      </w:r>
      <w:r>
        <w:rPr>
          <w:rStyle w:val="Hyperlink.1"/>
          <w:rtl w:val="0"/>
          <w:lang w:val="en-US"/>
        </w:rPr>
        <w:t>haemocytometer at 1000</w:t>
      </w:r>
      <w:r>
        <w:rPr>
          <w:rStyle w:val="Hyperlink.1"/>
          <w:rtl w:val="0"/>
          <w:lang w:val="en-US"/>
        </w:rPr>
        <w:t xml:space="preserve">× </w:t>
      </w:r>
      <w:r>
        <w:rPr>
          <w:rStyle w:val="Hyperlink.1"/>
          <w:rtl w:val="0"/>
          <w:lang w:val="en-US"/>
        </w:rPr>
        <w:t>magnification</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2.3</w:t>
        <w:tab/>
        <w:t>Haemolymph sampling:</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Hyperlink.1"/>
          <w:rtl w:val="0"/>
          <w:lang w:val="en-US"/>
        </w:rPr>
        <w:t>Haemolymph was collected from the ventral haemocoel of the second</w:t>
      </w:r>
      <w:r>
        <w:rPr>
          <w:rStyle w:val="Hyperlink.1"/>
          <w:rtl w:val="0"/>
          <w:lang w:val="en-US"/>
        </w:rPr>
        <w:t xml:space="preserve">  </w:t>
      </w:r>
      <w:r>
        <w:rPr>
          <w:rStyle w:val="Hyperlink.1"/>
          <w:rtl w:val="0"/>
          <w:lang w:val="en-US"/>
        </w:rPr>
        <w:t>abdominal segment using a 25-gauge needle and a 1 ml syringe pre-filled with 0.2 ml</w:t>
      </w:r>
      <w:r>
        <w:rPr>
          <w:rStyle w:val="Hyperlink.1"/>
          <w:rtl w:val="0"/>
          <w:lang w:val="en-US"/>
        </w:rPr>
        <w:t xml:space="preserve">  </w:t>
      </w:r>
      <w:r>
        <w:rPr>
          <w:rStyle w:val="Hyperlink.1"/>
          <w:rtl w:val="0"/>
          <w:lang w:val="en-US"/>
        </w:rPr>
        <w:t>of cold modified Alsever</w:t>
      </w:r>
      <w:r>
        <w:rPr>
          <w:rStyle w:val="Hyperlink.1"/>
          <w:rtl w:val="0"/>
          <w:lang w:val="en-US"/>
        </w:rPr>
        <w:t>’</w:t>
      </w:r>
      <w:r>
        <w:rPr>
          <w:rStyle w:val="Hyperlink.1"/>
          <w:rtl w:val="0"/>
          <w:lang w:val="en-US"/>
        </w:rPr>
        <w:t>s solution (AS; 19.3 mM sodium citrate, 239.8 mM sodium</w:t>
      </w:r>
      <w:r>
        <w:rPr>
          <w:rStyle w:val="Hyperlink.1"/>
          <w:rtl w:val="0"/>
          <w:lang w:val="en-US"/>
        </w:rPr>
        <w:t xml:space="preserve">  </w:t>
      </w:r>
      <w:r>
        <w:rPr>
          <w:rStyle w:val="Hyperlink.1"/>
          <w:rtl w:val="0"/>
          <w:lang w:val="en-US"/>
        </w:rPr>
        <w:t>chloride, 182.5 mM glucose, 6.2 mM EDTA; pH 7.2) as an anticoagulant. This solution</w:t>
      </w:r>
      <w:r>
        <w:rPr>
          <w:rStyle w:val="Hyperlink.1"/>
          <w:rtl w:val="0"/>
          <w:lang w:val="en-US"/>
        </w:rPr>
        <w:t xml:space="preserve">  </w:t>
      </w:r>
      <w:r>
        <w:rPr>
          <w:rStyle w:val="Hyperlink.1"/>
          <w:rtl w:val="0"/>
          <w:lang w:val="en-US"/>
        </w:rPr>
        <w:t xml:space="preserve">prevented melanisation and maintained haemocytes in a quiescent state (Rodriguez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al.</w:t>
      </w:r>
      <w:r>
        <w:rPr>
          <w:rStyle w:val="Hyperlink.1"/>
          <w:rtl w:val="0"/>
          <w:lang w:val="en-US"/>
        </w:rPr>
        <w:t>, 1995). The puncture technique was employed to avoid extracting tissue particles</w:t>
      </w:r>
      <w:r>
        <w:rPr>
          <w:rStyle w:val="Hyperlink.1"/>
          <w:rtl w:val="0"/>
          <w:lang w:val="en-US"/>
        </w:rPr>
        <w:t xml:space="preserve">  </w:t>
      </w:r>
      <w:r>
        <w:rPr>
          <w:rStyle w:val="Hyperlink.1"/>
          <w:rtl w:val="0"/>
          <w:lang w:val="en-US"/>
        </w:rPr>
        <w:t>during haemolymph sampling. Immediately after collection, two haemolymph smears</w:t>
      </w:r>
      <w:r>
        <w:rPr>
          <w:rStyle w:val="Hyperlink.1"/>
          <w:rtl w:val="0"/>
          <w:lang w:val="en-US"/>
        </w:rPr>
        <w:t xml:space="preserve">  </w:t>
      </w:r>
      <w:r>
        <w:rPr>
          <w:rStyle w:val="Hyperlink.1"/>
          <w:rtl w:val="0"/>
          <w:lang w:val="en-US"/>
        </w:rPr>
        <w:t>were prepared per animal and air-dried. The remaining haemolymph was transferred to</w:t>
      </w:r>
      <w:r>
        <w:rPr>
          <w:rStyle w:val="Hyperlink.1"/>
          <w:rtl w:val="0"/>
          <w:lang w:val="en-US"/>
        </w:rPr>
        <w:t xml:space="preserve">  </w:t>
      </w:r>
      <w:r>
        <w:rPr>
          <w:rStyle w:val="Hyperlink.1"/>
          <w:rtl w:val="0"/>
          <w:lang w:val="en-US"/>
        </w:rPr>
        <w:t>5 ml Eppendorf tubes, stored on ice, and analysed within 1 hour of sampling.</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2.4</w:t>
        <w:tab/>
        <w:t>Tests for bacterial clearance:</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Hyperlink.1"/>
        </w:rPr>
      </w:pPr>
      <w:r>
        <w:rPr>
          <w:rStyle w:val="Hyperlink.1"/>
          <w:rtl w:val="0"/>
          <w:lang w:val="en-US"/>
        </w:rPr>
        <w:t>To assess the rate of bacterial clearance from the haemolymph, shrimp were</w:t>
      </w:r>
      <w:r>
        <w:rPr>
          <w:rStyle w:val="Hyperlink.1"/>
          <w:rtl w:val="0"/>
          <w:lang w:val="en-US"/>
        </w:rPr>
        <w:t xml:space="preserve">  </w:t>
      </w:r>
      <w:r>
        <w:rPr>
          <w:rStyle w:val="Hyperlink.1"/>
          <w:rtl w:val="0"/>
          <w:lang w:val="en-US"/>
        </w:rPr>
        <w:t xml:space="preserve">injected with 0.1 ml of a bacterial suspension containing 1 </w:t>
      </w:r>
      <w:r>
        <w:rPr>
          <w:rStyle w:val="Hyperlink.1"/>
          <w:rtl w:val="0"/>
          <w:lang w:val="en-US"/>
        </w:rPr>
        <w:t xml:space="preserve">× </w:t>
      </w:r>
      <w:r>
        <w:rPr>
          <w:rStyle w:val="Hyperlink.1"/>
          <w:rtl w:val="0"/>
          <w:lang w:val="en-US"/>
        </w:rPr>
        <w:t>10</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⁶</w:t>
      </w:r>
      <w:r>
        <w:rPr>
          <w:rStyle w:val="Hyperlink.1"/>
          <w:rtl w:val="0"/>
          <w:lang w:val="en-US"/>
        </w:rPr>
        <w:t xml:space="preserve"> cells/ml. Haemolymph</w:t>
      </w:r>
      <w:r>
        <w:rPr>
          <w:rStyle w:val="Hyperlink.1"/>
          <w:rtl w:val="0"/>
          <w:lang w:val="en-US"/>
        </w:rPr>
        <w:t xml:space="preserve">  </w:t>
      </w:r>
      <w:r>
        <w:rPr>
          <w:rStyle w:val="Hyperlink.1"/>
          <w:rtl w:val="0"/>
          <w:lang w:val="en-US"/>
        </w:rPr>
        <w:t>samples (0.05 ml) were collected from each animal at 10, 20, 30, 40, 50, and 60 minutes</w:t>
      </w:r>
      <w:r>
        <w:rPr>
          <w:rStyle w:val="Hyperlink.1"/>
          <w:rtl w:val="0"/>
          <w:lang w:val="en-US"/>
        </w:rPr>
        <w:t xml:space="preserve">  </w:t>
      </w:r>
      <w:r>
        <w:rPr>
          <w:rStyle w:val="Hyperlink.1"/>
          <w:rtl w:val="0"/>
          <w:lang w:val="en-US"/>
        </w:rPr>
        <w:t>post-injection. For each bacterial species, 10</w:t>
      </w:r>
      <w:r>
        <w:rPr>
          <w:rStyle w:val="Hyperlink.1"/>
          <w:rtl w:val="0"/>
          <w:lang w:val="en-US"/>
        </w:rPr>
        <w:t>–</w:t>
      </w:r>
      <w:r>
        <w:rPr>
          <w:rStyle w:val="Hyperlink.1"/>
          <w:rtl w:val="0"/>
          <w:lang w:val="en-US"/>
        </w:rPr>
        <w:t>15 shrimp were tested to evaluate their</w:t>
      </w:r>
      <w:r>
        <w:rPr>
          <w:rStyle w:val="Hyperlink.1"/>
          <w:rtl w:val="0"/>
          <w:lang w:val="en-US"/>
        </w:rPr>
        <w:t xml:space="preserve">  </w:t>
      </w:r>
      <w:r>
        <w:rPr>
          <w:rStyle w:val="Hyperlink.1"/>
          <w:rtl w:val="0"/>
          <w:lang w:val="en-US"/>
        </w:rPr>
        <w:t>clearance efficiency.</w:t>
      </w:r>
      <w:r>
        <w:rPr>
          <w:rStyle w:val="Hyperlink.1"/>
          <w:rtl w:val="0"/>
          <w:lang w:val="en-US"/>
        </w:rPr>
        <w:t> </w:t>
      </w:r>
    </w:p>
    <w:p>
      <w:pPr>
        <w:pStyle w:val="Normal.0"/>
        <w:spacing w:after="0" w:line="360" w:lineRule="auto"/>
        <w:ind w:left="15" w:firstLine="747"/>
        <w:jc w:val="both"/>
        <w:rPr>
          <w:rStyle w:val="Hyperlink.1"/>
        </w:rPr>
      </w:pPr>
    </w:p>
    <w:p>
      <w:pPr>
        <w:pStyle w:val="Normal.0"/>
        <w:spacing w:after="0" w:line="360" w:lineRule="auto"/>
        <w:ind w:left="15" w:firstLine="747"/>
        <w:jc w:val="both"/>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RESULTS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Test for bacterial clearance</w:t>
      </w:r>
    </w:p>
    <w:p>
      <w:pPr>
        <w:pStyle w:val="Normal.0"/>
        <w:spacing w:after="0" w:line="360" w:lineRule="auto"/>
        <w:ind w:left="15" w:firstLine="747"/>
        <w:jc w:val="both"/>
        <w:rPr>
          <w:rStyle w:val="Hyperlink.1"/>
        </w:rPr>
      </w:pPr>
      <w:r>
        <w:rPr>
          <w:rStyle w:val="Hyperlink.1"/>
          <w:rtl w:val="0"/>
          <w:lang w:val="en-US"/>
        </w:rPr>
        <w:t xml:space="preserve">The concentrated pathogenic solutions 1000 </w:t>
      </w:r>
      <w:r>
        <w:rPr>
          <w:rStyle w:val="Hyperlink.1"/>
          <w:rtl w:val="0"/>
          <w:lang w:val="en-US"/>
        </w:rPr>
        <w:t>µ</w:t>
      </w:r>
      <w:r>
        <w:rPr>
          <w:rStyle w:val="Hyperlink.1"/>
          <w:rtl w:val="0"/>
          <w:lang w:val="en-US"/>
        </w:rPr>
        <w:t>l of 5x10</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6 </w:t>
      </w:r>
      <w:r>
        <w:rPr>
          <w:rStyle w:val="Hyperlink.1"/>
          <w:rtl w:val="0"/>
          <w:lang w:val="en-US"/>
        </w:rPr>
        <w:t>were prepared</w:t>
      </w:r>
      <w:r>
        <w:rPr>
          <w:rStyle w:val="Hyperlink.1"/>
          <w:rtl w:val="0"/>
          <w:lang w:val="en-US"/>
        </w:rPr>
        <w:t xml:space="preserve">  </w:t>
      </w:r>
      <w:r>
        <w:rPr>
          <w:rStyle w:val="Hyperlink.1"/>
          <w:rtl w:val="0"/>
          <w:lang w:val="en-US"/>
        </w:rPr>
        <w:t>separately in serial saline solution for injection. After injection, 50</w:t>
      </w:r>
      <w:r>
        <w:rPr>
          <w:rStyle w:val="Hyperlink.1"/>
          <w:rtl w:val="0"/>
          <w:lang w:val="en-US"/>
        </w:rPr>
        <w:t>µ</w:t>
      </w:r>
      <w:r>
        <w:rPr>
          <w:rStyle w:val="Hyperlink.1"/>
          <w:rtl w:val="0"/>
          <w:lang w:val="en-US"/>
        </w:rPr>
        <w:t>l of haemolymph</w:t>
      </w:r>
      <w:r>
        <w:rPr>
          <w:rStyle w:val="Hyperlink.1"/>
          <w:rtl w:val="0"/>
          <w:lang w:val="en-US"/>
        </w:rPr>
        <w:t xml:space="preserve">  </w:t>
      </w:r>
      <w:r>
        <w:rPr>
          <w:rStyle w:val="Hyperlink.1"/>
          <w:rtl w:val="0"/>
          <w:lang w:val="en-US"/>
        </w:rPr>
        <w:t>sample is collected and plated for every 10 minutes interval to 1 hour. The result of the</w:t>
      </w:r>
      <w:r>
        <w:rPr>
          <w:rStyle w:val="Hyperlink.1"/>
          <w:rtl w:val="0"/>
          <w:lang w:val="en-US"/>
        </w:rPr>
        <w:t xml:space="preserve">  </w:t>
      </w:r>
      <w:r>
        <w:rPr>
          <w:rStyle w:val="Hyperlink.1"/>
          <w:rtl w:val="0"/>
          <w:lang w:val="en-US"/>
        </w:rPr>
        <w:t xml:space="preserve">experiment was given in the Table 1. It shows that all the three strains of bacterium were rapidly eliminated from the haemolymph of shrimp.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 was rapidly</w:t>
      </w:r>
      <w:r>
        <w:rPr>
          <w:rStyle w:val="Hyperlink.1"/>
          <w:rtl w:val="0"/>
          <w:lang w:val="en-US"/>
        </w:rPr>
        <w:t xml:space="preserve">  </w:t>
      </w:r>
      <w:r>
        <w:rPr>
          <w:rStyle w:val="Hyperlink.1"/>
          <w:rtl w:val="0"/>
          <w:lang w:val="en-US"/>
        </w:rPr>
        <w:t>removed from the circulatory system, in 30 minutes and followed by</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V.parahaemolyticus</w:t>
      </w:r>
      <w:r>
        <w:rPr>
          <w:rStyle w:val="Hyperlink.1"/>
          <w:rtl w:val="0"/>
          <w:lang w:val="en-US"/>
        </w:rPr>
        <w:t xml:space="preserve">(40 min)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V.harvey</w:t>
      </w:r>
      <w:r>
        <w:rPr>
          <w:rStyle w:val="Hyperlink.1"/>
          <w:rtl w:val="0"/>
          <w:lang w:val="en-US"/>
        </w:rPr>
        <w:t>(50min). then all the bacterial cells were</w:t>
      </w:r>
      <w:r>
        <w:rPr>
          <w:rStyle w:val="Hyperlink.1"/>
          <w:rtl w:val="0"/>
          <w:lang w:val="en-US"/>
        </w:rPr>
        <w:t xml:space="preserve">  </w:t>
      </w:r>
      <w:r>
        <w:rPr>
          <w:rStyle w:val="Hyperlink.1"/>
          <w:rtl w:val="0"/>
          <w:lang w:val="en-US"/>
        </w:rPr>
        <w:t>completely removed in 30 minutes.</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kern w:val="0"/>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Test for bacterial clearance in hemolymph of shrimp</w:t>
      </w:r>
    </w:p>
    <w:tbl>
      <w:tblPr>
        <w:tblW w:w="9020" w:type="dxa"/>
        <w:jc w:val="center"/>
        <w:tblInd w:w="49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6"/>
        <w:gridCol w:w="1501"/>
        <w:gridCol w:w="1014"/>
        <w:gridCol w:w="2030"/>
        <w:gridCol w:w="2225"/>
        <w:gridCol w:w="1554"/>
      </w:tblGrid>
      <w:tr>
        <w:tblPrEx>
          <w:shd w:val="clear" w:color="auto" w:fill="ced7e7"/>
        </w:tblPrEx>
        <w:trPr>
          <w:trHeight w:val="437" w:hRule="atLeast"/>
        </w:trPr>
        <w:tc>
          <w:tcPr>
            <w:tcW w:type="dxa" w:w="696"/>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S.No</w:t>
            </w:r>
          </w:p>
        </w:tc>
        <w:tc>
          <w:tcPr>
            <w:tcW w:type="dxa" w:w="150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9"/>
              <w:bottom w:type="dxa" w:w="80"/>
              <w:right w:type="dxa" w:w="80"/>
            </w:tcMar>
            <w:vAlign w:val="center"/>
          </w:tcPr>
          <w:p>
            <w:pPr>
              <w:pStyle w:val="Normal.0"/>
              <w:spacing w:after="0" w:line="240" w:lineRule="auto"/>
              <w:ind w:left="119" w:firstLine="0"/>
              <w:jc w:val="center"/>
              <w:rPr>
                <w:rStyle w:val="None"/>
                <w:rFonts w:ascii="Times New Roman" w:cs="Times New Roman" w:hAnsi="Times New Roman" w:eastAsia="Times New Roman"/>
                <w:b w:val="1"/>
                <w:bCs w:val="1"/>
                <w:kern w:val="0"/>
                <w:sz w:val="24"/>
                <w:szCs w:val="24"/>
                <w:shd w:val="nil" w:color="auto" w:fill="auto"/>
              </w:rPr>
            </w:pPr>
            <w:r>
              <w:rPr>
                <w:rStyle w:val="None"/>
                <w:rFonts w:ascii="Times New Roman" w:hAnsi="Times New Roman"/>
                <w:b w:val="1"/>
                <w:bCs w:val="1"/>
                <w:kern w:val="0"/>
                <w:sz w:val="24"/>
                <w:szCs w:val="24"/>
                <w:shd w:val="nil" w:color="auto" w:fill="auto"/>
                <w:rtl w:val="0"/>
                <w:lang w:val="en-US"/>
              </w:rPr>
              <w:t>Incubation</w:t>
            </w:r>
          </w:p>
          <w:p>
            <w:pPr>
              <w:pStyle w:val="Normal.0"/>
              <w:bidi w:val="0"/>
              <w:spacing w:after="0" w:line="24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Times(mins)</w:t>
            </w:r>
          </w:p>
        </w:tc>
        <w:tc>
          <w:tcPr>
            <w:tcW w:type="dxa" w:w="1014"/>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Control</w:t>
            </w:r>
          </w:p>
        </w:tc>
        <w:tc>
          <w:tcPr>
            <w:tcW w:type="dxa" w:w="5809"/>
            <w:gridSpan w:val="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0"/>
              <w:bottom w:type="dxa" w:w="80"/>
              <w:right w:type="dxa" w:w="80"/>
            </w:tcMar>
            <w:vAlign w:val="center"/>
          </w:tcPr>
          <w:p>
            <w:pPr>
              <w:pStyle w:val="Normal.0"/>
              <w:spacing w:after="0" w:line="240" w:lineRule="auto"/>
              <w:ind w:left="110" w:firstLine="0"/>
              <w:jc w:val="center"/>
            </w:pPr>
            <w:r>
              <w:rPr>
                <w:rStyle w:val="None"/>
                <w:rFonts w:ascii="Times New Roman" w:hAnsi="Times New Roman"/>
                <w:b w:val="1"/>
                <w:bCs w:val="1"/>
                <w:kern w:val="0"/>
                <w:sz w:val="24"/>
                <w:szCs w:val="24"/>
                <w:shd w:val="nil" w:color="auto" w:fill="auto"/>
                <w:rtl w:val="0"/>
                <w:lang w:val="en-US"/>
              </w:rPr>
              <w:t>Name of the pathogenic bacteria (x10</w:t>
            </w:r>
            <w:r>
              <w:rPr>
                <w:rStyle w:val="None"/>
                <w:rFonts w:ascii="Times New Roman" w:hAnsi="Times New Roman"/>
                <w:b w:val="1"/>
                <w:bCs w:val="1"/>
                <w:kern w:val="0"/>
                <w:sz w:val="24"/>
                <w:szCs w:val="24"/>
                <w:shd w:val="nil" w:color="auto" w:fill="auto"/>
                <w:vertAlign w:val="superscript"/>
                <w:rtl w:val="0"/>
                <w:lang w:val="en-US"/>
              </w:rPr>
              <w:t xml:space="preserve">3 </w:t>
            </w:r>
            <w:r>
              <w:rPr>
                <w:rStyle w:val="None"/>
                <w:rFonts w:ascii="Times New Roman" w:hAnsi="Times New Roman"/>
                <w:b w:val="1"/>
                <w:bCs w:val="1"/>
                <w:kern w:val="0"/>
                <w:sz w:val="24"/>
                <w:szCs w:val="24"/>
                <w:shd w:val="nil" w:color="auto" w:fill="auto"/>
                <w:rtl w:val="0"/>
                <w:lang w:val="en-US"/>
              </w:rPr>
              <w:t>CFU/ML</w:t>
            </w:r>
          </w:p>
        </w:tc>
      </w:tr>
      <w:tr>
        <w:tblPrEx>
          <w:shd w:val="clear" w:color="auto" w:fill="ced7e7"/>
        </w:tblPrEx>
        <w:trPr>
          <w:trHeight w:val="365" w:hRule="atLeast"/>
        </w:trPr>
        <w:tc>
          <w:tcPr>
            <w:tcW w:type="dxa" w:w="696"/>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50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014"/>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80"/>
            </w:tcMar>
            <w:vAlign w:val="center"/>
          </w:tcPr>
          <w:p>
            <w:pPr>
              <w:pStyle w:val="Normal.0"/>
              <w:spacing w:after="0" w:line="240" w:lineRule="auto"/>
              <w:ind w:left="115" w:firstLine="0"/>
              <w:jc w:val="center"/>
            </w:pPr>
            <w:r>
              <w:rPr>
                <w:rStyle w:val="None"/>
                <w:rFonts w:ascii="Times New Roman" w:hAnsi="Times New Roman"/>
                <w:b w:val="1"/>
                <w:bCs w:val="1"/>
                <w:kern w:val="0"/>
                <w:sz w:val="24"/>
                <w:szCs w:val="24"/>
                <w:shd w:val="nil" w:color="auto" w:fill="auto"/>
                <w:rtl w:val="0"/>
                <w:lang w:val="en-US"/>
              </w:rPr>
              <w:t>V.</w:t>
            </w:r>
            <w:r>
              <w:rPr>
                <w:rStyle w:val="None"/>
                <w:rFonts w:ascii="Times New Roman" w:hAnsi="Times New Roman"/>
                <w:b w:val="1"/>
                <w:bCs w:val="1"/>
                <w:i w:val="1"/>
                <w:iCs w:val="1"/>
                <w:kern w:val="0"/>
                <w:sz w:val="24"/>
                <w:szCs w:val="24"/>
                <w:shd w:val="nil" w:color="auto" w:fill="auto"/>
                <w:rtl w:val="0"/>
                <w:lang w:val="en-US"/>
              </w:rPr>
              <w:t>harveyi</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V.</w:t>
            </w:r>
            <w:r>
              <w:rPr>
                <w:rStyle w:val="None"/>
                <w:rFonts w:ascii="Times New Roman" w:hAnsi="Times New Roman"/>
                <w:b w:val="1"/>
                <w:bCs w:val="1"/>
                <w:i w:val="1"/>
                <w:iCs w:val="1"/>
                <w:kern w:val="0"/>
                <w:sz w:val="24"/>
                <w:szCs w:val="24"/>
                <w:shd w:val="nil" w:color="auto" w:fill="auto"/>
                <w:rtl w:val="0"/>
                <w:lang w:val="en-US"/>
              </w:rPr>
              <w:t>parahaemolyticus</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84"/>
              <w:bottom w:type="dxa" w:w="80"/>
              <w:right w:type="dxa" w:w="80"/>
            </w:tcMar>
            <w:vAlign w:val="center"/>
          </w:tcPr>
          <w:p>
            <w:pPr>
              <w:pStyle w:val="Normal.0"/>
              <w:spacing w:after="0" w:line="240" w:lineRule="auto"/>
              <w:ind w:left="104" w:firstLine="0"/>
              <w:jc w:val="center"/>
            </w:pPr>
            <w:r>
              <w:rPr>
                <w:rStyle w:val="None"/>
                <w:rFonts w:ascii="Times New Roman" w:hAnsi="Times New Roman"/>
                <w:b w:val="1"/>
                <w:bCs w:val="1"/>
                <w:i w:val="1"/>
                <w:iCs w:val="1"/>
                <w:kern w:val="0"/>
                <w:sz w:val="24"/>
                <w:szCs w:val="24"/>
                <w:shd w:val="nil" w:color="auto" w:fill="auto"/>
                <w:rtl w:val="0"/>
                <w:lang w:val="en-US"/>
              </w:rPr>
              <w:t>Aeromonas</w:t>
            </w:r>
          </w:p>
        </w:tc>
      </w:tr>
      <w:tr>
        <w:tblPrEx>
          <w:shd w:val="clear" w:color="auto" w:fill="ced7e7"/>
        </w:tblPrEx>
        <w:trPr>
          <w:trHeight w:val="599" w:hRule="atLeast"/>
        </w:trPr>
        <w:tc>
          <w:tcPr>
            <w:tcW w:type="dxa" w:w="6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3"/>
              <w:bottom w:type="dxa" w:w="80"/>
              <w:right w:type="dxa" w:w="80"/>
            </w:tcMar>
            <w:vAlign w:val="center"/>
          </w:tcPr>
          <w:p>
            <w:pPr>
              <w:pStyle w:val="Normal.0"/>
              <w:spacing w:after="0" w:line="240" w:lineRule="auto"/>
              <w:ind w:left="143" w:firstLine="0"/>
              <w:jc w:val="center"/>
            </w:pPr>
            <w:r>
              <w:rPr>
                <w:rStyle w:val="None"/>
                <w:rFonts w:ascii="Times New Roman" w:hAnsi="Times New Roman"/>
                <w:kern w:val="0"/>
                <w:sz w:val="24"/>
                <w:szCs w:val="24"/>
                <w:shd w:val="nil" w:color="auto" w:fill="auto"/>
                <w:rtl w:val="0"/>
                <w:lang w:val="en-US"/>
              </w:rPr>
              <w:t>1</w:t>
            </w:r>
          </w:p>
        </w:tc>
        <w:tc>
          <w:tcPr>
            <w:tcW w:type="dxa" w:w="15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10</w:t>
            </w:r>
          </w:p>
        </w:tc>
        <w:tc>
          <w:tcPr>
            <w:tcW w:type="dxa" w:w="10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10.07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0.085</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3.622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0.017</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6.00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0.025</w:t>
            </w:r>
          </w:p>
        </w:tc>
      </w:tr>
      <w:tr>
        <w:tblPrEx>
          <w:shd w:val="clear" w:color="auto" w:fill="ced7e7"/>
        </w:tblPrEx>
        <w:trPr>
          <w:trHeight w:val="482" w:hRule="atLeast"/>
        </w:trPr>
        <w:tc>
          <w:tcPr>
            <w:tcW w:type="dxa" w:w="6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0"/>
              <w:bottom w:type="dxa" w:w="80"/>
              <w:right w:type="dxa" w:w="80"/>
            </w:tcMar>
            <w:vAlign w:val="center"/>
          </w:tcPr>
          <w:p>
            <w:pPr>
              <w:pStyle w:val="Normal.0"/>
              <w:spacing w:after="0" w:line="240" w:lineRule="auto"/>
              <w:ind w:left="120" w:firstLine="0"/>
              <w:jc w:val="center"/>
            </w:pPr>
            <w:r>
              <w:rPr>
                <w:rStyle w:val="None"/>
                <w:rFonts w:ascii="Times New Roman" w:hAnsi="Times New Roman"/>
                <w:kern w:val="0"/>
                <w:sz w:val="24"/>
                <w:szCs w:val="24"/>
                <w:shd w:val="nil" w:color="auto" w:fill="auto"/>
                <w:rtl w:val="0"/>
                <w:lang w:val="en-US"/>
              </w:rPr>
              <w:t>2</w:t>
            </w:r>
          </w:p>
        </w:tc>
        <w:tc>
          <w:tcPr>
            <w:tcW w:type="dxa" w:w="15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0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2.585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0.062</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2.205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0.034</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1.633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0.055</w:t>
            </w:r>
          </w:p>
        </w:tc>
      </w:tr>
      <w:tr>
        <w:tblPrEx>
          <w:shd w:val="clear" w:color="auto" w:fill="ced7e7"/>
        </w:tblPrEx>
        <w:trPr>
          <w:trHeight w:val="383" w:hRule="atLeast"/>
        </w:trPr>
        <w:tc>
          <w:tcPr>
            <w:tcW w:type="dxa" w:w="6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5"/>
              <w:bottom w:type="dxa" w:w="80"/>
              <w:right w:type="dxa" w:w="80"/>
            </w:tcMar>
            <w:vAlign w:val="center"/>
          </w:tcPr>
          <w:p>
            <w:pPr>
              <w:pStyle w:val="Normal.0"/>
              <w:spacing w:after="0" w:line="240" w:lineRule="auto"/>
              <w:ind w:left="125" w:firstLine="0"/>
              <w:jc w:val="center"/>
            </w:pPr>
            <w:r>
              <w:rPr>
                <w:rStyle w:val="None"/>
                <w:rFonts w:ascii="Times New Roman" w:hAnsi="Times New Roman"/>
                <w:kern w:val="0"/>
                <w:sz w:val="24"/>
                <w:szCs w:val="24"/>
                <w:shd w:val="nil" w:color="auto" w:fill="auto"/>
                <w:rtl w:val="0"/>
                <w:lang w:val="en-US"/>
              </w:rPr>
              <w:t>3</w:t>
            </w:r>
          </w:p>
        </w:tc>
        <w:tc>
          <w:tcPr>
            <w:tcW w:type="dxa" w:w="15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0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1.360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0.075</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1.120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0.067</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r>
      <w:tr>
        <w:tblPrEx>
          <w:shd w:val="clear" w:color="auto" w:fill="ced7e7"/>
        </w:tblPrEx>
        <w:trPr>
          <w:trHeight w:val="365" w:hRule="atLeast"/>
        </w:trPr>
        <w:tc>
          <w:tcPr>
            <w:tcW w:type="dxa" w:w="6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9"/>
              <w:bottom w:type="dxa" w:w="80"/>
              <w:right w:type="dxa" w:w="80"/>
            </w:tcMar>
            <w:vAlign w:val="center"/>
          </w:tcPr>
          <w:p>
            <w:pPr>
              <w:pStyle w:val="Normal.0"/>
              <w:spacing w:after="0" w:line="240" w:lineRule="auto"/>
              <w:ind w:left="119" w:firstLine="0"/>
              <w:jc w:val="center"/>
            </w:pPr>
            <w:r>
              <w:rPr>
                <w:rStyle w:val="None"/>
                <w:rFonts w:ascii="Times New Roman" w:hAnsi="Times New Roman"/>
                <w:kern w:val="0"/>
                <w:sz w:val="24"/>
                <w:szCs w:val="24"/>
                <w:shd w:val="nil" w:color="auto" w:fill="auto"/>
                <w:rtl w:val="0"/>
                <w:lang w:val="en-US"/>
              </w:rPr>
              <w:t>4</w:t>
            </w:r>
          </w:p>
        </w:tc>
        <w:tc>
          <w:tcPr>
            <w:tcW w:type="dxa" w:w="15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c>
          <w:tcPr>
            <w:tcW w:type="dxa" w:w="10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0.462 </w:t>
            </w:r>
            <w:r>
              <w:rPr>
                <w:rStyle w:val="None"/>
                <w:rFonts w:ascii="Times New Roman" w:hAnsi="Times New Roman" w:hint="default"/>
                <w:kern w:val="0"/>
                <w:sz w:val="24"/>
                <w:szCs w:val="24"/>
                <w:shd w:val="nil" w:color="auto" w:fill="auto"/>
                <w:rtl w:val="0"/>
                <w:lang w:val="en-US"/>
              </w:rPr>
              <w:t>± </w:t>
            </w:r>
            <w:r>
              <w:rPr>
                <w:rStyle w:val="None"/>
                <w:rFonts w:ascii="Times New Roman" w:hAnsi="Times New Roman"/>
                <w:kern w:val="0"/>
                <w:sz w:val="24"/>
                <w:szCs w:val="24"/>
                <w:shd w:val="nil" w:color="auto" w:fill="auto"/>
                <w:rtl w:val="0"/>
                <w:lang w:val="en-US"/>
              </w:rPr>
              <w:t>0.026</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r>
      <w:tr>
        <w:tblPrEx>
          <w:shd w:val="clear" w:color="auto" w:fill="ced7e7"/>
        </w:tblPrEx>
        <w:trPr>
          <w:trHeight w:val="437" w:hRule="atLeast"/>
        </w:trPr>
        <w:tc>
          <w:tcPr>
            <w:tcW w:type="dxa" w:w="6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7"/>
              <w:bottom w:type="dxa" w:w="80"/>
              <w:right w:type="dxa" w:w="80"/>
            </w:tcMar>
            <w:vAlign w:val="top"/>
          </w:tcPr>
          <w:p>
            <w:pPr>
              <w:pStyle w:val="Normal.0"/>
              <w:spacing w:after="0" w:line="360" w:lineRule="auto"/>
              <w:ind w:left="127" w:firstLine="0"/>
            </w:pPr>
            <w:r>
              <w:rPr>
                <w:rStyle w:val="None"/>
                <w:rFonts w:ascii="Times New Roman" w:hAnsi="Times New Roman"/>
                <w:kern w:val="0"/>
                <w:sz w:val="24"/>
                <w:szCs w:val="24"/>
                <w:shd w:val="nil" w:color="auto" w:fill="auto"/>
                <w:rtl w:val="0"/>
                <w:lang w:val="en-US"/>
              </w:rPr>
              <w:t>5</w:t>
            </w:r>
            <w:r>
              <w:rPr>
                <w:rStyle w:val="None"/>
                <w:rFonts w:ascii="Times New Roman" w:hAnsi="Times New Roman" w:hint="default"/>
                <w:kern w:val="0"/>
                <w:sz w:val="24"/>
                <w:szCs w:val="24"/>
                <w:shd w:val="nil" w:color="auto" w:fill="auto"/>
                <w:rtl w:val="0"/>
                <w:lang w:val="en-US"/>
              </w:rPr>
              <w:t> </w:t>
            </w:r>
          </w:p>
        </w:tc>
        <w:tc>
          <w:tcPr>
            <w:tcW w:type="dxa" w:w="15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50</w:t>
            </w:r>
            <w:r>
              <w:rPr>
                <w:rStyle w:val="None"/>
                <w:rFonts w:ascii="Times New Roman" w:hAnsi="Times New Roman" w:hint="default"/>
                <w:kern w:val="0"/>
                <w:sz w:val="24"/>
                <w:szCs w:val="24"/>
                <w:shd w:val="nil" w:color="auto" w:fill="auto"/>
                <w:rtl w:val="0"/>
                <w:lang w:val="en-US"/>
              </w:rPr>
              <w:t> </w:t>
            </w:r>
          </w:p>
        </w:tc>
        <w:tc>
          <w:tcPr>
            <w:tcW w:type="dxa" w:w="10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r>
              <w:rPr>
                <w:rStyle w:val="None"/>
                <w:rFonts w:ascii="Times New Roman" w:hAnsi="Times New Roman" w:hint="default"/>
                <w:kern w:val="0"/>
                <w:sz w:val="24"/>
                <w:szCs w:val="24"/>
                <w:shd w:val="nil" w:color="auto" w:fill="auto"/>
                <w:rtl w:val="0"/>
                <w:lang w:val="en-US"/>
              </w:rPr>
              <w:t> </w:t>
            </w: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r>
              <w:rPr>
                <w:rStyle w:val="None"/>
                <w:rFonts w:ascii="Times New Roman" w:hAnsi="Times New Roman" w:hint="default"/>
                <w:kern w:val="0"/>
                <w:sz w:val="24"/>
                <w:szCs w:val="24"/>
                <w:shd w:val="nil" w:color="auto" w:fill="auto"/>
                <w:rtl w:val="0"/>
                <w:lang w:val="en-US"/>
              </w:rPr>
              <w:t> </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r>
              <w:rPr>
                <w:rStyle w:val="None"/>
                <w:rFonts w:ascii="Times New Roman" w:hAnsi="Times New Roman" w:hint="default"/>
                <w:kern w:val="0"/>
                <w:sz w:val="24"/>
                <w:szCs w:val="24"/>
                <w:shd w:val="nil" w:color="auto" w:fill="auto"/>
                <w:rtl w:val="0"/>
                <w:lang w:val="en-US"/>
              </w:rPr>
              <w:t> </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p>
        </w:tc>
      </w:tr>
      <w:tr>
        <w:tblPrEx>
          <w:shd w:val="clear" w:color="auto" w:fill="ced7e7"/>
        </w:tblPrEx>
        <w:trPr>
          <w:trHeight w:val="437" w:hRule="atLeast"/>
        </w:trPr>
        <w:tc>
          <w:tcPr>
            <w:tcW w:type="dxa" w:w="6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6"/>
              <w:bottom w:type="dxa" w:w="80"/>
              <w:right w:type="dxa" w:w="80"/>
            </w:tcMar>
            <w:vAlign w:val="top"/>
          </w:tcPr>
          <w:p>
            <w:pPr>
              <w:pStyle w:val="Normal.0"/>
              <w:spacing w:after="0" w:line="360" w:lineRule="auto"/>
              <w:ind w:left="126" w:firstLine="0"/>
            </w:pPr>
            <w:r>
              <w:rPr>
                <w:rStyle w:val="None"/>
                <w:rFonts w:ascii="Times New Roman" w:hAnsi="Times New Roman"/>
                <w:kern w:val="0"/>
                <w:sz w:val="24"/>
                <w:szCs w:val="24"/>
                <w:shd w:val="nil" w:color="auto" w:fill="auto"/>
                <w:rtl w:val="0"/>
                <w:lang w:val="en-US"/>
              </w:rPr>
              <w:t>6</w:t>
            </w:r>
            <w:r>
              <w:rPr>
                <w:rStyle w:val="None"/>
                <w:rFonts w:ascii="Times New Roman" w:hAnsi="Times New Roman" w:hint="default"/>
                <w:kern w:val="0"/>
                <w:sz w:val="24"/>
                <w:szCs w:val="24"/>
                <w:shd w:val="nil" w:color="auto" w:fill="auto"/>
                <w:rtl w:val="0"/>
                <w:lang w:val="en-US"/>
              </w:rPr>
              <w:t> </w:t>
            </w:r>
          </w:p>
        </w:tc>
        <w:tc>
          <w:tcPr>
            <w:tcW w:type="dxa" w:w="15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60</w:t>
            </w:r>
            <w:r>
              <w:rPr>
                <w:rStyle w:val="None"/>
                <w:rFonts w:ascii="Times New Roman" w:hAnsi="Times New Roman" w:hint="default"/>
                <w:kern w:val="0"/>
                <w:sz w:val="24"/>
                <w:szCs w:val="24"/>
                <w:shd w:val="nil" w:color="auto" w:fill="auto"/>
                <w:rtl w:val="0"/>
                <w:lang w:val="en-US"/>
              </w:rPr>
              <w:t> </w:t>
            </w:r>
          </w:p>
        </w:tc>
        <w:tc>
          <w:tcPr>
            <w:tcW w:type="dxa" w:w="10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r>
              <w:rPr>
                <w:rStyle w:val="None"/>
                <w:rFonts w:ascii="Times New Roman" w:hAnsi="Times New Roman" w:hint="default"/>
                <w:kern w:val="0"/>
                <w:sz w:val="24"/>
                <w:szCs w:val="24"/>
                <w:shd w:val="nil" w:color="auto" w:fill="auto"/>
                <w:rtl w:val="0"/>
                <w:lang w:val="en-US"/>
              </w:rPr>
              <w:t> </w:t>
            </w: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r>
              <w:rPr>
                <w:rStyle w:val="None"/>
                <w:rFonts w:ascii="Times New Roman" w:hAnsi="Times New Roman" w:hint="default"/>
                <w:kern w:val="0"/>
                <w:sz w:val="24"/>
                <w:szCs w:val="24"/>
                <w:shd w:val="nil" w:color="auto" w:fill="auto"/>
                <w:rtl w:val="0"/>
                <w:lang w:val="en-US"/>
              </w:rPr>
              <w:t> </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r>
              <w:rPr>
                <w:rStyle w:val="None"/>
                <w:rFonts w:ascii="Times New Roman" w:hAnsi="Times New Roman" w:hint="default"/>
                <w:kern w:val="0"/>
                <w:sz w:val="24"/>
                <w:szCs w:val="24"/>
                <w:shd w:val="nil" w:color="auto" w:fill="auto"/>
                <w:rtl w:val="0"/>
                <w:lang w:val="en-US"/>
              </w:rPr>
              <w:t> </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p>
        </w:tc>
      </w:tr>
    </w:tbl>
    <w:p>
      <w:pPr>
        <w:pStyle w:val="Normal.0"/>
        <w:widowControl w:val="0"/>
        <w:spacing w:after="0" w:line="240" w:lineRule="auto"/>
        <w:ind w:left="388" w:hanging="388"/>
        <w:jc w:val="center"/>
        <w:rPr>
          <w:rStyle w:val="None"/>
          <w:rFonts w:ascii="Times New Roman" w:cs="Times New Roman" w:hAnsi="Times New Roman" w:eastAsia="Times New Roman"/>
          <w:kern w:val="0"/>
          <w:sz w:val="24"/>
          <w:szCs w:val="24"/>
        </w:rPr>
      </w:pPr>
    </w:p>
    <w:p>
      <w:pPr>
        <w:pStyle w:val="Normal.0"/>
        <w:widowControl w:val="0"/>
        <w:spacing w:after="0" w:line="240" w:lineRule="auto"/>
        <w:ind w:left="280" w:hanging="280"/>
        <w:jc w:val="center"/>
        <w:rPr>
          <w:rStyle w:val="None"/>
          <w:rFonts w:ascii="Times New Roman" w:cs="Times New Roman" w:hAnsi="Times New Roman" w:eastAsia="Times New Roman"/>
          <w:kern w:val="0"/>
          <w:sz w:val="24"/>
          <w:szCs w:val="24"/>
        </w:rPr>
      </w:pPr>
    </w:p>
    <w:p>
      <w:pPr>
        <w:pStyle w:val="Normal.0"/>
        <w:spacing w:after="0" w:line="360" w:lineRule="auto"/>
        <w:ind w:right="587"/>
        <w:rPr>
          <w:rStyle w:val="None"/>
          <w:rFonts w:ascii="Times New Roman" w:cs="Times New Roman" w:hAnsi="Times New Roman" w:eastAsia="Times New Roman"/>
          <w:kern w:val="0"/>
          <w:sz w:val="6"/>
          <w:szCs w:val="6"/>
        </w:rPr>
      </w:pP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haemocyte count increased rapidly immediately after the</w:t>
      </w:r>
      <w:r>
        <w:rPr>
          <w:rStyle w:val="Hyperlink.1"/>
          <w:rtl w:val="0"/>
          <w:lang w:val="en-US"/>
        </w:rPr>
        <w:t> </w:t>
      </w:r>
      <w:r>
        <w:rPr>
          <w:rStyle w:val="Hyperlink.1"/>
          <w:rtl w:val="0"/>
          <w:lang w:val="en-US"/>
        </w:rPr>
        <w:t>injection of pathogens and once the bacteria in the haemolymph was brings to</w:t>
      </w:r>
      <w:r>
        <w:rPr>
          <w:rStyle w:val="Hyperlink.1"/>
          <w:rtl w:val="0"/>
          <w:lang w:val="en-US"/>
        </w:rPr>
        <w:t xml:space="preserve">  </w:t>
      </w:r>
      <w:r>
        <w:rPr>
          <w:rStyle w:val="Hyperlink.1"/>
          <w:rtl w:val="0"/>
          <w:lang w:val="en-US"/>
        </w:rPr>
        <w:t>nil, then the count declined.</w:t>
      </w:r>
      <w:r>
        <w:rPr>
          <w:rStyle w:val="Hyperlink.1"/>
          <w:rtl w:val="0"/>
          <w:lang w:val="en-US"/>
        </w:rPr>
        <w:t> </w:t>
      </w:r>
    </w:p>
    <w:p>
      <w:pPr>
        <w:pStyle w:val="Normal.0"/>
        <w:spacing w:after="0" w:line="360" w:lineRule="auto"/>
        <w:ind w:right="114"/>
        <w:jc w:val="center"/>
        <w:rPr>
          <w:rStyle w:val="None"/>
          <w:rFonts w:ascii="Times New Roman" w:cs="Times New Roman" w:hAnsi="Times New Roman" w:eastAsia="Times New Roman"/>
          <w:kern w:val="0"/>
          <w:sz w:val="24"/>
          <w:szCs w:val="24"/>
        </w:rPr>
      </w:pPr>
    </w:p>
    <w:p>
      <w:pPr>
        <w:pStyle w:val="Normal.0"/>
        <w:spacing w:after="0" w:line="360" w:lineRule="auto"/>
        <w:ind w:right="114"/>
        <w:jc w:val="center"/>
        <w:rPr>
          <w:rStyle w:val="None"/>
          <w:rFonts w:ascii="Times New Roman" w:cs="Times New Roman" w:hAnsi="Times New Roman" w:eastAsia="Times New Roman"/>
          <w:kern w:val="0"/>
          <w:sz w:val="24"/>
          <w:szCs w:val="24"/>
        </w:rPr>
      </w:pPr>
    </w:p>
    <w:p>
      <w:pPr>
        <w:pStyle w:val="Normal.0"/>
        <w:spacing w:after="0" w:line="360" w:lineRule="auto"/>
        <w:ind w:right="114"/>
        <w:jc w:val="center"/>
        <w:rPr>
          <w:rStyle w:val="None"/>
          <w:rFonts w:ascii="Times New Roman" w:cs="Times New Roman" w:hAnsi="Times New Roman" w:eastAsia="Times New Roman"/>
          <w:kern w:val="0"/>
          <w:sz w:val="24"/>
          <w:szCs w:val="24"/>
        </w:rPr>
      </w:pPr>
    </w:p>
    <w:p>
      <w:pPr>
        <w:pStyle w:val="Normal.0"/>
        <w:spacing w:after="0" w:line="360" w:lineRule="auto"/>
        <w:ind w:right="114"/>
        <w:jc w:val="center"/>
        <w:rPr>
          <w:rStyle w:val="None"/>
          <w:rFonts w:ascii="Times New Roman" w:cs="Times New Roman" w:hAnsi="Times New Roman" w:eastAsia="Times New Roman"/>
          <w:kern w:val="0"/>
          <w:sz w:val="24"/>
          <w:szCs w:val="24"/>
        </w:rPr>
      </w:pPr>
    </w:p>
    <w:p>
      <w:pPr>
        <w:pStyle w:val="Normal.0"/>
        <w:spacing w:after="0" w:line="360" w:lineRule="auto"/>
        <w:ind w:right="114"/>
        <w:jc w:val="center"/>
        <w:rPr>
          <w:rStyle w:val="None"/>
          <w:rFonts w:ascii="Times New Roman" w:cs="Times New Roman" w:hAnsi="Times New Roman" w:eastAsia="Times New Roman"/>
          <w:kern w:val="0"/>
          <w:sz w:val="24"/>
          <w:szCs w:val="24"/>
        </w:rPr>
      </w:pPr>
    </w:p>
    <w:p>
      <w:pPr>
        <w:pStyle w:val="Normal.0"/>
        <w:spacing w:after="0" w:line="360" w:lineRule="auto"/>
        <w:ind w:right="114"/>
        <w:jc w:val="center"/>
        <w:rPr>
          <w:rStyle w:val="None"/>
          <w:rFonts w:ascii="Times New Roman" w:cs="Times New Roman" w:hAnsi="Times New Roman" w:eastAsia="Times New Roman"/>
          <w:kern w:val="0"/>
          <w:sz w:val="24"/>
          <w:szCs w:val="24"/>
        </w:rPr>
      </w:pPr>
    </w:p>
    <w:p>
      <w:pPr>
        <w:pStyle w:val="Normal.0"/>
        <w:spacing w:after="0" w:line="360" w:lineRule="auto"/>
        <w:ind w:right="114"/>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2. Total Haemocyte count in hemolymph of                                                                 shrimp after the injection of</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pathogens</w:t>
      </w:r>
    </w:p>
    <w:tbl>
      <w:tblPr>
        <w:tblW w:w="945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1215"/>
        <w:gridCol w:w="1298"/>
        <w:gridCol w:w="1721"/>
        <w:gridCol w:w="2517"/>
        <w:gridCol w:w="2012"/>
      </w:tblGrid>
      <w:tr>
        <w:tblPrEx>
          <w:shd w:val="clear" w:color="auto" w:fill="ced7e7"/>
        </w:tblPrEx>
        <w:trPr>
          <w:trHeight w:val="410" w:hRule="atLeast"/>
        </w:trPr>
        <w:tc>
          <w:tcPr>
            <w:tcW w:type="dxa" w:w="687"/>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S.No</w:t>
            </w:r>
          </w:p>
        </w:tc>
        <w:tc>
          <w:tcPr>
            <w:tcW w:type="dxa" w:w="1215"/>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0"/>
              <w:bottom w:type="dxa" w:w="80"/>
              <w:right w:type="dxa" w:w="80"/>
            </w:tcMar>
            <w:vAlign w:val="center"/>
          </w:tcPr>
          <w:p>
            <w:pPr>
              <w:pStyle w:val="Normal.0"/>
              <w:spacing w:after="0" w:line="240" w:lineRule="auto"/>
              <w:ind w:left="120" w:firstLine="0"/>
              <w:jc w:val="center"/>
              <w:rPr>
                <w:rStyle w:val="None"/>
                <w:rFonts w:ascii="Times New Roman" w:cs="Times New Roman" w:hAnsi="Times New Roman" w:eastAsia="Times New Roman"/>
                <w:b w:val="1"/>
                <w:bCs w:val="1"/>
                <w:kern w:val="0"/>
                <w:sz w:val="24"/>
                <w:szCs w:val="24"/>
                <w:shd w:val="nil" w:color="auto" w:fill="auto"/>
              </w:rPr>
            </w:pPr>
            <w:r>
              <w:rPr>
                <w:rStyle w:val="None"/>
                <w:rFonts w:ascii="Times New Roman" w:hAnsi="Times New Roman"/>
                <w:b w:val="1"/>
                <w:bCs w:val="1"/>
                <w:kern w:val="0"/>
                <w:sz w:val="24"/>
                <w:szCs w:val="24"/>
                <w:shd w:val="nil" w:color="auto" w:fill="auto"/>
                <w:rtl w:val="0"/>
                <w:lang w:val="en-US"/>
              </w:rPr>
              <w:t>Time</w:t>
            </w:r>
          </w:p>
          <w:p>
            <w:pPr>
              <w:pStyle w:val="Normal.0"/>
              <w:bidi w:val="0"/>
              <w:spacing w:after="0" w:line="240" w:lineRule="auto"/>
              <w:ind w:left="121" w:right="0" w:firstLine="0"/>
              <w:jc w:val="center"/>
              <w:rPr>
                <w:rStyle w:val="None"/>
                <w:rFonts w:ascii="Times New Roman" w:cs="Times New Roman" w:hAnsi="Times New Roman" w:eastAsia="Times New Roman"/>
                <w:b w:val="1"/>
                <w:bCs w:val="1"/>
                <w:kern w:val="0"/>
                <w:sz w:val="24"/>
                <w:szCs w:val="24"/>
                <w:shd w:val="nil" w:color="auto" w:fill="auto"/>
                <w:rtl w:val="0"/>
              </w:rPr>
            </w:pPr>
            <w:r>
              <w:rPr>
                <w:rStyle w:val="None"/>
                <w:rFonts w:ascii="Times New Roman" w:hAnsi="Times New Roman"/>
                <w:b w:val="1"/>
                <w:bCs w:val="1"/>
                <w:kern w:val="0"/>
                <w:sz w:val="24"/>
                <w:szCs w:val="24"/>
                <w:shd w:val="nil" w:color="auto" w:fill="auto"/>
                <w:rtl w:val="0"/>
                <w:lang w:val="en-US"/>
              </w:rPr>
              <w:t>duration</w:t>
            </w:r>
          </w:p>
          <w:p>
            <w:pPr>
              <w:pStyle w:val="Normal.0"/>
              <w:bidi w:val="0"/>
              <w:spacing w:after="0" w:line="240" w:lineRule="auto"/>
              <w:ind w:left="123" w:right="0" w:firstLine="0"/>
              <w:jc w:val="center"/>
              <w:rPr>
                <w:rtl w:val="0"/>
              </w:rPr>
            </w:pPr>
            <w:r>
              <w:rPr>
                <w:rStyle w:val="None"/>
                <w:rFonts w:ascii="Times New Roman" w:hAnsi="Times New Roman"/>
                <w:b w:val="1"/>
                <w:bCs w:val="1"/>
                <w:kern w:val="0"/>
                <w:sz w:val="24"/>
                <w:szCs w:val="24"/>
                <w:shd w:val="nil" w:color="auto" w:fill="auto"/>
                <w:rtl w:val="0"/>
                <w:lang w:val="en-US"/>
              </w:rPr>
              <w:t>(hrs)</w:t>
            </w:r>
          </w:p>
        </w:tc>
        <w:tc>
          <w:tcPr>
            <w:tcW w:type="dxa" w:w="1298"/>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rPr>
                <w:rStyle w:val="None"/>
                <w:rFonts w:ascii="Times New Roman" w:cs="Times New Roman" w:hAnsi="Times New Roman" w:eastAsia="Times New Roman"/>
                <w:b w:val="1"/>
                <w:bCs w:val="1"/>
                <w:kern w:val="0"/>
                <w:sz w:val="24"/>
                <w:szCs w:val="24"/>
                <w:shd w:val="nil" w:color="auto" w:fill="auto"/>
              </w:rPr>
            </w:pPr>
            <w:r>
              <w:rPr>
                <w:rStyle w:val="None"/>
                <w:rFonts w:ascii="Times New Roman" w:hAnsi="Times New Roman"/>
                <w:b w:val="1"/>
                <w:bCs w:val="1"/>
                <w:kern w:val="0"/>
                <w:sz w:val="24"/>
                <w:szCs w:val="24"/>
                <w:shd w:val="nil" w:color="auto" w:fill="auto"/>
                <w:rtl w:val="0"/>
                <w:lang w:val="en-US"/>
              </w:rPr>
              <w:t>Control</w:t>
            </w:r>
          </w:p>
          <w:p>
            <w:pPr>
              <w:pStyle w:val="Normal.0"/>
              <w:bidi w:val="0"/>
              <w:spacing w:after="0" w:line="240" w:lineRule="auto"/>
              <w:ind w:left="123" w:right="0" w:firstLine="0"/>
              <w:jc w:val="center"/>
              <w:rPr>
                <w:rtl w:val="0"/>
              </w:rPr>
            </w:pPr>
            <w:r>
              <w:rPr>
                <w:rStyle w:val="None"/>
                <w:rFonts w:ascii="Times New Roman" w:hAnsi="Times New Roman"/>
                <w:b w:val="1"/>
                <w:bCs w:val="1"/>
                <w:kern w:val="0"/>
                <w:sz w:val="24"/>
                <w:szCs w:val="24"/>
                <w:shd w:val="nil" w:color="auto" w:fill="auto"/>
                <w:rtl w:val="0"/>
                <w:lang w:val="en-US"/>
              </w:rPr>
              <w:t>(x10</w:t>
            </w:r>
            <w:r>
              <w:rPr>
                <w:rStyle w:val="None"/>
                <w:rFonts w:ascii="Times New Roman" w:hAnsi="Times New Roman"/>
                <w:b w:val="1"/>
                <w:bCs w:val="1"/>
                <w:kern w:val="0"/>
                <w:sz w:val="24"/>
                <w:szCs w:val="24"/>
                <w:shd w:val="nil" w:color="auto" w:fill="auto"/>
                <w:vertAlign w:val="superscript"/>
                <w:rtl w:val="0"/>
                <w:lang w:val="en-US"/>
              </w:rPr>
              <w:t>3</w:t>
            </w:r>
            <w:r>
              <w:rPr>
                <w:rStyle w:val="None"/>
                <w:rFonts w:ascii="Times New Roman" w:hAnsi="Times New Roman"/>
                <w:b w:val="1"/>
                <w:bCs w:val="1"/>
                <w:kern w:val="0"/>
                <w:sz w:val="24"/>
                <w:szCs w:val="24"/>
                <w:shd w:val="nil" w:color="auto" w:fill="auto"/>
                <w:rtl w:val="0"/>
                <w:lang w:val="en-US"/>
              </w:rPr>
              <w:t>/g)</w:t>
            </w:r>
          </w:p>
        </w:tc>
        <w:tc>
          <w:tcPr>
            <w:tcW w:type="dxa" w:w="6250"/>
            <w:gridSpan w:val="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3"/>
              <w:bottom w:type="dxa" w:w="80"/>
              <w:right w:type="dxa" w:w="80"/>
            </w:tcMar>
            <w:vAlign w:val="center"/>
          </w:tcPr>
          <w:p>
            <w:pPr>
              <w:pStyle w:val="Normal.0"/>
              <w:spacing w:after="0" w:line="240" w:lineRule="auto"/>
              <w:ind w:left="113" w:firstLine="0"/>
              <w:jc w:val="center"/>
            </w:pPr>
            <w:r>
              <w:rPr>
                <w:rStyle w:val="None"/>
                <w:rFonts w:ascii="Times New Roman" w:hAnsi="Times New Roman"/>
                <w:b w:val="1"/>
                <w:bCs w:val="1"/>
                <w:kern w:val="0"/>
                <w:sz w:val="24"/>
                <w:szCs w:val="24"/>
                <w:shd w:val="nil" w:color="auto" w:fill="auto"/>
                <w:rtl w:val="0"/>
                <w:lang w:val="en-US"/>
              </w:rPr>
              <w:t>Name of the pathogens</w:t>
            </w:r>
          </w:p>
        </w:tc>
      </w:tr>
      <w:tr>
        <w:tblPrEx>
          <w:shd w:val="clear" w:color="auto" w:fill="ced7e7"/>
        </w:tblPrEx>
        <w:trPr>
          <w:trHeight w:val="630" w:hRule="atLeast"/>
        </w:trPr>
        <w:tc>
          <w:tcPr>
            <w:tcW w:type="dxa" w:w="687"/>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21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298"/>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80"/>
            </w:tcMar>
            <w:vAlign w:val="center"/>
          </w:tcPr>
          <w:p>
            <w:pPr>
              <w:pStyle w:val="Normal.0"/>
              <w:spacing w:after="0" w:line="240" w:lineRule="auto"/>
              <w:ind w:left="115" w:firstLine="0"/>
              <w:jc w:val="center"/>
              <w:rPr>
                <w:rStyle w:val="None"/>
                <w:rFonts w:ascii="Times New Roman" w:cs="Times New Roman" w:hAnsi="Times New Roman" w:eastAsia="Times New Roman"/>
                <w:b w:val="1"/>
                <w:bCs w:val="1"/>
                <w:kern w:val="0"/>
                <w:sz w:val="24"/>
                <w:szCs w:val="24"/>
                <w:shd w:val="nil" w:color="auto" w:fill="auto"/>
              </w:rPr>
            </w:pPr>
            <w:r>
              <w:rPr>
                <w:rStyle w:val="None"/>
                <w:rFonts w:ascii="Times New Roman" w:hAnsi="Times New Roman"/>
                <w:b w:val="1"/>
                <w:bCs w:val="1"/>
                <w:kern w:val="0"/>
                <w:sz w:val="24"/>
                <w:szCs w:val="24"/>
                <w:shd w:val="nil" w:color="auto" w:fill="auto"/>
                <w:rtl w:val="0"/>
                <w:lang w:val="en-US"/>
              </w:rPr>
              <w:t>V.harveyi</w:t>
            </w:r>
          </w:p>
          <w:p>
            <w:pPr>
              <w:pStyle w:val="Normal.0"/>
              <w:bidi w:val="0"/>
              <w:spacing w:after="0" w:line="240" w:lineRule="auto"/>
              <w:ind w:left="123" w:right="0" w:firstLine="0"/>
              <w:jc w:val="center"/>
              <w:rPr>
                <w:rtl w:val="0"/>
              </w:rPr>
            </w:pPr>
            <w:r>
              <w:rPr>
                <w:rStyle w:val="None"/>
                <w:rFonts w:ascii="Times New Roman" w:hAnsi="Times New Roman"/>
                <w:b w:val="1"/>
                <w:bCs w:val="1"/>
                <w:kern w:val="0"/>
                <w:sz w:val="24"/>
                <w:szCs w:val="24"/>
                <w:shd w:val="nil" w:color="auto" w:fill="auto"/>
                <w:rtl w:val="0"/>
                <w:lang w:val="en-US"/>
              </w:rPr>
              <w:t>(x10</w:t>
            </w:r>
            <w:r>
              <w:rPr>
                <w:rStyle w:val="None"/>
                <w:rFonts w:ascii="Times New Roman" w:hAnsi="Times New Roman"/>
                <w:b w:val="1"/>
                <w:bCs w:val="1"/>
                <w:kern w:val="0"/>
                <w:sz w:val="24"/>
                <w:szCs w:val="24"/>
                <w:shd w:val="nil" w:color="auto" w:fill="auto"/>
                <w:vertAlign w:val="superscript"/>
                <w:rtl w:val="0"/>
                <w:lang w:val="en-US"/>
              </w:rPr>
              <w:t>3</w:t>
            </w:r>
            <w:r>
              <w:rPr>
                <w:rStyle w:val="None"/>
                <w:rFonts w:ascii="Times New Roman" w:hAnsi="Times New Roman"/>
                <w:b w:val="1"/>
                <w:bCs w:val="1"/>
                <w:kern w:val="0"/>
                <w:sz w:val="24"/>
                <w:szCs w:val="24"/>
                <w:shd w:val="nil" w:color="auto" w:fill="auto"/>
                <w:rtl w:val="0"/>
                <w:lang w:val="en-US"/>
              </w:rPr>
              <w:t>/g)</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185"/>
            </w:tcMar>
            <w:vAlign w:val="center"/>
          </w:tcPr>
          <w:p>
            <w:pPr>
              <w:pStyle w:val="Normal.0"/>
              <w:spacing w:after="0" w:line="240" w:lineRule="auto"/>
              <w:ind w:left="115" w:right="105" w:hanging="8"/>
              <w:jc w:val="center"/>
            </w:pPr>
            <w:r>
              <w:rPr>
                <w:rStyle w:val="None"/>
                <w:rFonts w:ascii="Times New Roman" w:hAnsi="Times New Roman"/>
                <w:b w:val="1"/>
                <w:bCs w:val="1"/>
                <w:kern w:val="0"/>
                <w:sz w:val="24"/>
                <w:szCs w:val="24"/>
                <w:shd w:val="nil" w:color="auto" w:fill="auto"/>
                <w:rtl w:val="0"/>
                <w:lang w:val="en-US"/>
              </w:rPr>
              <w:t>V.parahaemolyticus (x10</w:t>
            </w:r>
            <w:r>
              <w:rPr>
                <w:rStyle w:val="None"/>
                <w:rFonts w:ascii="Times New Roman" w:hAnsi="Times New Roman"/>
                <w:b w:val="1"/>
                <w:bCs w:val="1"/>
                <w:kern w:val="0"/>
                <w:sz w:val="24"/>
                <w:szCs w:val="24"/>
                <w:shd w:val="nil" w:color="auto" w:fill="auto"/>
                <w:vertAlign w:val="superscript"/>
                <w:rtl w:val="0"/>
                <w:lang w:val="en-US"/>
              </w:rPr>
              <w:t>3</w:t>
            </w:r>
            <w:r>
              <w:rPr>
                <w:rStyle w:val="None"/>
                <w:rFonts w:ascii="Times New Roman" w:hAnsi="Times New Roman"/>
                <w:b w:val="1"/>
                <w:bCs w:val="1"/>
                <w:kern w:val="0"/>
                <w:sz w:val="24"/>
                <w:szCs w:val="24"/>
                <w:shd w:val="nil" w:color="auto" w:fill="auto"/>
                <w:rtl w:val="0"/>
                <w:lang w:val="en-US"/>
              </w:rPr>
              <w:t>/g)</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282"/>
            </w:tcMar>
            <w:vAlign w:val="center"/>
          </w:tcPr>
          <w:p>
            <w:pPr>
              <w:pStyle w:val="Normal.0"/>
              <w:spacing w:after="0" w:line="240" w:lineRule="auto"/>
              <w:ind w:left="115" w:right="202" w:hanging="8"/>
              <w:jc w:val="center"/>
            </w:pPr>
            <w:r>
              <w:rPr>
                <w:rStyle w:val="None"/>
                <w:rFonts w:ascii="Times New Roman" w:hAnsi="Times New Roman"/>
                <w:b w:val="1"/>
                <w:bCs w:val="1"/>
                <w:kern w:val="0"/>
                <w:sz w:val="24"/>
                <w:szCs w:val="24"/>
                <w:shd w:val="nil" w:color="auto" w:fill="auto"/>
                <w:rtl w:val="0"/>
                <w:lang w:val="en-US"/>
              </w:rPr>
              <w:t>Aeromonas (x10</w:t>
            </w:r>
            <w:r>
              <w:rPr>
                <w:rStyle w:val="None"/>
                <w:rFonts w:ascii="Times New Roman" w:hAnsi="Times New Roman"/>
                <w:b w:val="1"/>
                <w:bCs w:val="1"/>
                <w:kern w:val="0"/>
                <w:sz w:val="24"/>
                <w:szCs w:val="24"/>
                <w:shd w:val="nil" w:color="auto" w:fill="auto"/>
                <w:vertAlign w:val="superscript"/>
                <w:rtl w:val="0"/>
                <w:lang w:val="en-US"/>
              </w:rPr>
              <w:t>3</w:t>
            </w:r>
            <w:r>
              <w:rPr>
                <w:rStyle w:val="None"/>
                <w:rFonts w:ascii="Times New Roman" w:hAnsi="Times New Roman"/>
                <w:b w:val="1"/>
                <w:bCs w:val="1"/>
                <w:kern w:val="0"/>
                <w:sz w:val="24"/>
                <w:szCs w:val="24"/>
                <w:shd w:val="nil" w:color="auto" w:fill="auto"/>
                <w:rtl w:val="0"/>
                <w:lang w:val="en-US"/>
              </w:rPr>
              <w:t>/g)</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1</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pPr>
            <w:r>
              <w:rPr>
                <w:rStyle w:val="None"/>
                <w:rFonts w:ascii="Times New Roman" w:hAnsi="Times New Roman"/>
                <w:kern w:val="0"/>
                <w:sz w:val="24"/>
                <w:szCs w:val="24"/>
                <w:shd w:val="nil" w:color="auto" w:fill="auto"/>
                <w:rtl w:val="0"/>
                <w:lang w:val="en-US"/>
              </w:rPr>
              <w:t>0.10</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3.900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0.0056</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3.500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0.0068</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pPr>
            <w:r>
              <w:rPr>
                <w:rStyle w:val="None"/>
                <w:rFonts w:ascii="Times New Roman" w:hAnsi="Times New Roman"/>
                <w:kern w:val="0"/>
                <w:sz w:val="24"/>
                <w:szCs w:val="24"/>
                <w:shd w:val="nil" w:color="auto" w:fill="auto"/>
                <w:rtl w:val="0"/>
                <w:lang w:val="en-US"/>
              </w:rPr>
              <w:t xml:space="preserve">3.500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0.0096</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pPr>
            <w:r>
              <w:rPr>
                <w:rStyle w:val="None"/>
                <w:rFonts w:ascii="Times New Roman" w:hAnsi="Times New Roman"/>
                <w:kern w:val="0"/>
                <w:sz w:val="24"/>
                <w:szCs w:val="24"/>
                <w:shd w:val="nil" w:color="auto" w:fill="auto"/>
                <w:rtl w:val="0"/>
                <w:lang w:val="en-US"/>
              </w:rPr>
              <w:t xml:space="preserve">3.700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0.0088</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pPr>
            <w:r>
              <w:rPr>
                <w:rStyle w:val="None"/>
                <w:rFonts w:ascii="Times New Roman" w:hAnsi="Times New Roman"/>
                <w:kern w:val="0"/>
                <w:sz w:val="24"/>
                <w:szCs w:val="24"/>
                <w:shd w:val="nil" w:color="auto" w:fill="auto"/>
                <w:rtl w:val="0"/>
                <w:lang w:val="en-US"/>
              </w:rPr>
              <w:t>2</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pPr>
            <w:r>
              <w:rPr>
                <w:rStyle w:val="None"/>
                <w:rFonts w:ascii="Times New Roman" w:hAnsi="Times New Roman"/>
                <w:kern w:val="0"/>
                <w:sz w:val="24"/>
                <w:szCs w:val="24"/>
                <w:shd w:val="nil" w:color="auto" w:fill="auto"/>
                <w:rtl w:val="0"/>
                <w:lang w:val="en-US"/>
              </w:rPr>
              <w:t>0.20</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3.280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0.0076</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1.900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0.0076</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pPr>
            <w:r>
              <w:rPr>
                <w:rStyle w:val="None"/>
                <w:rFonts w:ascii="Times New Roman" w:hAnsi="Times New Roman"/>
                <w:kern w:val="0"/>
                <w:sz w:val="24"/>
                <w:szCs w:val="24"/>
                <w:shd w:val="nil" w:color="auto" w:fill="auto"/>
                <w:rtl w:val="0"/>
                <w:lang w:val="en-US"/>
              </w:rPr>
              <w:t xml:space="preserve">2.150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0.0080</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pPr>
            <w:r>
              <w:rPr>
                <w:rStyle w:val="None"/>
                <w:rFonts w:ascii="Times New Roman" w:hAnsi="Times New Roman"/>
                <w:kern w:val="0"/>
                <w:sz w:val="24"/>
                <w:szCs w:val="24"/>
                <w:shd w:val="nil" w:color="auto" w:fill="auto"/>
                <w:rtl w:val="0"/>
                <w:lang w:val="en-US"/>
              </w:rPr>
              <w:t xml:space="preserve">2.010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0.0096</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pPr>
            <w:r>
              <w:rPr>
                <w:rStyle w:val="None"/>
                <w:rFonts w:ascii="Times New Roman" w:hAnsi="Times New Roman"/>
                <w:kern w:val="0"/>
                <w:sz w:val="24"/>
                <w:szCs w:val="24"/>
                <w:shd w:val="nil" w:color="auto" w:fill="auto"/>
                <w:rtl w:val="0"/>
                <w:lang w:val="en-US"/>
              </w:rPr>
              <w:t>3</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pPr>
            <w:r>
              <w:rPr>
                <w:rStyle w:val="None"/>
                <w:rFonts w:ascii="Times New Roman" w:hAnsi="Times New Roman"/>
                <w:kern w:val="0"/>
                <w:sz w:val="24"/>
                <w:szCs w:val="24"/>
                <w:shd w:val="nil" w:color="auto" w:fill="auto"/>
                <w:rtl w:val="0"/>
                <w:lang w:val="en-US"/>
              </w:rPr>
              <w:t>0.30</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2.960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0.0085</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1.700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0.0086</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1.800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0.0075</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1.700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0.0105</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7"/>
              <w:bottom w:type="dxa" w:w="80"/>
              <w:right w:type="dxa" w:w="80"/>
            </w:tcMar>
            <w:vAlign w:val="center"/>
          </w:tcPr>
          <w:p>
            <w:pPr>
              <w:pStyle w:val="Normal.0"/>
              <w:spacing w:after="0" w:line="240" w:lineRule="auto"/>
              <w:ind w:left="117" w:firstLine="0"/>
              <w:jc w:val="center"/>
            </w:pPr>
            <w:r>
              <w:rPr>
                <w:rStyle w:val="None"/>
                <w:rFonts w:ascii="Times New Roman" w:hAnsi="Times New Roman"/>
                <w:kern w:val="0"/>
                <w:sz w:val="24"/>
                <w:szCs w:val="24"/>
                <w:shd w:val="nil" w:color="auto" w:fill="auto"/>
                <w:rtl w:val="0"/>
                <w:lang w:val="en-US"/>
              </w:rPr>
              <w:t>4</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pPr>
            <w:r>
              <w:rPr>
                <w:rStyle w:val="None"/>
                <w:rFonts w:ascii="Times New Roman" w:hAnsi="Times New Roman"/>
                <w:kern w:val="0"/>
                <w:sz w:val="24"/>
                <w:szCs w:val="24"/>
                <w:shd w:val="nil" w:color="auto" w:fill="auto"/>
                <w:rtl w:val="0"/>
                <w:lang w:val="en-US"/>
              </w:rPr>
              <w:t>0.40</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2.800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0.0080</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1.400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0.0099</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1.500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0.0095</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1.550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0.0115</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4"/>
              <w:bottom w:type="dxa" w:w="80"/>
              <w:right w:type="dxa" w:w="80"/>
            </w:tcMar>
            <w:vAlign w:val="center"/>
          </w:tcPr>
          <w:p>
            <w:pPr>
              <w:pStyle w:val="Normal.0"/>
              <w:spacing w:after="0" w:line="240" w:lineRule="auto"/>
              <w:ind w:left="124" w:firstLine="0"/>
              <w:jc w:val="center"/>
            </w:pPr>
            <w:r>
              <w:rPr>
                <w:rStyle w:val="None"/>
                <w:rFonts w:ascii="Times New Roman" w:hAnsi="Times New Roman"/>
                <w:kern w:val="0"/>
                <w:sz w:val="24"/>
                <w:szCs w:val="24"/>
                <w:shd w:val="nil" w:color="auto" w:fill="auto"/>
                <w:rtl w:val="0"/>
                <w:lang w:val="en-US"/>
              </w:rPr>
              <w:t>5</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pPr>
            <w:r>
              <w:rPr>
                <w:rStyle w:val="None"/>
                <w:rFonts w:ascii="Times New Roman" w:hAnsi="Times New Roman"/>
                <w:kern w:val="0"/>
                <w:sz w:val="24"/>
                <w:szCs w:val="24"/>
                <w:shd w:val="nil" w:color="auto" w:fill="auto"/>
                <w:rtl w:val="0"/>
                <w:lang w:val="en-US"/>
              </w:rPr>
              <w:t>0.50</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2.800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81" w:right="0" w:firstLine="0"/>
              <w:jc w:val="center"/>
              <w:rPr>
                <w:rtl w:val="0"/>
              </w:rPr>
            </w:pPr>
            <w:r>
              <w:rPr>
                <w:rStyle w:val="None"/>
                <w:rFonts w:ascii="Times New Roman" w:hAnsi="Times New Roman"/>
                <w:kern w:val="0"/>
                <w:sz w:val="24"/>
                <w:szCs w:val="24"/>
                <w:shd w:val="nil" w:color="auto" w:fill="auto"/>
                <w:rtl w:val="0"/>
                <w:lang w:val="en-US"/>
              </w:rPr>
              <w:t>0.0076</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1.100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0.0110</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1.200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0.0150</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1.300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0.0130</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pPr>
            <w:r>
              <w:rPr>
                <w:rStyle w:val="None"/>
                <w:rFonts w:ascii="Times New Roman" w:hAnsi="Times New Roman"/>
                <w:kern w:val="0"/>
                <w:sz w:val="24"/>
                <w:szCs w:val="24"/>
                <w:shd w:val="nil" w:color="auto" w:fill="auto"/>
                <w:rtl w:val="0"/>
                <w:lang w:val="en-US"/>
              </w:rPr>
              <w:t>6</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1</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2.780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0.0096</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0.960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0.0150</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1.100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0.0166</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1.300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0.0150</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2"/>
              <w:bottom w:type="dxa" w:w="80"/>
              <w:right w:type="dxa" w:w="80"/>
            </w:tcMar>
            <w:vAlign w:val="center"/>
          </w:tcPr>
          <w:p>
            <w:pPr>
              <w:pStyle w:val="Normal.0"/>
              <w:spacing w:after="0" w:line="240" w:lineRule="auto"/>
              <w:ind w:left="122" w:firstLine="0"/>
              <w:jc w:val="center"/>
            </w:pPr>
            <w:r>
              <w:rPr>
                <w:rStyle w:val="None"/>
                <w:rFonts w:ascii="Times New Roman" w:hAnsi="Times New Roman"/>
                <w:kern w:val="0"/>
                <w:sz w:val="24"/>
                <w:szCs w:val="24"/>
                <w:shd w:val="nil" w:color="auto" w:fill="auto"/>
                <w:rtl w:val="0"/>
                <w:lang w:val="en-US"/>
              </w:rPr>
              <w:t>7</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pPr>
            <w:r>
              <w:rPr>
                <w:rStyle w:val="None"/>
                <w:rFonts w:ascii="Times New Roman" w:hAnsi="Times New Roman"/>
                <w:kern w:val="0"/>
                <w:sz w:val="24"/>
                <w:szCs w:val="24"/>
                <w:shd w:val="nil" w:color="auto" w:fill="auto"/>
                <w:rtl w:val="0"/>
                <w:lang w:val="en-US"/>
              </w:rPr>
              <w:t>24</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7"/>
              <w:bottom w:type="dxa" w:w="80"/>
              <w:right w:type="dxa" w:w="80"/>
            </w:tcMar>
            <w:vAlign w:val="center"/>
          </w:tcPr>
          <w:p>
            <w:pPr>
              <w:pStyle w:val="Normal.0"/>
              <w:spacing w:after="0" w:line="240" w:lineRule="auto"/>
              <w:ind w:left="117"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4.460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0.049</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3.670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0.025</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pPr>
            <w:r>
              <w:rPr>
                <w:rStyle w:val="None"/>
                <w:rFonts w:ascii="Times New Roman" w:hAnsi="Times New Roman"/>
                <w:kern w:val="0"/>
                <w:sz w:val="24"/>
                <w:szCs w:val="24"/>
                <w:shd w:val="nil" w:color="auto" w:fill="auto"/>
                <w:rtl w:val="0"/>
                <w:lang w:val="en-US"/>
              </w:rPr>
              <w:t xml:space="preserve">3.760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0.0360</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7"/>
              <w:bottom w:type="dxa" w:w="80"/>
              <w:right w:type="dxa" w:w="80"/>
            </w:tcMar>
            <w:vAlign w:val="center"/>
          </w:tcPr>
          <w:p>
            <w:pPr>
              <w:pStyle w:val="Normal.0"/>
              <w:spacing w:after="0" w:line="240" w:lineRule="auto"/>
              <w:ind w:left="117" w:firstLine="0"/>
              <w:jc w:val="center"/>
            </w:pPr>
            <w:r>
              <w:rPr>
                <w:rStyle w:val="None"/>
                <w:rFonts w:ascii="Times New Roman" w:hAnsi="Times New Roman"/>
                <w:kern w:val="0"/>
                <w:sz w:val="24"/>
                <w:szCs w:val="24"/>
                <w:shd w:val="nil" w:color="auto" w:fill="auto"/>
                <w:rtl w:val="0"/>
                <w:lang w:val="en-US"/>
              </w:rPr>
              <w:t xml:space="preserve">4.055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0.0555</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ind w:left="29"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w:t>
        <w:tab/>
        <w:t>DISCUSSION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The present study demonstrated that shrimp possess an efficient innate immune</w:t>
      </w:r>
      <w:r>
        <w:rPr>
          <w:rStyle w:val="Hyperlink.1"/>
          <w:rtl w:val="0"/>
          <w:lang w:val="en-US"/>
        </w:rPr>
        <w:t xml:space="preserve">  </w:t>
      </w:r>
      <w:r>
        <w:rPr>
          <w:rStyle w:val="Hyperlink.1"/>
          <w:rtl w:val="0"/>
          <w:lang w:val="en-US"/>
        </w:rPr>
        <w:t>defence capable of rapidly eliminating pathogenic bacteria from the haemolymph. The</w:t>
      </w:r>
      <w:r>
        <w:rPr>
          <w:rStyle w:val="Hyperlink.1"/>
          <w:rtl w:val="0"/>
          <w:lang w:val="en-US"/>
        </w:rPr>
        <w:t xml:space="preserve">  </w:t>
      </w:r>
      <w:r>
        <w:rPr>
          <w:rStyle w:val="Hyperlink.1"/>
          <w:rtl w:val="0"/>
          <w:lang w:val="en-US"/>
        </w:rPr>
        <w:t xml:space="preserve">comparative bacterial clearance assay revealed that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 was removed from</w:t>
      </w:r>
      <w:r>
        <w:rPr>
          <w:rStyle w:val="Hyperlink.1"/>
          <w:rtl w:val="0"/>
          <w:lang w:val="en-US"/>
        </w:rPr>
        <w:t xml:space="preserve">  </w:t>
      </w:r>
      <w:r>
        <w:rPr>
          <w:rStyle w:val="Hyperlink.1"/>
          <w:rtl w:val="0"/>
          <w:lang w:val="en-US"/>
        </w:rPr>
        <w:t xml:space="preserve">circulation more rapidly than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Vibrio parahaemolyticus </w:t>
      </w:r>
      <w:r>
        <w:rPr>
          <w:rStyle w:val="Hyperlink.1"/>
          <w:rtl w:val="0"/>
          <w:lang w:val="en-US"/>
        </w:rPr>
        <w:t xml:space="preserve">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 suggesting</w:t>
      </w:r>
      <w:r>
        <w:rPr>
          <w:rStyle w:val="Hyperlink.1"/>
          <w:rtl w:val="0"/>
          <w:lang w:val="en-US"/>
        </w:rPr>
        <w:t>  </w:t>
      </w:r>
      <w:r>
        <w:rPr>
          <w:rStyle w:val="Hyperlink.1"/>
          <w:rtl w:val="0"/>
          <w:lang w:val="en-US"/>
        </w:rPr>
        <w:t>differences in pathogen recognition, virulence characteristics, and susceptibility to host</w:t>
      </w:r>
      <w:r>
        <w:rPr>
          <w:rStyle w:val="Hyperlink.1"/>
          <w:rtl w:val="0"/>
          <w:lang w:val="en-US"/>
        </w:rPr>
        <w:t xml:space="preserve">  </w:t>
      </w:r>
      <w:r>
        <w:rPr>
          <w:rStyle w:val="Hyperlink.1"/>
          <w:rtl w:val="0"/>
          <w:lang w:val="en-US"/>
        </w:rPr>
        <w:t>immune mechanisms. These observations indicate that bacterial clearance efficiency depends</w:t>
      </w:r>
      <w:r>
        <w:rPr>
          <w:rStyle w:val="Hyperlink.1"/>
          <w:rtl w:val="0"/>
          <w:lang w:val="en-US"/>
        </w:rPr>
        <w:t xml:space="preserve">  </w:t>
      </w:r>
      <w:r>
        <w:rPr>
          <w:rStyle w:val="Hyperlink.1"/>
          <w:rtl w:val="0"/>
          <w:lang w:val="en-US"/>
        </w:rPr>
        <w:t>not only on the immune competence of the host but also on the pathogenic potential and</w:t>
      </w:r>
      <w:r>
        <w:rPr>
          <w:rStyle w:val="Hyperlink.1"/>
          <w:rtl w:val="0"/>
          <w:lang w:val="en-US"/>
        </w:rPr>
        <w:t xml:space="preserve">  </w:t>
      </w:r>
      <w:r>
        <w:rPr>
          <w:rStyle w:val="Hyperlink.1"/>
          <w:rtl w:val="0"/>
          <w:lang w:val="en-US"/>
        </w:rPr>
        <w:t>immune-evasion strategies of individual bacterial species.</w:t>
      </w:r>
      <w:r>
        <w:rPr>
          <w:rStyle w:val="Hyperlink.1"/>
          <w:rtl w:val="0"/>
          <w:lang w:val="en-US"/>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Rapid bacterial clearance from the haemolymph is a characteristic feature of</w:t>
      </w:r>
      <w:r>
        <w:rPr>
          <w:rStyle w:val="Hyperlink.1"/>
          <w:rtl w:val="0"/>
          <w:lang w:val="en-US"/>
        </w:rPr>
        <w:t xml:space="preserve">  </w:t>
      </w:r>
      <w:r>
        <w:rPr>
          <w:rStyle w:val="Hyperlink.1"/>
          <w:rtl w:val="0"/>
          <w:lang w:val="en-US"/>
        </w:rPr>
        <w:t>crustacean innate immunity. Haemocytes serve as the primary cellular defence system by</w:t>
      </w:r>
      <w:r>
        <w:rPr>
          <w:rStyle w:val="Hyperlink.1"/>
          <w:rtl w:val="0"/>
          <w:lang w:val="en-US"/>
        </w:rPr>
        <w:t xml:space="preserve">  </w:t>
      </w:r>
      <w:r>
        <w:rPr>
          <w:rStyle w:val="Hyperlink.1"/>
          <w:rtl w:val="0"/>
          <w:lang w:val="en-US"/>
        </w:rPr>
        <w:t>recognizing invading microorganisms through pattern-recognition receptors (PRRs), followed</w:t>
      </w:r>
      <w:r>
        <w:rPr>
          <w:rStyle w:val="Hyperlink.1"/>
          <w:rtl w:val="0"/>
          <w:lang w:val="en-US"/>
        </w:rPr>
        <w:t xml:space="preserve">  </w:t>
      </w:r>
      <w:r>
        <w:rPr>
          <w:rStyle w:val="Hyperlink.1"/>
          <w:rtl w:val="0"/>
          <w:lang w:val="en-US"/>
        </w:rPr>
        <w:t>by phagocytosis, encapsulation, nodule formation, and activation of the prophenoloxidase</w:t>
      </w:r>
      <w:r>
        <w:rPr>
          <w:rStyle w:val="Hyperlink.1"/>
          <w:rtl w:val="0"/>
          <w:lang w:val="en-US"/>
        </w:rPr>
        <w:t xml:space="preserve">  </w:t>
      </w:r>
      <w:r>
        <w:rPr>
          <w:rStyle w:val="Hyperlink.1"/>
          <w:rtl w:val="0"/>
          <w:lang w:val="en-US"/>
        </w:rPr>
        <w:t>(proPO) cascade. The rapid reduction in bacterial counts observed in the present study</w:t>
      </w:r>
      <w:r>
        <w:rPr>
          <w:rStyle w:val="Hyperlink.1"/>
          <w:rtl w:val="0"/>
          <w:lang w:val="en-US"/>
        </w:rPr>
        <w:t xml:space="preserve">  </w:t>
      </w:r>
      <w:r>
        <w:rPr>
          <w:rStyle w:val="Hyperlink.1"/>
          <w:rtl w:val="0"/>
          <w:lang w:val="en-US"/>
        </w:rPr>
        <w:t>confirms that circulating haemocytes effectively remove invading bacteria before systemic</w:t>
      </w:r>
      <w:r>
        <w:rPr>
          <w:rStyle w:val="Hyperlink.1"/>
          <w:rtl w:val="0"/>
          <w:lang w:val="en-US"/>
        </w:rPr>
        <w:t xml:space="preserve">  </w:t>
      </w:r>
      <w:r>
        <w:rPr>
          <w:rStyle w:val="Hyperlink.1"/>
          <w:rtl w:val="0"/>
          <w:lang w:val="en-US"/>
        </w:rPr>
        <w:t>infection becomes established. Similar observations have been reported in penaeid shrimp,</w:t>
      </w:r>
      <w:r>
        <w:rPr>
          <w:rStyle w:val="Hyperlink.1"/>
          <w:rtl w:val="0"/>
          <w:lang w:val="en-US"/>
        </w:rPr>
        <w:t xml:space="preserve">  </w:t>
      </w:r>
      <w:r>
        <w:rPr>
          <w:rStyle w:val="Hyperlink.1"/>
          <w:rtl w:val="0"/>
          <w:lang w:val="en-US"/>
        </w:rPr>
        <w:t>where efficient bacterial clearance was closely associated with increased phagocytic activity</w:t>
      </w:r>
      <w:r>
        <w:rPr>
          <w:rStyle w:val="Hyperlink.1"/>
          <w:rtl w:val="0"/>
          <w:lang w:val="en-US"/>
        </w:rPr>
        <w:t xml:space="preserve">  </w:t>
      </w:r>
      <w:r>
        <w:rPr>
          <w:rStyle w:val="Hyperlink.1"/>
          <w:rtl w:val="0"/>
          <w:lang w:val="en-US"/>
        </w:rPr>
        <w:t>and activation of humoral immune responses (S</w:t>
      </w:r>
      <w:r>
        <w:rPr>
          <w:rStyle w:val="Hyperlink.1"/>
          <w:rtl w:val="0"/>
          <w:lang w:val="en-US"/>
        </w:rPr>
        <w:t>ö</w:t>
      </w:r>
      <w:r>
        <w:rPr>
          <w:rStyle w:val="Hyperlink.1"/>
          <w:rtl w:val="0"/>
          <w:lang w:val="en-US"/>
        </w:rPr>
        <w:t>derh</w:t>
      </w:r>
      <w:r>
        <w:rPr>
          <w:rStyle w:val="Hyperlink.1"/>
          <w:rtl w:val="0"/>
          <w:lang w:val="en-US"/>
        </w:rPr>
        <w:t>ä</w:t>
      </w:r>
      <w:r>
        <w:rPr>
          <w:rStyle w:val="Hyperlink.1"/>
          <w:rtl w:val="0"/>
          <w:lang w:val="en-US"/>
        </w:rPr>
        <w:t>ll&amp; Cerenius, 1998; Cerenius et al.,</w:t>
      </w:r>
      <w:r>
        <w:rPr>
          <w:rStyle w:val="Hyperlink.1"/>
          <w:rtl w:val="0"/>
          <w:lang w:val="en-US"/>
        </w:rPr>
        <w:t xml:space="preserve">  </w:t>
      </w:r>
      <w:r>
        <w:rPr>
          <w:rStyle w:val="Hyperlink.1"/>
          <w:rtl w:val="0"/>
          <w:lang w:val="en-US"/>
        </w:rPr>
        <w:t>2008).</w:t>
      </w:r>
      <w:r>
        <w:rPr>
          <w:rStyle w:val="Hyperlink.1"/>
          <w:rtl w:val="0"/>
          <w:lang w:val="en-US"/>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 xml:space="preserve">Among the pathogens evaluated,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 exhibited the fastest clearance,</w:t>
      </w:r>
      <w:r>
        <w:rPr>
          <w:rStyle w:val="Hyperlink.1"/>
          <w:rtl w:val="0"/>
          <w:lang w:val="en-US"/>
        </w:rPr>
        <w:t xml:space="preserve">  </w:t>
      </w:r>
      <w:r>
        <w:rPr>
          <w:rStyle w:val="Hyperlink.1"/>
          <w:rtl w:val="0"/>
          <w:lang w:val="en-US"/>
        </w:rPr>
        <w:t>becoming undetectable within approximately 30 minutes. This rapid elimination may indicate</w:t>
      </w:r>
      <w:r>
        <w:rPr>
          <w:rStyle w:val="Hyperlink.1"/>
          <w:rtl w:val="0"/>
          <w:lang w:val="en-US"/>
        </w:rPr>
        <w:t xml:space="preserve">  </w:t>
      </w:r>
      <w:r>
        <w:rPr>
          <w:rStyle w:val="Hyperlink.1"/>
          <w:rtl w:val="0"/>
          <w:lang w:val="en-US"/>
        </w:rPr>
        <w:t>lower resistance to haemocyte-mediated phagocytosis or reduced capacity to evade immune</w:t>
      </w:r>
      <w:r>
        <w:rPr>
          <w:rStyle w:val="Hyperlink.1"/>
          <w:rtl w:val="0"/>
          <w:lang w:val="en-US"/>
        </w:rPr>
        <w:t xml:space="preserve">  </w:t>
      </w:r>
      <w:r>
        <w:rPr>
          <w:rStyle w:val="Hyperlink.1"/>
          <w:rtl w:val="0"/>
          <w:lang w:val="en-US"/>
        </w:rPr>
        <w:t xml:space="preserve">surveillance compared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Vibrio </w:t>
      </w:r>
      <w:r>
        <w:rPr>
          <w:rStyle w:val="Hyperlink.1"/>
          <w:rtl w:val="0"/>
          <w:lang w:val="en-US"/>
        </w:rPr>
        <w:t xml:space="preserve">species. In contrast,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Vibrio parahaemolyticus </w:t>
      </w:r>
      <w:r>
        <w:rPr>
          <w:rStyle w:val="Hyperlink.1"/>
          <w:rtl w:val="0"/>
          <w:lang w:val="en-US"/>
        </w:rPr>
        <w:t>and</w:t>
      </w:r>
      <w:r>
        <w:rPr>
          <w:rStyle w:val="Hyperlink.1"/>
          <w:rtl w:val="0"/>
          <w:lang w:val="en-US"/>
        </w:rPr>
        <w:t xml:space="preserve">  </w:t>
      </w:r>
      <w:r>
        <w:rPr>
          <w:rStyle w:val="Hyperlink.1"/>
          <w:rtl w:val="0"/>
          <w:lang w:val="en-US"/>
        </w:rPr>
        <w:t xml:space="preserve">particularly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persisted longer in the haemolymph, suggesting greater virulence</w:t>
      </w:r>
      <w:r>
        <w:rPr>
          <w:rStyle w:val="Hyperlink.1"/>
          <w:rtl w:val="0"/>
          <w:lang w:val="en-US"/>
        </w:rPr>
        <w:t xml:space="preserve">  </w:t>
      </w:r>
      <w:r>
        <w:rPr>
          <w:rStyle w:val="Hyperlink.1"/>
          <w:rtl w:val="0"/>
          <w:lang w:val="en-US"/>
        </w:rPr>
        <w:t xml:space="preserve">and enhanced mechanisms for resisting host immune responses.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 harveyi</w:t>
      </w:r>
      <w:r>
        <w:rPr>
          <w:rStyle w:val="Hyperlink.1"/>
          <w:rtl w:val="0"/>
          <w:lang w:val="en-US"/>
        </w:rPr>
        <w:t>produces several</w:t>
      </w:r>
      <w:r>
        <w:rPr>
          <w:rStyle w:val="Hyperlink.1"/>
          <w:rtl w:val="0"/>
          <w:lang w:val="en-US"/>
        </w:rPr>
        <w:t xml:space="preserve">  </w:t>
      </w:r>
      <w:r>
        <w:rPr>
          <w:rStyle w:val="Hyperlink.1"/>
          <w:rtl w:val="0"/>
          <w:lang w:val="en-US"/>
        </w:rPr>
        <w:t>extracellular virulence factors, including haemolysins, proteases, phospholipases, and</w:t>
      </w:r>
      <w:r>
        <w:rPr>
          <w:rStyle w:val="Hyperlink.1"/>
          <w:rtl w:val="0"/>
          <w:lang w:val="en-US"/>
        </w:rPr>
        <w:t xml:space="preserve">  </w:t>
      </w:r>
      <w:r>
        <w:rPr>
          <w:rStyle w:val="Hyperlink.1"/>
          <w:rtl w:val="0"/>
          <w:lang w:val="en-US"/>
        </w:rPr>
        <w:t>quorum-sensing-regulated toxins, which facilitate survival within the host and interfere with</w:t>
      </w:r>
      <w:r>
        <w:rPr>
          <w:rStyle w:val="Hyperlink.1"/>
          <w:rtl w:val="0"/>
          <w:lang w:val="en-US"/>
        </w:rPr>
        <w:t xml:space="preserve">  </w:t>
      </w:r>
      <w:r>
        <w:rPr>
          <w:rStyle w:val="Hyperlink.1"/>
          <w:rtl w:val="0"/>
          <w:lang w:val="en-US"/>
        </w:rPr>
        <w:t>immune function. These characteristics may explain its slower clearance compared with the</w:t>
      </w:r>
      <w:r>
        <w:rPr>
          <w:rStyle w:val="Hyperlink.1"/>
          <w:rtl w:val="0"/>
          <w:lang w:val="en-US"/>
        </w:rPr>
        <w:t xml:space="preserve">  </w:t>
      </w:r>
      <w:r>
        <w:rPr>
          <w:rStyle w:val="Hyperlink.1"/>
          <w:rtl w:val="0"/>
          <w:lang w:val="en-US"/>
        </w:rPr>
        <w:t>other bacterial species examined.</w:t>
      </w:r>
      <w:r>
        <w:rPr>
          <w:rStyle w:val="Hyperlink.1"/>
          <w:rtl w:val="0"/>
          <w:lang w:val="en-US"/>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Changes in total haemocyte count (THC) further confirmed activation of the shrimp</w:t>
      </w:r>
      <w:r>
        <w:rPr>
          <w:rStyle w:val="Hyperlink.1"/>
          <w:rtl w:val="0"/>
          <w:lang w:val="en-US"/>
        </w:rPr>
        <w:t xml:space="preserve">  </w:t>
      </w:r>
      <w:r>
        <w:rPr>
          <w:rStyle w:val="Hyperlink.1"/>
          <w:rtl w:val="0"/>
          <w:lang w:val="en-US"/>
        </w:rPr>
        <w:t>immune response following bacterial challenge. The initial alteration in haemocyte numbers</w:t>
      </w:r>
      <w:r>
        <w:rPr>
          <w:rStyle w:val="Hyperlink.1"/>
          <w:rtl w:val="0"/>
          <w:lang w:val="en-US"/>
        </w:rPr>
        <w:t xml:space="preserve">  </w:t>
      </w:r>
      <w:r>
        <w:rPr>
          <w:rStyle w:val="Hyperlink.1"/>
          <w:rtl w:val="0"/>
          <w:lang w:val="en-US"/>
        </w:rPr>
        <w:t>after bacterial injection reflects rapid mobilisation of circulating haemocytes toward sites of</w:t>
      </w:r>
      <w:r>
        <w:rPr>
          <w:rStyle w:val="Hyperlink.1"/>
          <w:rtl w:val="0"/>
          <w:lang w:val="en-US"/>
        </w:rPr>
        <w:t xml:space="preserve">  </w:t>
      </w:r>
      <w:r>
        <w:rPr>
          <w:rStyle w:val="Hyperlink.1"/>
          <w:rtl w:val="0"/>
          <w:lang w:val="en-US"/>
        </w:rPr>
        <w:t>infection, where they participate in pathogen recognition and elimination. As bacterial</w:t>
      </w:r>
      <w:r>
        <w:rPr>
          <w:rStyle w:val="Hyperlink.1"/>
          <w:rtl w:val="0"/>
          <w:lang w:val="en-US"/>
        </w:rPr>
        <w:t xml:space="preserve">  </w:t>
      </w:r>
      <w:r>
        <w:rPr>
          <w:rStyle w:val="Hyperlink.1"/>
          <w:rtl w:val="0"/>
          <w:lang w:val="en-US"/>
        </w:rPr>
        <w:t>numbers declined, haemocyte levels gradually returned toward normal, indicating restoration</w:t>
      </w:r>
      <w:r>
        <w:rPr>
          <w:rStyle w:val="Hyperlink.1"/>
          <w:rtl w:val="0"/>
          <w:lang w:val="en-US"/>
        </w:rPr>
        <w:t xml:space="preserve">  </w:t>
      </w:r>
      <w:r>
        <w:rPr>
          <w:rStyle w:val="Hyperlink.1"/>
          <w:rtl w:val="0"/>
          <w:lang w:val="en-US"/>
        </w:rPr>
        <w:t>of immune homeostasis after successful clearance of invading microorganisms. Similar</w:t>
      </w:r>
      <w:r>
        <w:rPr>
          <w:rStyle w:val="Hyperlink.1"/>
          <w:rtl w:val="0"/>
          <w:lang w:val="en-US"/>
        </w:rPr>
        <w:t xml:space="preserve">  </w:t>
      </w:r>
      <w:r>
        <w:rPr>
          <w:rStyle w:val="Hyperlink.1"/>
          <w:rtl w:val="0"/>
          <w:lang w:val="en-US"/>
        </w:rPr>
        <w:t>fluctuations in THC have been reported following bacterial infection, immune stimulation,</w:t>
      </w:r>
      <w:r>
        <w:rPr>
          <w:rStyle w:val="Hyperlink.1"/>
          <w:rtl w:val="0"/>
          <w:lang w:val="en-US"/>
        </w:rPr>
        <w:t xml:space="preserve">  </w:t>
      </w:r>
      <w:r>
        <w:rPr>
          <w:rStyle w:val="Hyperlink.1"/>
          <w:rtl w:val="0"/>
          <w:lang w:val="en-US"/>
        </w:rPr>
        <w:t>and environmental stress in penaeid shrimp and are considered reliable indicators of innate</w:t>
      </w:r>
      <w:r>
        <w:rPr>
          <w:rStyle w:val="Hyperlink.1"/>
          <w:rtl w:val="0"/>
          <w:lang w:val="en-US"/>
        </w:rPr>
        <w:t xml:space="preserve">  </w:t>
      </w:r>
      <w:r>
        <w:rPr>
          <w:rStyle w:val="Hyperlink.1"/>
          <w:rtl w:val="0"/>
          <w:lang w:val="en-US"/>
        </w:rPr>
        <w:t>immune status (Smith et al., 2003; Tassanakajon et al., 2013).</w:t>
      </w:r>
      <w:r>
        <w:rPr>
          <w:rStyle w:val="Hyperlink.1"/>
          <w:rtl w:val="0"/>
          <w:lang w:val="en-US"/>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 xml:space="preserve">The comparatively prolonged persistence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in haemolymph agrees</w:t>
      </w:r>
      <w:r>
        <w:rPr>
          <w:rStyle w:val="Hyperlink.1"/>
          <w:rtl w:val="0"/>
          <w:lang w:val="en-US"/>
        </w:rPr>
        <w:t xml:space="preserve">  </w:t>
      </w:r>
      <w:r>
        <w:rPr>
          <w:rStyle w:val="Hyperlink.1"/>
          <w:rtl w:val="0"/>
          <w:lang w:val="en-US"/>
        </w:rPr>
        <w:t>with previous reports describing this bacterium as one of the most virulent pathogens</w:t>
      </w:r>
      <w:r>
        <w:rPr>
          <w:rStyle w:val="Hyperlink.1"/>
          <w:rtl w:val="0"/>
          <w:lang w:val="en-US"/>
        </w:rPr>
        <w:t xml:space="preserve">  </w:t>
      </w:r>
      <w:r>
        <w:rPr>
          <w:rStyle w:val="Hyperlink.1"/>
          <w:rtl w:val="0"/>
          <w:lang w:val="en-US"/>
        </w:rPr>
        <w:t xml:space="preserve">affecting marine shrimp.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 harveyi</w:t>
      </w:r>
      <w:r>
        <w:rPr>
          <w:rStyle w:val="Hyperlink.1"/>
          <w:rtl w:val="0"/>
          <w:lang w:val="en-US"/>
        </w:rPr>
        <w:t>causes luminous vibriosis and is capable of suppressing</w:t>
      </w:r>
      <w:r>
        <w:rPr>
          <w:rStyle w:val="Hyperlink.1"/>
          <w:rtl w:val="0"/>
          <w:lang w:val="en-US"/>
        </w:rPr>
        <w:t xml:space="preserve">  </w:t>
      </w:r>
      <w:r>
        <w:rPr>
          <w:rStyle w:val="Hyperlink.1"/>
          <w:rtl w:val="0"/>
          <w:lang w:val="en-US"/>
        </w:rPr>
        <w:t>host immunity, inducing tissue damage, and increasing mortality under aquaculture</w:t>
      </w:r>
      <w:r>
        <w:rPr>
          <w:rStyle w:val="Hyperlink.1"/>
          <w:rtl w:val="0"/>
          <w:lang w:val="en-US"/>
        </w:rPr>
        <w:t xml:space="preserve">  </w:t>
      </w:r>
      <w:r>
        <w:rPr>
          <w:rStyle w:val="Hyperlink.1"/>
          <w:rtl w:val="0"/>
          <w:lang w:val="en-US"/>
        </w:rPr>
        <w:t xml:space="preserve">conditions. Likewise,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 parahaemolyticus</w:t>
      </w:r>
      <w:r>
        <w:rPr>
          <w:rStyle w:val="Hyperlink.1"/>
          <w:rtl w:val="0"/>
          <w:lang w:val="en-US"/>
        </w:rPr>
        <w:t>, particularly strains associated with acute</w:t>
      </w:r>
      <w:r>
        <w:rPr>
          <w:rStyle w:val="Hyperlink.1"/>
          <w:rtl w:val="0"/>
          <w:lang w:val="en-US"/>
        </w:rPr>
        <w:t xml:space="preserve">  </w:t>
      </w:r>
      <w:r>
        <w:rPr>
          <w:rStyle w:val="Hyperlink.1"/>
          <w:rtl w:val="0"/>
          <w:lang w:val="en-US"/>
        </w:rPr>
        <w:t>hepatopancreatic necrosis disease (AHPND), possesses potent toxins that contribute to</w:t>
      </w:r>
      <w:r>
        <w:rPr>
          <w:rStyle w:val="Hyperlink.1"/>
          <w:rtl w:val="0"/>
          <w:lang w:val="en-US"/>
        </w:rPr>
        <w:t xml:space="preserve">  </w:t>
      </w:r>
      <w:r>
        <w:rPr>
          <w:rStyle w:val="Hyperlink.1"/>
          <w:rtl w:val="0"/>
          <w:lang w:val="en-US"/>
        </w:rPr>
        <w:t>successful colonization and disease progression. Therefore, differences in clearance rates</w:t>
      </w:r>
      <w:r>
        <w:rPr>
          <w:rStyle w:val="Hyperlink.1"/>
          <w:rtl w:val="0"/>
          <w:lang w:val="en-US"/>
        </w:rPr>
        <w:t> </w:t>
      </w:r>
    </w:p>
    <w:p>
      <w:pPr>
        <w:pStyle w:val="Normal.0"/>
        <w:spacing w:after="0" w:line="360" w:lineRule="auto"/>
        <w:ind w:left="34" w:right="408" w:firstLine="0"/>
        <w:rPr>
          <w:rStyle w:val="None"/>
          <w:rFonts w:ascii="Times New Roman" w:cs="Times New Roman" w:hAnsi="Times New Roman" w:eastAsia="Times New Roman"/>
          <w:kern w:val="0"/>
          <w:sz w:val="24"/>
          <w:szCs w:val="24"/>
        </w:rPr>
      </w:pPr>
      <w:r>
        <w:rPr>
          <w:rStyle w:val="Hyperlink.1"/>
          <w:rtl w:val="0"/>
          <w:lang w:val="en-US"/>
        </w:rPr>
        <w:t>observed in the present investigation likely reflect pathogen-specific virulence rather than</w:t>
      </w:r>
      <w:r>
        <w:rPr>
          <w:rStyle w:val="Hyperlink.1"/>
          <w:rtl w:val="0"/>
          <w:lang w:val="en-US"/>
        </w:rPr>
        <w:t xml:space="preserve">  </w:t>
      </w:r>
      <w:r>
        <w:rPr>
          <w:rStyle w:val="Hyperlink.1"/>
          <w:rtl w:val="0"/>
          <w:lang w:val="en-US"/>
        </w:rPr>
        <w:t>differences in experimental conditions.</w:t>
      </w:r>
      <w:r>
        <w:rPr>
          <w:rStyle w:val="Hyperlink.1"/>
          <w:rtl w:val="0"/>
          <w:lang w:val="en-US"/>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The results obtained in this study emphasize the importance of haemocyte-mediated</w:t>
      </w:r>
      <w:r>
        <w:rPr>
          <w:rStyle w:val="Hyperlink.1"/>
          <w:rtl w:val="0"/>
          <w:lang w:val="en-US"/>
        </w:rPr>
        <w:t xml:space="preserve">  </w:t>
      </w:r>
      <w:r>
        <w:rPr>
          <w:rStyle w:val="Hyperlink.1"/>
          <w:rtl w:val="0"/>
          <w:lang w:val="en-US"/>
        </w:rPr>
        <w:t>defence mechanisms in protecting shrimp against bacterial invasion. Efficient bacterial</w:t>
      </w:r>
      <w:r>
        <w:rPr>
          <w:rStyle w:val="Hyperlink.1"/>
          <w:rtl w:val="0"/>
          <w:lang w:val="en-US"/>
        </w:rPr>
        <w:t xml:space="preserve">  </w:t>
      </w:r>
      <w:r>
        <w:rPr>
          <w:rStyle w:val="Hyperlink.1"/>
          <w:rtl w:val="0"/>
          <w:lang w:val="en-US"/>
        </w:rPr>
        <w:t>clearance reduces the duration of pathogen exposure, limits tissue damage, and improves host</w:t>
      </w:r>
      <w:r>
        <w:rPr>
          <w:rStyle w:val="Hyperlink.1"/>
          <w:rtl w:val="0"/>
          <w:lang w:val="en-US"/>
        </w:rPr>
        <w:t xml:space="preserve">  </w:t>
      </w:r>
      <w:r>
        <w:rPr>
          <w:rStyle w:val="Hyperlink.1"/>
          <w:rtl w:val="0"/>
          <w:lang w:val="en-US"/>
        </w:rPr>
        <w:t>survival. Consequently, bacterial clearance assays together with haemocyte analysis can serve</w:t>
      </w:r>
      <w:r>
        <w:rPr>
          <w:rStyle w:val="Hyperlink.1"/>
          <w:rtl w:val="0"/>
          <w:lang w:val="en-US"/>
        </w:rPr>
        <w:t xml:space="preserve">  </w:t>
      </w:r>
      <w:r>
        <w:rPr>
          <w:rStyle w:val="Hyperlink.1"/>
          <w:rtl w:val="0"/>
          <w:lang w:val="en-US"/>
        </w:rPr>
        <w:t>as valuable indicators for evaluating shrimp health, immune competence, probiotic efficacy,</w:t>
      </w:r>
      <w:r>
        <w:rPr>
          <w:rStyle w:val="Hyperlink.1"/>
          <w:rtl w:val="0"/>
          <w:lang w:val="en-US"/>
        </w:rPr>
        <w:t xml:space="preserve">  </w:t>
      </w:r>
      <w:r>
        <w:rPr>
          <w:rStyle w:val="Hyperlink.1"/>
          <w:rtl w:val="0"/>
          <w:lang w:val="en-US"/>
        </w:rPr>
        <w:t>immunostimulants, vaccines, and disease resistance in aquaculture.</w:t>
      </w:r>
      <w:r>
        <w:rPr>
          <w:rStyle w:val="Hyperlink.1"/>
          <w:rtl w:val="0"/>
          <w:lang w:val="en-US"/>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Overall, the present findings improve our understanding of host</w:t>
      </w:r>
      <w:r>
        <w:rPr>
          <w:rStyle w:val="Hyperlink.1"/>
          <w:rtl w:val="0"/>
          <w:lang w:val="en-US"/>
        </w:rPr>
        <w:t>–</w:t>
      </w:r>
      <w:r>
        <w:rPr>
          <w:rStyle w:val="Hyperlink.1"/>
          <w:rtl w:val="0"/>
          <w:lang w:val="en-US"/>
        </w:rPr>
        <w:t>pathogen interactions</w:t>
      </w:r>
      <w:r>
        <w:rPr>
          <w:rStyle w:val="Hyperlink.1"/>
          <w:rtl w:val="0"/>
          <w:lang w:val="en-US"/>
        </w:rPr>
        <w:t xml:space="preserve">  </w:t>
      </w:r>
      <w:r>
        <w:rPr>
          <w:rStyle w:val="Hyperlink.1"/>
          <w:rtl w:val="0"/>
          <w:lang w:val="en-US"/>
        </w:rPr>
        <w:t>in shrimp and demonstrate that bacterial clearance kinetics differ among pathogenic bacterial</w:t>
      </w:r>
      <w:r>
        <w:rPr>
          <w:rStyle w:val="Hyperlink.1"/>
          <w:rtl w:val="0"/>
          <w:lang w:val="en-US"/>
        </w:rPr>
        <w:t xml:space="preserve">  </w:t>
      </w:r>
      <w:r>
        <w:rPr>
          <w:rStyle w:val="Hyperlink.1"/>
          <w:rtl w:val="0"/>
          <w:lang w:val="en-US"/>
        </w:rPr>
        <w:t>species. Future investigations incorporating phenoloxidase activity, respiratory burst,</w:t>
      </w:r>
      <w:r>
        <w:rPr>
          <w:rStyle w:val="Hyperlink.1"/>
          <w:rtl w:val="0"/>
          <w:lang w:val="en-US"/>
        </w:rPr>
        <w:t xml:space="preserve">  </w:t>
      </w:r>
      <w:r>
        <w:rPr>
          <w:rStyle w:val="Hyperlink.1"/>
          <w:rtl w:val="0"/>
          <w:lang w:val="en-US"/>
        </w:rPr>
        <w:t>expression of immune-related genes, antimicrobial peptides, and histopathological analysis</w:t>
      </w:r>
      <w:r>
        <w:rPr>
          <w:rStyle w:val="Hyperlink.1"/>
          <w:rtl w:val="0"/>
          <w:lang w:val="en-US"/>
        </w:rPr>
        <w:t xml:space="preserve">  </w:t>
      </w:r>
      <w:r>
        <w:rPr>
          <w:rStyle w:val="Hyperlink.1"/>
          <w:rtl w:val="0"/>
          <w:lang w:val="en-US"/>
        </w:rPr>
        <w:t>would provide a more comprehensive understanding of the cellular and molecular</w:t>
      </w:r>
      <w:r>
        <w:rPr>
          <w:rStyle w:val="Hyperlink.1"/>
          <w:rtl w:val="0"/>
          <w:lang w:val="en-US"/>
        </w:rPr>
        <w:t xml:space="preserve">  </w:t>
      </w:r>
      <w:r>
        <w:rPr>
          <w:rStyle w:val="Hyperlink.1"/>
          <w:rtl w:val="0"/>
          <w:lang w:val="en-US"/>
        </w:rPr>
        <w:t>mechanisms governing bacterial clearance in crustaceans.</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The present study demonstrated that shrimp possess an effective innate immune</w:t>
      </w:r>
      <w:r>
        <w:rPr>
          <w:rStyle w:val="Hyperlink.1"/>
          <w:rtl w:val="0"/>
          <w:lang w:val="en-US"/>
        </w:rPr>
        <w:t xml:space="preserve">  </w:t>
      </w:r>
      <w:r>
        <w:rPr>
          <w:rStyle w:val="Hyperlink.1"/>
          <w:rtl w:val="0"/>
          <w:lang w:val="en-US"/>
        </w:rPr>
        <w:t>defence capable of rapidly eliminating pathogenic bacteria from the haemolymph. Among the</w:t>
      </w:r>
      <w:r>
        <w:rPr>
          <w:rStyle w:val="Hyperlink.1"/>
          <w:rtl w:val="0"/>
          <w:lang w:val="en-US"/>
        </w:rPr>
        <w:t xml:space="preserve">  </w:t>
      </w:r>
      <w:r>
        <w:rPr>
          <w:rStyle w:val="Hyperlink.1"/>
          <w:rtl w:val="0"/>
          <w:lang w:val="en-US"/>
        </w:rPr>
        <w:t>bacterial species investigated, Aeromonas</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w:t>
      </w:r>
      <w:r>
        <w:rPr>
          <w:rStyle w:val="Hyperlink.1"/>
          <w:rtl w:val="0"/>
          <w:lang w:val="en-US"/>
        </w:rPr>
        <w:t>sp. exhibited the fastest clearance, followed by</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Vibrio parahaemolyticus </w:t>
      </w:r>
      <w:r>
        <w:rPr>
          <w:rStyle w:val="Hyperlink.1"/>
          <w:rtl w:val="0"/>
          <w:lang w:val="en-US"/>
        </w:rPr>
        <w:t xml:space="preserve">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 indicating differences in pathogen virulence and</w:t>
      </w:r>
      <w:r>
        <w:rPr>
          <w:rStyle w:val="Hyperlink.1"/>
          <w:rtl w:val="0"/>
          <w:lang w:val="en-US"/>
        </w:rPr>
        <w:t xml:space="preserve">  </w:t>
      </w:r>
      <w:r>
        <w:rPr>
          <w:rStyle w:val="Hyperlink.1"/>
          <w:rtl w:val="0"/>
          <w:lang w:val="en-US"/>
        </w:rPr>
        <w:t>susceptibility to haemocyte-mediated immune responses. Alterations in total haemocyte</w:t>
      </w:r>
      <w:r>
        <w:rPr>
          <w:rStyle w:val="Hyperlink.1"/>
          <w:rtl w:val="0"/>
          <w:lang w:val="en-US"/>
        </w:rPr>
        <w:t xml:space="preserve">  </w:t>
      </w:r>
      <w:r>
        <w:rPr>
          <w:rStyle w:val="Hyperlink.1"/>
          <w:rtl w:val="0"/>
          <w:lang w:val="en-US"/>
        </w:rPr>
        <w:t>count following bacterial challenge further confirmed the rapid activation of the shrimp</w:t>
      </w:r>
      <w:r>
        <w:rPr>
          <w:rStyle w:val="Hyperlink.1"/>
          <w:rtl w:val="0"/>
          <w:lang w:val="en-US"/>
        </w:rPr>
        <w:t xml:space="preserve">  </w:t>
      </w:r>
      <w:r>
        <w:rPr>
          <w:rStyle w:val="Hyperlink.1"/>
          <w:rtl w:val="0"/>
          <w:lang w:val="en-US"/>
        </w:rPr>
        <w:t>immune system during bacterial elimination and the subsequent restoration of physiological</w:t>
      </w:r>
      <w:r>
        <w:rPr>
          <w:rStyle w:val="Hyperlink.1"/>
          <w:rtl w:val="0"/>
          <w:lang w:val="en-US"/>
        </w:rPr>
        <w:t xml:space="preserve">  </w:t>
      </w:r>
      <w:r>
        <w:rPr>
          <w:rStyle w:val="Hyperlink.1"/>
          <w:rtl w:val="0"/>
          <w:lang w:val="en-US"/>
        </w:rPr>
        <w:t>homeostasis. These findings emphasize the importance of bacterial clearance and haemocyte</w:t>
      </w:r>
      <w:r>
        <w:rPr>
          <w:rStyle w:val="Hyperlink.1"/>
          <w:rtl w:val="0"/>
          <w:lang w:val="en-US"/>
        </w:rPr>
        <w:t xml:space="preserve">  </w:t>
      </w:r>
      <w:r>
        <w:rPr>
          <w:rStyle w:val="Hyperlink.1"/>
          <w:rtl w:val="0"/>
          <w:lang w:val="en-US"/>
        </w:rPr>
        <w:t>dynamics as reliable indicators of immune competence in shrimp. The study contributes to a</w:t>
      </w:r>
      <w:r>
        <w:rPr>
          <w:rStyle w:val="Hyperlink.1"/>
          <w:rtl w:val="0"/>
          <w:lang w:val="en-US"/>
        </w:rPr>
        <w:t xml:space="preserve">  </w:t>
      </w:r>
      <w:r>
        <w:rPr>
          <w:rStyle w:val="Hyperlink.1"/>
          <w:rtl w:val="0"/>
          <w:lang w:val="en-US"/>
        </w:rPr>
        <w:t>better understanding of host</w:t>
      </w:r>
      <w:r>
        <w:rPr>
          <w:rStyle w:val="Hyperlink.1"/>
          <w:rtl w:val="0"/>
          <w:lang w:val="en-US"/>
        </w:rPr>
        <w:t>–</w:t>
      </w:r>
      <w:r>
        <w:rPr>
          <w:rStyle w:val="Hyperlink.1"/>
          <w:rtl w:val="0"/>
          <w:lang w:val="en-US"/>
        </w:rPr>
        <w:t>pathogen interactions and provides valuable baseline</w:t>
      </w:r>
      <w:r>
        <w:rPr>
          <w:rStyle w:val="Hyperlink.1"/>
          <w:rtl w:val="0"/>
          <w:lang w:val="en-US"/>
        </w:rPr>
        <w:t xml:space="preserve">  </w:t>
      </w:r>
      <w:r>
        <w:rPr>
          <w:rStyle w:val="Hyperlink.1"/>
          <w:rtl w:val="0"/>
          <w:lang w:val="en-US"/>
        </w:rPr>
        <w:t>information for the development of effective disease management strategies,</w:t>
      </w:r>
      <w:r>
        <w:rPr>
          <w:rStyle w:val="Hyperlink.1"/>
          <w:rtl w:val="0"/>
          <w:lang w:val="en-US"/>
        </w:rPr>
        <w:t xml:space="preserve">  </w:t>
      </w:r>
      <w:r>
        <w:rPr>
          <w:rStyle w:val="Hyperlink.1"/>
          <w:rtl w:val="0"/>
          <w:lang w:val="en-US"/>
        </w:rPr>
        <w:t>immunostimulants, probiotics, and health-monitoring programmes in shrimp aquaculture.</w:t>
      </w:r>
      <w:r>
        <w:rPr>
          <w:rStyle w:val="Hyperlink.1"/>
          <w:rtl w:val="0"/>
          <w:lang w:val="en-US"/>
        </w:rPr>
        <w:t xml:space="preserve">  </w:t>
      </w:r>
      <w:r>
        <w:rPr>
          <w:rStyle w:val="Hyperlink.1"/>
          <w:rtl w:val="0"/>
          <w:lang w:val="en-US"/>
        </w:rPr>
        <w:t>Future investigations involving molecular immune markers, phenoloxidase activity,</w:t>
      </w:r>
      <w:r>
        <w:rPr>
          <w:rStyle w:val="Hyperlink.1"/>
          <w:rtl w:val="0"/>
          <w:lang w:val="en-US"/>
        </w:rPr>
        <w:t xml:space="preserve">  </w:t>
      </w:r>
      <w:r>
        <w:rPr>
          <w:rStyle w:val="Hyperlink.1"/>
          <w:rtl w:val="0"/>
          <w:lang w:val="en-US"/>
        </w:rPr>
        <w:t>antimicrobial peptide expression, and histopathological analyses will further clarify the</w:t>
      </w:r>
      <w:r>
        <w:rPr>
          <w:rStyle w:val="Hyperlink.1"/>
          <w:rtl w:val="0"/>
          <w:lang w:val="en-US"/>
        </w:rPr>
        <w:t xml:space="preserve">  </w:t>
      </w:r>
      <w:r>
        <w:rPr>
          <w:rStyle w:val="Hyperlink.1"/>
          <w:rtl w:val="0"/>
          <w:lang w:val="en-US"/>
        </w:rPr>
        <w:t>mechanisms underlying bacterial clearance and disease resistance in cultured shrimp.</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20" w:right="26"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Cerenius, L., Lee, B. L., &amp;S</w:t>
      </w:r>
      <w:r>
        <w:rPr>
          <w:rStyle w:val="None"/>
          <w:rFonts w:ascii="Times New Roman" w:hAnsi="Times New Roman" w:hint="default"/>
          <w:b w:val="1"/>
          <w:bCs w:val="1"/>
          <w:kern w:val="0"/>
          <w:sz w:val="24"/>
          <w:szCs w:val="24"/>
          <w:rtl w:val="0"/>
          <w:lang w:val="en-US"/>
        </w:rPr>
        <w:t>ö</w:t>
      </w:r>
      <w:r>
        <w:rPr>
          <w:rStyle w:val="None"/>
          <w:rFonts w:ascii="Times New Roman" w:hAnsi="Times New Roman"/>
          <w:b w:val="1"/>
          <w:bCs w:val="1"/>
          <w:kern w:val="0"/>
          <w:sz w:val="24"/>
          <w:szCs w:val="24"/>
          <w:rtl w:val="0"/>
          <w:lang w:val="en-US"/>
        </w:rPr>
        <w:t>derh</w:t>
      </w:r>
      <w:r>
        <w:rPr>
          <w:rStyle w:val="None"/>
          <w:rFonts w:ascii="Times New Roman" w:hAnsi="Times New Roman" w:hint="default"/>
          <w:b w:val="1"/>
          <w:bCs w:val="1"/>
          <w:kern w:val="0"/>
          <w:sz w:val="24"/>
          <w:szCs w:val="24"/>
          <w:rtl w:val="0"/>
          <w:lang w:val="en-US"/>
        </w:rPr>
        <w:t>ä</w:t>
      </w:r>
      <w:r>
        <w:rPr>
          <w:rStyle w:val="None"/>
          <w:rFonts w:ascii="Times New Roman" w:hAnsi="Times New Roman"/>
          <w:b w:val="1"/>
          <w:bCs w:val="1"/>
          <w:kern w:val="0"/>
          <w:sz w:val="24"/>
          <w:szCs w:val="24"/>
          <w:rtl w:val="0"/>
          <w:lang w:val="en-US"/>
        </w:rPr>
        <w:t>ll, K.</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2008.</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The prophenoloxidase activating</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system in invertebrate immunity</w:t>
      </w:r>
      <w:r>
        <w:rPr>
          <w:rStyle w:val="Hyperlink.1"/>
          <w:rtl w:val="0"/>
          <w:lang w:val="en-US"/>
        </w:rPr>
        <w:t xml:space="preserve">. </w:t>
      </w:r>
      <w:r>
        <w:rPr>
          <w:rStyle w:val="None"/>
          <w:rFonts w:ascii="Times New Roman" w:hAnsi="Times New Roman"/>
          <w:i w:val="1"/>
          <w:iCs w:val="1"/>
          <w:kern w:val="0"/>
          <w:sz w:val="24"/>
          <w:szCs w:val="24"/>
          <w:rtl w:val="0"/>
          <w:lang w:val="en-US"/>
        </w:rPr>
        <w:t xml:space="preserve">Trends in Immunology,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29</w:t>
      </w:r>
      <w:r>
        <w:rPr>
          <w:rStyle w:val="Hyperlink.1"/>
          <w:rtl w:val="0"/>
          <w:lang w:val="en-US"/>
        </w:rPr>
        <w:t>(6), 263</w:t>
      </w:r>
      <w:r>
        <w:rPr>
          <w:rStyle w:val="Hyperlink.1"/>
          <w:rtl w:val="0"/>
          <w:lang w:val="en-US"/>
        </w:rPr>
        <w:t>–</w:t>
      </w:r>
      <w:r>
        <w:rPr>
          <w:rStyle w:val="Hyperlink.1"/>
          <w:rtl w:val="0"/>
          <w:lang w:val="en-US"/>
        </w:rPr>
        <w:t>271.</w:t>
      </w:r>
      <w:r>
        <w:rPr>
          <w:rStyle w:val="Hyperlink.1"/>
          <w:rtl w:val="0"/>
          <w:lang w:val="en-US"/>
        </w:rPr>
        <w:t xml:space="preserve">  </w:t>
      </w:r>
      <w:r>
        <w:rPr>
          <w:rStyle w:val="Hyperlink.1"/>
          <w:rtl w:val="0"/>
          <w:lang w:val="en-US"/>
        </w:rPr>
        <w:t xml:space="preserve">2. Lightner, D. V. (2011). </w:t>
      </w:r>
      <w:r>
        <w:rPr>
          <w:rStyle w:val="None"/>
          <w:rFonts w:ascii="Times New Roman" w:hAnsi="Times New Roman"/>
          <w:kern w:val="0"/>
          <w:sz w:val="24"/>
          <w:szCs w:val="24"/>
          <w:rtl w:val="0"/>
          <w:lang w:val="en-US"/>
        </w:rPr>
        <w:t>Virus diseases of farmed shrimp in the Western Hemisphere</w:t>
      </w:r>
      <w:r>
        <w:rPr>
          <w:rStyle w:val="None"/>
          <w:rFonts w:ascii="Times New Roman" w:hAnsi="Times New Roman" w:hint="default"/>
          <w:kern w:val="0"/>
          <w:sz w:val="24"/>
          <w:szCs w:val="24"/>
          <w:rtl w:val="0"/>
          <w:lang w:val="en-US"/>
        </w:rPr>
        <w:t xml:space="preserve">  </w:t>
      </w:r>
      <w:r>
        <w:rPr>
          <w:rStyle w:val="None"/>
          <w:rFonts w:ascii="Times New Roman" w:hAnsi="Times New Roman"/>
          <w:kern w:val="0"/>
          <w:sz w:val="24"/>
          <w:szCs w:val="24"/>
          <w:rtl w:val="0"/>
          <w:lang w:val="en-US"/>
        </w:rPr>
        <w:t>(the Americas):</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kern w:val="0"/>
          <w:sz w:val="24"/>
          <w:szCs w:val="24"/>
          <w:rtl w:val="0"/>
          <w:lang w:val="en-US"/>
        </w:rPr>
        <w:t>A review</w:t>
      </w:r>
      <w:r>
        <w:rPr>
          <w:rStyle w:val="None"/>
          <w:rFonts w:ascii="Times New Roman" w:hAnsi="Times New Roman"/>
          <w:kern w:val="0"/>
          <w:sz w:val="24"/>
          <w:szCs w:val="24"/>
          <w:rtl w:val="0"/>
          <w:lang w:val="en-US"/>
        </w:rPr>
        <w:t xml:space="preserve">. </w:t>
      </w:r>
      <w:r>
        <w:rPr>
          <w:rStyle w:val="None"/>
          <w:rFonts w:ascii="Times New Roman" w:hAnsi="Times New Roman"/>
          <w:i w:val="1"/>
          <w:iCs w:val="1"/>
          <w:kern w:val="0"/>
          <w:sz w:val="24"/>
          <w:szCs w:val="24"/>
          <w:rtl w:val="0"/>
          <w:lang w:val="en-US"/>
        </w:rPr>
        <w:t>Journal of Invertebrate Pathology,</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106</w:t>
      </w:r>
      <w:r>
        <w:rPr>
          <w:rStyle w:val="Hyperlink.1"/>
          <w:rtl w:val="0"/>
          <w:lang w:val="en-US"/>
        </w:rPr>
        <w:t>(1), 110</w:t>
      </w:r>
      <w:r>
        <w:rPr>
          <w:rStyle w:val="Hyperlink.1"/>
          <w:rtl w:val="0"/>
          <w:lang w:val="en-US"/>
        </w:rPr>
        <w:t>–</w:t>
      </w:r>
      <w:r>
        <w:rPr>
          <w:rStyle w:val="Hyperlink.1"/>
          <w:rtl w:val="0"/>
          <w:lang w:val="en-US"/>
        </w:rPr>
        <w:t>130.</w:t>
      </w:r>
      <w:r>
        <w:rPr>
          <w:rStyle w:val="Hyperlink.1"/>
          <w:rtl w:val="0"/>
          <w:lang w:val="en-US"/>
        </w:rPr>
        <w:t xml:space="preserve">  </w:t>
      </w:r>
      <w:r>
        <w:rPr>
          <w:rStyle w:val="Hyperlink.1"/>
          <w:rtl w:val="0"/>
          <w:lang w:val="en-US"/>
        </w:rPr>
        <w:t>3. Rodriguez, J., Boulo, V., Mialhe, E., &amp;Bach</w:t>
      </w:r>
      <w:r>
        <w:rPr>
          <w:rStyle w:val="Hyperlink.1"/>
          <w:rtl w:val="0"/>
          <w:lang w:val="en-US"/>
        </w:rPr>
        <w:t>è</w:t>
      </w:r>
      <w:r>
        <w:rPr>
          <w:rStyle w:val="Hyperlink.1"/>
          <w:rtl w:val="0"/>
          <w:lang w:val="en-US"/>
        </w:rPr>
        <w:t>re, E. (1995). Characterization of</w:t>
      </w:r>
      <w:r>
        <w:rPr>
          <w:rStyle w:val="Hyperlink.1"/>
          <w:rtl w:val="0"/>
          <w:lang w:val="en-US"/>
        </w:rPr>
        <w:t xml:space="preserve">  </w:t>
      </w:r>
      <w:r>
        <w:rPr>
          <w:rStyle w:val="Hyperlink.1"/>
          <w:rtl w:val="0"/>
          <w:lang w:val="en-US"/>
        </w:rPr>
        <w:t xml:space="preserve">shrimp haemocytes and haemolymph sampling methodology. </w:t>
      </w:r>
      <w:r>
        <w:rPr>
          <w:rStyle w:val="None"/>
          <w:rFonts w:ascii="Times New Roman" w:hAnsi="Times New Roman"/>
          <w:kern w:val="0"/>
          <w:sz w:val="24"/>
          <w:szCs w:val="24"/>
          <w:rtl w:val="0"/>
          <w:lang w:val="en-US"/>
        </w:rPr>
        <w:t>(Use the exact article</w:t>
      </w:r>
      <w:r>
        <w:rPr>
          <w:rStyle w:val="None"/>
          <w:rFonts w:ascii="Times New Roman" w:hAnsi="Times New Roman" w:hint="default"/>
          <w:kern w:val="0"/>
          <w:sz w:val="24"/>
          <w:szCs w:val="24"/>
          <w:rtl w:val="0"/>
          <w:lang w:val="en-US"/>
        </w:rPr>
        <w:t xml:space="preserve">  </w:t>
      </w:r>
      <w:r>
        <w:rPr>
          <w:rStyle w:val="None"/>
          <w:rFonts w:ascii="Times New Roman" w:hAnsi="Times New Roman"/>
          <w:kern w:val="0"/>
          <w:sz w:val="24"/>
          <w:szCs w:val="24"/>
          <w:rtl w:val="0"/>
          <w:lang w:val="en-US"/>
        </w:rPr>
        <w:t>cited in your laboratory protocol; verify the full bibliographic details in your source</w:t>
      </w:r>
      <w:r>
        <w:rPr>
          <w:rStyle w:val="None"/>
          <w:rFonts w:ascii="Times New Roman" w:hAnsi="Times New Roman" w:hint="default"/>
          <w:kern w:val="0"/>
          <w:sz w:val="24"/>
          <w:szCs w:val="24"/>
          <w:rtl w:val="0"/>
          <w:lang w:val="en-US"/>
        </w:rPr>
        <w:t xml:space="preserve">  </w:t>
      </w:r>
      <w:r>
        <w:rPr>
          <w:rStyle w:val="None"/>
          <w:rFonts w:ascii="Times New Roman" w:hAnsi="Times New Roman"/>
          <w:kern w:val="0"/>
          <w:sz w:val="24"/>
          <w:szCs w:val="24"/>
          <w:rtl w:val="0"/>
          <w:lang w:val="en-US"/>
        </w:rPr>
        <w:t>before submission.)</w:t>
      </w:r>
      <w:r>
        <w:rPr>
          <w:rStyle w:val="None"/>
          <w:rFonts w:ascii="Times New Roman" w:hAnsi="Times New Roman" w:hint="default"/>
          <w:kern w:val="0"/>
          <w:sz w:val="24"/>
          <w:szCs w:val="24"/>
          <w:rtl w:val="0"/>
          <w:lang w:val="en-US"/>
        </w:rPr>
        <w:t> </w:t>
      </w:r>
    </w:p>
    <w:p>
      <w:pPr>
        <w:pStyle w:val="Normal.0"/>
        <w:spacing w:after="0" w:line="360" w:lineRule="auto"/>
        <w:ind w:left="720" w:right="26"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Smith, V. J., Brown, J. H., &amp; Hauton, C.,</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2003.</w:t>
      </w:r>
      <w:r>
        <w:rPr>
          <w:rStyle w:val="None"/>
          <w:rFonts w:ascii="Times New Roman" w:hAnsi="Times New Roman"/>
          <w:kern w:val="0"/>
          <w:sz w:val="24"/>
          <w:szCs w:val="24"/>
          <w:rtl w:val="0"/>
          <w:lang w:val="en-US"/>
        </w:rPr>
        <w:t xml:space="preserve"> </w:t>
      </w:r>
      <w:r>
        <w:rPr>
          <w:rStyle w:val="None"/>
          <w:rFonts w:ascii="Times New Roman" w:hAnsi="Times New Roman"/>
          <w:kern w:val="0"/>
          <w:sz w:val="24"/>
          <w:szCs w:val="24"/>
          <w:rtl w:val="0"/>
          <w:lang w:val="en-US"/>
        </w:rPr>
        <w:t>Immunostimulation in crustaceans: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w:t>
      </w:r>
      <w:r>
        <w:rPr>
          <w:rStyle w:val="None"/>
          <w:rFonts w:ascii="Times New Roman" w:hAnsi="Times New Roman"/>
          <w:kern w:val="0"/>
          <w:sz w:val="24"/>
          <w:szCs w:val="24"/>
          <w:rtl w:val="0"/>
          <w:lang w:val="en-US"/>
        </w:rPr>
        <w:t xml:space="preserve"> Does it really protect against infection? </w:t>
      </w:r>
      <w:r>
        <w:rPr>
          <w:rStyle w:val="None"/>
          <w:rFonts w:ascii="Times New Roman" w:hAnsi="Times New Roman"/>
          <w:i w:val="1"/>
          <w:iCs w:val="1"/>
          <w:kern w:val="0"/>
          <w:sz w:val="24"/>
          <w:szCs w:val="24"/>
          <w:rtl w:val="0"/>
          <w:lang w:val="en-US"/>
        </w:rPr>
        <w:t>Fish &amp; Shellfish Immunology</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15</w:t>
      </w:r>
      <w:r>
        <w:rPr>
          <w:rStyle w:val="Hyperlink.1"/>
          <w:rtl w:val="0"/>
          <w:lang w:val="en-US"/>
        </w:rPr>
        <w:t>(2), 71</w:t>
      </w:r>
      <w:r>
        <w:rPr>
          <w:rStyle w:val="Hyperlink.1"/>
          <w:rtl w:val="0"/>
          <w:lang w:val="en-US"/>
        </w:rPr>
        <w:t xml:space="preserve">– </w:t>
      </w:r>
      <w:r>
        <w:rPr>
          <w:rStyle w:val="Hyperlink.1"/>
          <w:rtl w:val="0"/>
          <w:lang w:val="en-US"/>
        </w:rPr>
        <w:t>90.</w:t>
      </w:r>
      <w:r>
        <w:rPr>
          <w:rStyle w:val="Hyperlink.1"/>
          <w:rtl w:val="0"/>
          <w:lang w:val="en-US"/>
        </w:rPr>
        <w:t>  </w:t>
      </w:r>
    </w:p>
    <w:p>
      <w:pPr>
        <w:pStyle w:val="Normal.0"/>
        <w:spacing w:after="0" w:line="360" w:lineRule="auto"/>
        <w:ind w:left="720" w:right="26"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w:t>
      </w:r>
      <w:r>
        <w:rPr>
          <w:rStyle w:val="None"/>
          <w:rFonts w:ascii="Times New Roman" w:hAnsi="Times New Roman" w:hint="default"/>
          <w:b w:val="1"/>
          <w:bCs w:val="1"/>
          <w:kern w:val="0"/>
          <w:sz w:val="24"/>
          <w:szCs w:val="24"/>
          <w:rtl w:val="0"/>
          <w:lang w:val="en-US"/>
        </w:rPr>
        <w:t>ö</w:t>
      </w:r>
      <w:r>
        <w:rPr>
          <w:rStyle w:val="None"/>
          <w:rFonts w:ascii="Times New Roman" w:hAnsi="Times New Roman"/>
          <w:b w:val="1"/>
          <w:bCs w:val="1"/>
          <w:kern w:val="0"/>
          <w:sz w:val="24"/>
          <w:szCs w:val="24"/>
          <w:rtl w:val="0"/>
          <w:lang w:val="en-US"/>
        </w:rPr>
        <w:t>derh</w:t>
      </w:r>
      <w:r>
        <w:rPr>
          <w:rStyle w:val="None"/>
          <w:rFonts w:ascii="Times New Roman" w:hAnsi="Times New Roman" w:hint="default"/>
          <w:b w:val="1"/>
          <w:bCs w:val="1"/>
          <w:kern w:val="0"/>
          <w:sz w:val="24"/>
          <w:szCs w:val="24"/>
          <w:rtl w:val="0"/>
          <w:lang w:val="en-US"/>
        </w:rPr>
        <w:t>ä</w:t>
      </w:r>
      <w:r>
        <w:rPr>
          <w:rStyle w:val="None"/>
          <w:rFonts w:ascii="Times New Roman" w:hAnsi="Times New Roman"/>
          <w:b w:val="1"/>
          <w:bCs w:val="1"/>
          <w:kern w:val="0"/>
          <w:sz w:val="24"/>
          <w:szCs w:val="24"/>
          <w:rtl w:val="0"/>
          <w:lang w:val="en-US"/>
        </w:rPr>
        <w:t>ll, K., &amp; Cerenius, 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1998</w:t>
      </w:r>
      <w:r>
        <w:rPr>
          <w:rStyle w:val="Hyperlink.1"/>
          <w:rtl w:val="0"/>
          <w:lang w:val="en-US"/>
        </w:rPr>
        <w:t>.</w:t>
      </w:r>
      <w:r>
        <w:rPr>
          <w:rStyle w:val="None"/>
          <w:rFonts w:ascii="Times New Roman" w:hAnsi="Times New Roman"/>
          <w:kern w:val="0"/>
          <w:sz w:val="24"/>
          <w:szCs w:val="24"/>
          <w:rtl w:val="0"/>
          <w:lang w:val="en-US"/>
        </w:rPr>
        <w:t xml:space="preserve"> </w:t>
      </w:r>
      <w:r>
        <w:rPr>
          <w:rStyle w:val="None"/>
          <w:rFonts w:ascii="Times New Roman" w:hAnsi="Times New Roman"/>
          <w:kern w:val="0"/>
          <w:sz w:val="24"/>
          <w:szCs w:val="24"/>
          <w:rtl w:val="0"/>
          <w:lang w:val="en-US"/>
        </w:rPr>
        <w:t>Role of the prophenoloxidase-activating system</w:t>
      </w:r>
      <w:r>
        <w:rPr>
          <w:rStyle w:val="None"/>
          <w:rFonts w:ascii="Times New Roman" w:hAnsi="Times New Roman" w:hint="default"/>
          <w:kern w:val="0"/>
          <w:sz w:val="24"/>
          <w:szCs w:val="24"/>
          <w:rtl w:val="0"/>
          <w:lang w:val="en-US"/>
        </w:rPr>
        <w:t xml:space="preserve">  </w:t>
      </w:r>
      <w:r>
        <w:rPr>
          <w:rStyle w:val="None"/>
          <w:rFonts w:ascii="Times New Roman" w:hAnsi="Times New Roman"/>
          <w:kern w:val="0"/>
          <w:sz w:val="24"/>
          <w:szCs w:val="24"/>
          <w:rtl w:val="0"/>
          <w:lang w:val="en-US"/>
        </w:rPr>
        <w:t>in invertebrate immunity</w:t>
      </w:r>
      <w:r>
        <w:rPr>
          <w:rStyle w:val="None"/>
          <w:rFonts w:ascii="Times New Roman" w:hAnsi="Times New Roman"/>
          <w:kern w:val="0"/>
          <w:sz w:val="24"/>
          <w:szCs w:val="24"/>
          <w:rtl w:val="0"/>
          <w:lang w:val="en-US"/>
        </w:rPr>
        <w:t>.</w:t>
      </w:r>
      <w:r>
        <w:rPr>
          <w:rStyle w:val="Hyperlink.1"/>
          <w:rtl w:val="0"/>
          <w:lang w:val="en-US"/>
        </w:rPr>
        <w:t xml:space="preserve"> </w:t>
      </w:r>
      <w:r>
        <w:rPr>
          <w:rStyle w:val="None"/>
          <w:rFonts w:ascii="Times New Roman" w:hAnsi="Times New Roman"/>
          <w:i w:val="1"/>
          <w:iCs w:val="1"/>
          <w:kern w:val="0"/>
          <w:sz w:val="24"/>
          <w:szCs w:val="24"/>
          <w:rtl w:val="0"/>
          <w:lang w:val="en-US"/>
        </w:rPr>
        <w:t xml:space="preserve">Current Opinion in Immunology, </w:t>
      </w:r>
      <w:r>
        <w:rPr>
          <w:rStyle w:val="None"/>
          <w:rFonts w:ascii="Times New Roman" w:hAnsi="Times New Roman"/>
          <w:kern w:val="0"/>
          <w:sz w:val="24"/>
          <w:szCs w:val="24"/>
          <w:rtl w:val="0"/>
          <w:lang w:val="en-US"/>
        </w:rPr>
        <w:t>10</w:t>
      </w:r>
      <w:r>
        <w:rPr>
          <w:rStyle w:val="None"/>
          <w:rFonts w:ascii="Times New Roman" w:hAnsi="Times New Roman"/>
          <w:kern w:val="0"/>
          <w:sz w:val="24"/>
          <w:szCs w:val="24"/>
          <w:rtl w:val="0"/>
          <w:lang w:val="en-US"/>
        </w:rPr>
        <w:t>(</w:t>
      </w:r>
      <w:r>
        <w:rPr>
          <w:rStyle w:val="Hyperlink.1"/>
          <w:rtl w:val="0"/>
          <w:lang w:val="en-US"/>
        </w:rPr>
        <w:t>1), 23</w:t>
      </w:r>
      <w:r>
        <w:rPr>
          <w:rStyle w:val="Hyperlink.1"/>
          <w:rtl w:val="0"/>
          <w:lang w:val="en-US"/>
        </w:rPr>
        <w:t>–</w:t>
      </w:r>
      <w:r>
        <w:rPr>
          <w:rStyle w:val="Hyperlink.1"/>
          <w:rtl w:val="0"/>
          <w:lang w:val="en-US"/>
        </w:rPr>
        <w:t>28.</w:t>
      </w:r>
      <w:r>
        <w:rPr>
          <w:rStyle w:val="Hyperlink.1"/>
          <w:rtl w:val="0"/>
          <w:lang w:val="en-US"/>
        </w:rPr>
        <w:t> </w:t>
      </w:r>
    </w:p>
    <w:p>
      <w:pPr>
        <w:pStyle w:val="Normal.0"/>
        <w:spacing w:after="0" w:line="360" w:lineRule="auto"/>
        <w:ind w:left="720" w:right="26"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Tassanakajon, A., Somboonwiwat, K., Supungul, P., &amp; Tang, S.</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2013.</w:t>
      </w:r>
      <w:r>
        <w:rPr>
          <w:rStyle w:val="None"/>
          <w:rFonts w:ascii="Times New Roman" w:hAnsi="Times New Roman"/>
          <w:kern w:val="0"/>
          <w:sz w:val="24"/>
          <w:szCs w:val="24"/>
          <w:rtl w:val="0"/>
          <w:lang w:val="en-US"/>
        </w:rPr>
        <w:t xml:space="preserve"> </w:t>
      </w:r>
      <w:r>
        <w:rPr>
          <w:rStyle w:val="None"/>
          <w:rFonts w:ascii="Times New Roman" w:hAnsi="Times New Roman"/>
          <w:kern w:val="0"/>
          <w:sz w:val="24"/>
          <w:szCs w:val="24"/>
          <w:rtl w:val="0"/>
          <w:lang w:val="en-US"/>
        </w:rPr>
        <w:t>Discovery of</w:t>
      </w:r>
      <w:r>
        <w:rPr>
          <w:rStyle w:val="None"/>
          <w:rFonts w:ascii="Times New Roman" w:hAnsi="Times New Roman" w:hint="default"/>
          <w:kern w:val="0"/>
          <w:sz w:val="24"/>
          <w:szCs w:val="24"/>
          <w:rtl w:val="0"/>
          <w:lang w:val="en-US"/>
        </w:rPr>
        <w:t xml:space="preserve">  </w:t>
      </w:r>
      <w:r>
        <w:rPr>
          <w:rStyle w:val="None"/>
          <w:rFonts w:ascii="Times New Roman" w:hAnsi="Times New Roman"/>
          <w:kern w:val="0"/>
          <w:sz w:val="24"/>
          <w:szCs w:val="24"/>
          <w:rtl w:val="0"/>
          <w:lang w:val="en-US"/>
        </w:rPr>
        <w:t>immune molecules and their crucial functions in shrimp immunity</w:t>
      </w:r>
      <w:r>
        <w:rPr>
          <w:rStyle w:val="None"/>
          <w:rFonts w:ascii="Times New Roman" w:hAnsi="Times New Roman"/>
          <w:kern w:val="0"/>
          <w:sz w:val="24"/>
          <w:szCs w:val="24"/>
          <w:rtl w:val="0"/>
          <w:lang w:val="en-US"/>
        </w:rPr>
        <w:t>.</w:t>
      </w:r>
      <w:r>
        <w:rPr>
          <w:rStyle w:val="None"/>
          <w:rFonts w:ascii="Times New Roman" w:hAnsi="Times New Roman"/>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Fish &amp; Shellfish</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Immunology, 34</w:t>
      </w:r>
      <w:r>
        <w:rPr>
          <w:rStyle w:val="Hyperlink.1"/>
          <w:rtl w:val="0"/>
          <w:lang w:val="en-US"/>
        </w:rPr>
        <w:t>(4), 954</w:t>
      </w:r>
      <w:r>
        <w:rPr>
          <w:rStyle w:val="Hyperlink.1"/>
          <w:rtl w:val="0"/>
          <w:lang w:val="en-US"/>
        </w:rPr>
        <w:t>–</w:t>
      </w:r>
      <w:r>
        <w:rPr>
          <w:rStyle w:val="Hyperlink.1"/>
          <w:rtl w:val="0"/>
          <w:lang w:val="en-US"/>
        </w:rPr>
        <w:t>967.</w:t>
      </w:r>
      <w:r>
        <w:rPr>
          <w:rStyle w:val="Hyperlink.1"/>
          <w:rtl w:val="0"/>
          <w:lang w:val="en-US"/>
        </w:rPr>
        <w:t>  </w:t>
      </w:r>
    </w:p>
    <w:p>
      <w:pPr>
        <w:pStyle w:val="Normal.0"/>
        <w:spacing w:after="0" w:line="360" w:lineRule="auto"/>
        <w:ind w:left="720" w:right="26"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Williams, S. T. (Ed.)., 1989</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Bergey's Manual of Systematic Bacteriology</w:t>
      </w:r>
      <w:r>
        <w:rPr>
          <w:rStyle w:val="Hyperlink.1"/>
          <w:rtl w:val="0"/>
          <w:lang w:val="en-US"/>
        </w:rPr>
        <w:t xml:space="preserve">. </w:t>
      </w:r>
      <w:r>
        <w:rPr>
          <w:rStyle w:val="None"/>
          <w:rFonts w:ascii="Times New Roman" w:hAnsi="Times New Roman"/>
          <w:kern w:val="0"/>
          <w:sz w:val="24"/>
          <w:szCs w:val="24"/>
          <w:rtl w:val="0"/>
          <w:lang w:val="en-US"/>
        </w:rPr>
        <w:t>Williams</w:t>
      </w:r>
      <w:r>
        <w:rPr>
          <w:rStyle w:val="None"/>
          <w:rFonts w:ascii="Times New Roman" w:hAnsi="Times New Roman" w:hint="default"/>
          <w:kern w:val="0"/>
          <w:sz w:val="24"/>
          <w:szCs w:val="24"/>
          <w:rtl w:val="0"/>
          <w:lang w:val="en-US"/>
        </w:rPr>
        <w:t xml:space="preserve">  </w:t>
      </w:r>
      <w:r>
        <w:rPr>
          <w:rStyle w:val="None"/>
          <w:rFonts w:ascii="Times New Roman" w:hAnsi="Times New Roman"/>
          <w:kern w:val="0"/>
          <w:sz w:val="24"/>
          <w:szCs w:val="24"/>
          <w:rtl w:val="0"/>
          <w:lang w:val="en-US"/>
        </w:rPr>
        <w:t>&amp; Wilkins.</w:t>
      </w: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PLANT-DERIVED SAPONINS FROM SOYBEAN (</w:t>
      </w:r>
      <w:r>
        <w:rPr>
          <w:rStyle w:val="None"/>
          <w:b w:val="1"/>
          <w:bCs w:val="1"/>
          <w:i w:val="1"/>
          <w:iCs w:val="1"/>
          <w:outline w:val="0"/>
          <w:color w:val="000000"/>
          <w:kern w:val="0"/>
          <w:u w:color="000000"/>
          <w:rtl w:val="0"/>
          <w:lang w:val="en-US"/>
          <w14:textFill>
            <w14:solidFill>
              <w14:srgbClr w14:val="000000"/>
            </w14:solidFill>
          </w14:textFill>
        </w:rPr>
        <w:t>GLYCINE MAX</w:t>
      </w:r>
      <w:r>
        <w:rPr>
          <w:rStyle w:val="None"/>
          <w:b w:val="1"/>
          <w:bCs w:val="1"/>
          <w:outline w:val="0"/>
          <w:color w:val="000000"/>
          <w:kern w:val="0"/>
          <w:u w:color="000000"/>
          <w:rtl w:val="0"/>
          <w:lang w:val="en-US"/>
          <w14:textFill>
            <w14:solidFill>
              <w14:srgbClr w14:val="000000"/>
            </w14:solidFill>
          </w14:textFill>
        </w:rPr>
        <w:t>), FENUGREEK (</w:t>
      </w:r>
      <w:r>
        <w:rPr>
          <w:rStyle w:val="None"/>
          <w:b w:val="1"/>
          <w:bCs w:val="1"/>
          <w:i w:val="1"/>
          <w:iCs w:val="1"/>
          <w:outline w:val="0"/>
          <w:color w:val="000000"/>
          <w:kern w:val="0"/>
          <w:u w:color="000000"/>
          <w:rtl w:val="0"/>
          <w:lang w:val="en-US"/>
          <w14:textFill>
            <w14:solidFill>
              <w14:srgbClr w14:val="000000"/>
            </w14:solidFill>
          </w14:textFill>
        </w:rPr>
        <w:t>TRIGONELLA FOENUM-GRAECUM</w:t>
      </w:r>
      <w:r>
        <w:rPr>
          <w:rStyle w:val="None"/>
          <w:b w:val="1"/>
          <w:bCs w:val="1"/>
          <w:outline w:val="0"/>
          <w:color w:val="000000"/>
          <w:kern w:val="0"/>
          <w:u w:color="000000"/>
          <w:rtl w:val="0"/>
          <w:lang w:val="en-US"/>
          <w14:textFill>
            <w14:solidFill>
              <w14:srgbClr w14:val="000000"/>
            </w14:solidFill>
          </w14:textFill>
        </w:rPr>
        <w:t>), SOAPNUT (</w:t>
      </w:r>
      <w:r>
        <w:rPr>
          <w:rStyle w:val="None"/>
          <w:b w:val="1"/>
          <w:bCs w:val="1"/>
          <w:i w:val="1"/>
          <w:iCs w:val="1"/>
          <w:outline w:val="0"/>
          <w:color w:val="000000"/>
          <w:kern w:val="0"/>
          <w:u w:color="000000"/>
          <w:rtl w:val="0"/>
          <w:lang w:val="en-US"/>
          <w14:textFill>
            <w14:solidFill>
              <w14:srgbClr w14:val="000000"/>
            </w14:solidFill>
          </w14:textFill>
        </w:rPr>
        <w:t>SAPINDUSMUKOROSSI</w:t>
      </w:r>
      <w:r>
        <w:rPr>
          <w:rStyle w:val="None"/>
          <w:b w:val="1"/>
          <w:bCs w:val="1"/>
          <w:outline w:val="0"/>
          <w:color w:val="000000"/>
          <w:kern w:val="0"/>
          <w:u w:color="000000"/>
          <w:rtl w:val="0"/>
          <w:lang w:val="en-US"/>
          <w14:textFill>
            <w14:solidFill>
              <w14:srgbClr w14:val="000000"/>
            </w14:solidFill>
          </w14:textFill>
        </w:rPr>
        <w:t>), AND SHIKAKAI (</w:t>
      </w:r>
      <w:r>
        <w:rPr>
          <w:rStyle w:val="None"/>
          <w:b w:val="1"/>
          <w:bCs w:val="1"/>
          <w:i w:val="1"/>
          <w:iCs w:val="1"/>
          <w:outline w:val="0"/>
          <w:color w:val="000000"/>
          <w:kern w:val="0"/>
          <w:u w:color="000000"/>
          <w:rtl w:val="0"/>
          <w:lang w:val="en-US"/>
          <w14:textFill>
            <w14:solidFill>
              <w14:srgbClr w14:val="000000"/>
            </w14:solidFill>
          </w14:textFill>
        </w:rPr>
        <w:t>ACACIA CONCINNA</w:t>
      </w:r>
      <w:r>
        <w:rPr>
          <w:rStyle w:val="None"/>
          <w:b w:val="1"/>
          <w:bCs w:val="1"/>
          <w:outline w:val="0"/>
          <w:color w:val="000000"/>
          <w:kern w:val="0"/>
          <w:u w:color="000000"/>
          <w:rtl w:val="0"/>
          <w:lang w:val="en-US"/>
          <w14:textFill>
            <w14:solidFill>
              <w14:srgbClr w14:val="000000"/>
            </w14:solidFill>
          </w14:textFill>
        </w:rPr>
        <w:t>): A COMPREHENSIVE REVIEW OF THEIR IMMUNOADJUVANT POTENTIAL AND APPLICATIONS IN IGY PRODUCTION</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Benisha</w:t>
      </w:r>
      <w:r>
        <w:rPr>
          <w:rStyle w:val="None"/>
          <w:rFonts w:ascii="Times New Roman" w:hAnsi="Times New Roman"/>
          <w:i w:val="1"/>
          <w:iCs w:val="1"/>
          <w:kern w:val="0"/>
          <w:sz w:val="24"/>
          <w:szCs w:val="24"/>
          <w:rtl w:val="0"/>
          <w:lang w:val="en-US"/>
        </w:rPr>
        <w:t>,</w:t>
      </w:r>
      <w:r>
        <w:rPr>
          <w:rStyle w:val="None"/>
          <w:rFonts w:ascii="Times New Roman" w:hAnsi="Times New Roman"/>
          <w:i w:val="1"/>
          <w:iCs w:val="1"/>
          <w:kern w:val="0"/>
          <w:sz w:val="24"/>
          <w:szCs w:val="24"/>
          <w:rtl w:val="0"/>
          <w:lang w:val="en-US"/>
        </w:rPr>
        <w:t>R.</w:t>
      </w:r>
      <w:r>
        <w:rPr>
          <w:rStyle w:val="None"/>
          <w:rFonts w:ascii="Times New Roman" w:hAnsi="Times New Roman"/>
          <w:i w:val="1"/>
          <w:iCs w:val="1"/>
          <w:kern w:val="0"/>
          <w:sz w:val="24"/>
          <w:szCs w:val="24"/>
          <w:rtl w:val="0"/>
          <w:lang w:val="en-US"/>
        </w:rPr>
        <w:t xml:space="preserve"> and Kumaran</w:t>
      </w:r>
      <w:r>
        <w:rPr>
          <w:rStyle w:val="None"/>
          <w:rFonts w:ascii="Times New Roman" w:hAnsi="Times New Roman"/>
          <w:i w:val="1"/>
          <w:iCs w:val="1"/>
          <w:kern w:val="0"/>
          <w:sz w:val="24"/>
          <w:szCs w:val="24"/>
          <w:rtl w:val="0"/>
          <w:lang w:val="en-US"/>
        </w:rPr>
        <w:t>,</w:t>
      </w:r>
      <w:r>
        <w:rPr>
          <w:rtl w:val="0"/>
          <w:lang w:val="en-US"/>
        </w:rPr>
        <w:t xml:space="preserve"> </w:t>
      </w:r>
      <w:r>
        <w:rPr>
          <w:rStyle w:val="None"/>
          <w:rFonts w:ascii="Times New Roman" w:hAnsi="Times New Roman"/>
          <w:i w:val="1"/>
          <w:iCs w:val="1"/>
          <w:kern w:val="0"/>
          <w:sz w:val="24"/>
          <w:szCs w:val="24"/>
          <w:rtl w:val="0"/>
          <w:lang w:val="en-US"/>
        </w:rPr>
        <w:t>T.</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hint="default"/>
          <w:i w:val="1"/>
          <w:iCs w:val="1"/>
          <w:kern w:val="0"/>
          <w:sz w:val="24"/>
          <w:szCs w:val="24"/>
          <w:rtl w:val="0"/>
          <w:lang w:val="en-US"/>
        </w:rPr>
        <w:t> </w:t>
      </w:r>
      <w:r>
        <w:rPr>
          <w:rStyle w:val="None"/>
          <w:rFonts w:ascii="Times New Roman" w:hAnsi="Times New Roman"/>
          <w:i w:val="1"/>
          <w:iCs w:val="1"/>
          <w:kern w:val="0"/>
          <w:sz w:val="24"/>
          <w:szCs w:val="24"/>
          <w:rtl w:val="0"/>
          <w:lang w:val="en-US"/>
        </w:rPr>
        <w:t>Research Scholar Reg No 2421309222001, PG and Research Department of Zoology, Muslim Arts College, Thiruvithancode, Kanyakumari -629174, Affiliated to ManonmaniamSundaranar University, Abishekapatti, Tirunelveli627012, Tamilnadu,</w:t>
      </w: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Plant-derived immunoadjuvants have attracted considerable attention as natural alternatives to synthetic adjuvants due to their safety, biodegradability, and immunostimulatory properties. Among these, </w:t>
      </w:r>
      <w:r>
        <w:rPr>
          <w:rStyle w:val="None"/>
          <w:rFonts w:ascii="Times New Roman" w:hAnsi="Times New Roman"/>
          <w:kern w:val="0"/>
          <w:sz w:val="24"/>
          <w:szCs w:val="24"/>
          <w:rtl w:val="0"/>
          <w:lang w:val="en-US"/>
        </w:rPr>
        <w:t>Soybean (</w:t>
      </w:r>
      <w:r>
        <w:rPr>
          <w:rStyle w:val="None"/>
          <w:rFonts w:ascii="Times New Roman" w:hAnsi="Times New Roman"/>
          <w:i w:val="1"/>
          <w:iCs w:val="1"/>
          <w:kern w:val="0"/>
          <w:sz w:val="24"/>
          <w:szCs w:val="24"/>
          <w:rtl w:val="0"/>
          <w:lang w:val="en-US"/>
        </w:rPr>
        <w:t>Glycine max</w:t>
      </w:r>
      <w:r>
        <w:rPr>
          <w:rStyle w:val="None"/>
          <w:rFonts w:ascii="Times New Roman" w:hAnsi="Times New Roman"/>
          <w:kern w:val="0"/>
          <w:sz w:val="24"/>
          <w:szCs w:val="24"/>
          <w:rtl w:val="0"/>
          <w:lang w:val="en-US"/>
        </w:rPr>
        <w:t>), Fenugreek (</w:t>
      </w:r>
      <w:r>
        <w:rPr>
          <w:rStyle w:val="None"/>
          <w:rFonts w:ascii="Times New Roman" w:hAnsi="Times New Roman"/>
          <w:i w:val="1"/>
          <w:iCs w:val="1"/>
          <w:kern w:val="0"/>
          <w:sz w:val="24"/>
          <w:szCs w:val="24"/>
          <w:rtl w:val="0"/>
          <w:lang w:val="en-US"/>
        </w:rPr>
        <w:t>Trigonella foenum-graecum</w:t>
      </w:r>
      <w:r>
        <w:rPr>
          <w:rStyle w:val="None"/>
          <w:rFonts w:ascii="Times New Roman" w:hAnsi="Times New Roman"/>
          <w:kern w:val="0"/>
          <w:sz w:val="24"/>
          <w:szCs w:val="24"/>
          <w:rtl w:val="0"/>
          <w:lang w:val="en-US"/>
        </w:rPr>
        <w:t>), Soapnut (</w:t>
      </w:r>
      <w:r>
        <w:rPr>
          <w:rStyle w:val="None"/>
          <w:rFonts w:ascii="Times New Roman" w:hAnsi="Times New Roman"/>
          <w:i w:val="1"/>
          <w:iCs w:val="1"/>
          <w:kern w:val="0"/>
          <w:sz w:val="24"/>
          <w:szCs w:val="24"/>
          <w:rtl w:val="0"/>
          <w:lang w:val="en-US"/>
        </w:rPr>
        <w:t>Sapindusmukorossi</w:t>
      </w:r>
      <w:r>
        <w:rPr>
          <w:rStyle w:val="None"/>
          <w:rFonts w:ascii="Times New Roman" w:hAnsi="Times New Roman"/>
          <w:kern w:val="0"/>
          <w:sz w:val="24"/>
          <w:szCs w:val="24"/>
          <w:rtl w:val="0"/>
          <w:lang w:val="en-US"/>
        </w:rPr>
        <w:t>), and Shikakai (</w:t>
      </w:r>
      <w:r>
        <w:rPr>
          <w:rStyle w:val="None"/>
          <w:rFonts w:ascii="Times New Roman" w:hAnsi="Times New Roman"/>
          <w:i w:val="1"/>
          <w:iCs w:val="1"/>
          <w:kern w:val="0"/>
          <w:sz w:val="24"/>
          <w:szCs w:val="24"/>
          <w:rtl w:val="0"/>
          <w:lang w:val="en-US"/>
        </w:rPr>
        <w:t>Acacia concinna</w:t>
      </w:r>
      <w:r>
        <w:rPr>
          <w:rStyle w:val="None"/>
          <w:rFonts w:ascii="Times New Roman" w:hAnsi="Times New Roman"/>
          <w:kern w:val="0"/>
          <w:sz w:val="24"/>
          <w:szCs w:val="24"/>
          <w:rtl w:val="0"/>
          <w:lang w:val="en-US"/>
        </w:rPr>
        <w:t>) a</w:t>
      </w:r>
      <w:r>
        <w:rPr>
          <w:rStyle w:val="Hyperlink.1"/>
          <w:rtl w:val="0"/>
          <w:lang w:val="en-US"/>
        </w:rPr>
        <w:t>re rich sources of saponins and other bioactive compounds that possess significant pharmacological activities. These plants exhibit antimicrobial, antioxidant, anti-inflammatory, and immune-enhancing properties that contribute to improved host defense mechanisms. Saponins derived from these plants have been reported to stimulate humoral and cellular immune responses, making them promising candidates as vaccine adjuvants and immunostimulants. Recent studies have demonstrated their potential applications in animal health, aquaculture, and functional food development. This review summarizes the phytochemical composition, pharmacological activities, immunomodulatory properties, and potential applications of these four medicinal plants, highlighting their importance as sustainable natural immunoadjuvants.</w:t>
      </w:r>
    </w:p>
    <w:p>
      <w:pPr>
        <w:pStyle w:val="Normal.0"/>
        <w:spacing w:after="0" w:line="360" w:lineRule="auto"/>
        <w:jc w:val="both"/>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Keywords:</w:t>
      </w:r>
      <w:r>
        <w:rPr>
          <w:rStyle w:val="None"/>
          <w:rFonts w:ascii="Times New Roman" w:hAnsi="Times New Roman"/>
          <w:i w:val="1"/>
          <w:iCs w:val="1"/>
          <w:kern w:val="0"/>
          <w:sz w:val="24"/>
          <w:szCs w:val="24"/>
          <w:rtl w:val="0"/>
          <w:lang w:val="en-US"/>
        </w:rPr>
        <w:t xml:space="preserve"> Soybean, Fenugreek, Soapnut, Shikakai, Saponins, Immunoadjuvant, IgY, Aquaculture.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1. </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increasing demand for environmentally friendly and sustainable disease management strategies has stimulated extensive research on plant-derived immunoadjuvants.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Francis et al. (2002)</w:t>
      </w:r>
      <w:r>
        <w:rPr>
          <w:rStyle w:val="Hyperlink.1"/>
          <w:rtl w:val="0"/>
          <w:lang w:val="en-US"/>
        </w:rPr>
        <w:t xml:space="preserve">, natural saponins obtained from medicinal plants possess strong immunostimulatory activities and have been widely investigated as alternatives to synthetic vaccine adjuvants. Researchers have reported that plant-based immunoadjuvants can enhance both innate and adaptive immune responses while minimizing adverse side effects commonly associated with conventional adjuvants.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Cheeke (2000)</w:t>
      </w:r>
      <w:r>
        <w:rPr>
          <w:rStyle w:val="Hyperlink.1"/>
          <w:rtl w:val="0"/>
          <w:lang w:val="en-US"/>
        </w:rPr>
        <w:t>, saponins are naturally occurring glycosides distributed in numerous plant species and are characterized by their surface-active properties and biological activities. Several studies have observed that saponins stimulate macrophage activation, cytokine production, antibody synthesis, and lymphocyte proliferation, thereby enhancing host immune competence. Consequently, plants rich in saponins have gained considerable importance in pharmaceutical, veterinary, and aquaculture applications.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kern w:val="0"/>
          <w:sz w:val="24"/>
          <w:szCs w:val="24"/>
          <w:rtl w:val="0"/>
          <w:lang w:val="en-US"/>
        </w:rPr>
        <w:t>Among the various medicinal plants, Soybean (</w:t>
      </w:r>
      <w:r>
        <w:rPr>
          <w:rStyle w:val="None"/>
          <w:rFonts w:ascii="Times New Roman" w:hAnsi="Times New Roman"/>
          <w:i w:val="1"/>
          <w:iCs w:val="1"/>
          <w:kern w:val="0"/>
          <w:sz w:val="24"/>
          <w:szCs w:val="24"/>
          <w:rtl w:val="0"/>
          <w:lang w:val="en-US"/>
        </w:rPr>
        <w:t>Glycine max</w:t>
      </w:r>
      <w:r>
        <w:rPr>
          <w:rStyle w:val="None"/>
          <w:rFonts w:ascii="Times New Roman" w:hAnsi="Times New Roman"/>
          <w:kern w:val="0"/>
          <w:sz w:val="24"/>
          <w:szCs w:val="24"/>
          <w:rtl w:val="0"/>
          <w:lang w:val="en-US"/>
        </w:rPr>
        <w:t>), Fenugreek (</w:t>
      </w:r>
      <w:r>
        <w:rPr>
          <w:rStyle w:val="None"/>
          <w:rFonts w:ascii="Times New Roman" w:hAnsi="Times New Roman"/>
          <w:i w:val="1"/>
          <w:iCs w:val="1"/>
          <w:kern w:val="0"/>
          <w:sz w:val="24"/>
          <w:szCs w:val="24"/>
          <w:rtl w:val="0"/>
          <w:lang w:val="en-US"/>
        </w:rPr>
        <w:t>Trigonella foenum-graecum</w:t>
      </w:r>
      <w:r>
        <w:rPr>
          <w:rStyle w:val="None"/>
          <w:rFonts w:ascii="Times New Roman" w:hAnsi="Times New Roman"/>
          <w:kern w:val="0"/>
          <w:sz w:val="24"/>
          <w:szCs w:val="24"/>
          <w:rtl w:val="0"/>
          <w:lang w:val="en-US"/>
        </w:rPr>
        <w:t>), Soapnut (</w:t>
      </w:r>
      <w:r>
        <w:rPr>
          <w:rStyle w:val="None"/>
          <w:rFonts w:ascii="Times New Roman" w:hAnsi="Times New Roman"/>
          <w:i w:val="1"/>
          <w:iCs w:val="1"/>
          <w:kern w:val="0"/>
          <w:sz w:val="24"/>
          <w:szCs w:val="24"/>
          <w:rtl w:val="0"/>
          <w:lang w:val="en-US"/>
        </w:rPr>
        <w:t>Sapindusmukorossi</w:t>
      </w:r>
      <w:r>
        <w:rPr>
          <w:rStyle w:val="None"/>
          <w:rFonts w:ascii="Times New Roman" w:hAnsi="Times New Roman"/>
          <w:kern w:val="0"/>
          <w:sz w:val="24"/>
          <w:szCs w:val="24"/>
          <w:rtl w:val="0"/>
          <w:lang w:val="en-US"/>
        </w:rPr>
        <w:t>), and Shikakai (</w:t>
      </w:r>
      <w:r>
        <w:rPr>
          <w:rStyle w:val="None"/>
          <w:rFonts w:ascii="Times New Roman" w:hAnsi="Times New Roman"/>
          <w:i w:val="1"/>
          <w:iCs w:val="1"/>
          <w:kern w:val="0"/>
          <w:sz w:val="24"/>
          <w:szCs w:val="24"/>
          <w:rtl w:val="0"/>
          <w:lang w:val="en-US"/>
        </w:rPr>
        <w:t>Acacia concinna</w:t>
      </w:r>
      <w:r>
        <w:rPr>
          <w:rStyle w:val="None"/>
          <w:rFonts w:ascii="Times New Roman" w:hAnsi="Times New Roman"/>
          <w:kern w:val="0"/>
          <w:sz w:val="24"/>
          <w:szCs w:val="24"/>
          <w:rtl w:val="0"/>
          <w:lang w:val="en-US"/>
        </w:rPr>
        <w:t>) represen</w:t>
      </w:r>
      <w:r>
        <w:rPr>
          <w:rStyle w:val="Hyperlink.1"/>
          <w:rtl w:val="0"/>
          <w:lang w:val="en-US"/>
        </w:rPr>
        <w:t xml:space="preserve">t valuable natural sources of bioactive saponins and secondary metabolites.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Price et al. (1987)</w:t>
      </w:r>
      <w:r>
        <w:rPr>
          <w:rStyle w:val="Hyperlink.1"/>
          <w:rtl w:val="0"/>
          <w:lang w:val="en-US"/>
        </w:rPr>
        <w:t>, these plants contain diverse phytochemicals including triterpenoid saponins, flavonoids, phenolic compounds, alkaloids, and tannins, which contribute to their pharmacological activities. Researchers have reported that these compounds possess antimicrobial, antioxidant, anti-inflammatory, and immunomodulatory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Recent investigations have demonstrated that plant-derived saponins can function as effective vaccine adjuvants by enhancing antigen presentation and stimulating antibody production.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Sun et al. (2009)</w:t>
      </w:r>
      <w:r>
        <w:rPr>
          <w:rStyle w:val="Hyperlink.1"/>
          <w:rtl w:val="0"/>
          <w:lang w:val="en-US"/>
        </w:rPr>
        <w:t>, saponin-based adjuvants significantly improve humoral immune responses and increase antigen-specific antibody titers. Such properties are particularly important for the production of chicken egg yolk antibodies (IgY), where enhanced immune stimulation can result in improved antibody yield and efficacy. In aquaculture, disease outbreaks caused by bacterial pathogens continue to pose serious challenges to sustainable production. Researchers have reported that natural immunoadjuvants can enhance disease resistance, improve immune status, and reduce dependence on antibiotics. Therefore, the exploration of medicinal plants rich in saponins offers promising opportunities for developing eco-friendly immunostimulatory agents for animal health and aquaculture applications.</w:t>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sz w:val="24"/>
          <w:szCs w:val="24"/>
        </w:rPr>
        <w:drawing xmlns:a="http://schemas.openxmlformats.org/drawingml/2006/main">
          <wp:anchor distT="0" distB="0" distL="0" distR="0" simplePos="0" relativeHeight="251661312" behindDoc="0" locked="0" layoutInCell="1" allowOverlap="1">
            <wp:simplePos x="0" y="0"/>
            <wp:positionH relativeFrom="column">
              <wp:posOffset>1485900</wp:posOffset>
            </wp:positionH>
            <wp:positionV relativeFrom="line">
              <wp:posOffset>19050</wp:posOffset>
            </wp:positionV>
            <wp:extent cx="2800350" cy="4972050"/>
            <wp:effectExtent l="0" t="0" r="0" b="0"/>
            <wp:wrapNone/>
            <wp:docPr id="1073741856" name="officeArt object" descr="image.png"/>
            <wp:cNvGraphicFramePr/>
            <a:graphic xmlns:a="http://schemas.openxmlformats.org/drawingml/2006/main">
              <a:graphicData uri="http://schemas.openxmlformats.org/drawingml/2006/picture">
                <pic:pic xmlns:pic="http://schemas.openxmlformats.org/drawingml/2006/picture">
                  <pic:nvPicPr>
                    <pic:cNvPr id="1073741856" name="image.png" descr="image.png"/>
                    <pic:cNvPicPr>
                      <a:picLocks noChangeAspect="1"/>
                    </pic:cNvPicPr>
                  </pic:nvPicPr>
                  <pic:blipFill>
                    <a:blip r:embed="rId35">
                      <a:extLst/>
                    </a:blip>
                    <a:srcRect l="7470" t="0" r="8045" b="0"/>
                    <a:stretch>
                      <a:fillRect/>
                    </a:stretch>
                  </pic:blipFill>
                  <pic:spPr>
                    <a:xfrm>
                      <a:off x="0" y="0"/>
                      <a:ext cx="2800350" cy="4972050"/>
                    </a:xfrm>
                    <a:prstGeom prst="rect">
                      <a:avLst/>
                    </a:prstGeom>
                    <a:ln w="12700" cap="flat">
                      <a:noFill/>
                      <a:miter lim="400000"/>
                    </a:ln>
                    <a:effectLst/>
                  </pic:spPr>
                </pic:pic>
              </a:graphicData>
            </a:graphic>
          </wp:anchor>
        </w:drawing>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MECHANISM</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Soybean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Glycine max</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Botanical Description</w:t>
      </w:r>
    </w:p>
    <w:p>
      <w:pPr>
        <w:pStyle w:val="Normal.0"/>
        <w:spacing w:after="0" w:line="360" w:lineRule="auto"/>
        <w:ind w:firstLine="720"/>
        <w:jc w:val="both"/>
        <w:rPr>
          <w:rStyle w:val="Hyperlink.1"/>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Soybean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Glycine max</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L. Merr.)</w:t>
      </w:r>
      <w:r>
        <w:rPr>
          <w:rStyle w:val="Hyperlink.1"/>
          <w:rtl w:val="0"/>
          <w:lang w:val="en-US"/>
        </w:rPr>
        <w:t xml:space="preserve"> belongs to the family Fabaceae and is one of the most extensively cultivated leguminous crops worldwide.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Hartman et al. (2011)</w:t>
      </w:r>
      <w:r>
        <w:rPr>
          <w:rStyle w:val="Hyperlink.1"/>
          <w:rtl w:val="0"/>
          <w:lang w:val="en-US"/>
        </w:rPr>
        <w:t>, soybean originated in East Asia and is presently cultivated in numerous countries due to its high nutritional and economic value. The plant is an annual herb characterized by trifoliate leaves, erect stems, and protein-rich seeds.</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2.2</w:t>
        <w:tab/>
        <w:t>Phytochemical Composition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Researchers have reported that soybean seeds contain abundant proteins, lipids, carbohydrates, vitamins, minerals, and bioactive phytochemicals.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Kumar et al. (2010)</w:t>
      </w:r>
      <w:r>
        <w:rPr>
          <w:rStyle w:val="Hyperlink.1"/>
          <w:rtl w:val="0"/>
          <w:lang w:val="en-US"/>
        </w:rPr>
        <w:t>, soybean is particularly rich in isoflavones, phenolic compounds, phytosterols, and triterpenoid saponins. These compounds contribute significantly to its biological and pharmacological activities.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2.3</w:t>
        <w:tab/>
        <w:t>Saponins and Immunomodulatory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Guang et al. (2014)</w:t>
      </w:r>
      <w:r>
        <w:rPr>
          <w:rStyle w:val="Hyperlink.1"/>
          <w:rtl w:val="0"/>
          <w:lang w:val="en-US"/>
        </w:rPr>
        <w:t>, soybean contains group A and group B soyasaponins, which exhibit potent immunostimulatory activities. Studies have demonstrated that soybean saponins enhance macrophage activation, increase cytokine secretion, and stimulate antibody production. Researchers observed that dietary supplementation with soybean saponins significantly improved immune responses in experimental animals.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2.4</w:t>
        <w:tab/>
        <w:t>Antimicrobial Activity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Several studies have reported that soybean extracts possess antibacterial and antifungal activities against a wide range of pathogenic microorganisms.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Wang et al. (2008)</w:t>
      </w:r>
      <w:r>
        <w:rPr>
          <w:rStyle w:val="Hyperlink.1"/>
          <w:rtl w:val="0"/>
          <w:lang w:val="en-US"/>
        </w:rPr>
        <w:t>, soybean-derived bioactive compounds inhibit microbial growth by disrupting cell membranes and interfering with essential metabolic pathways. These antimicrobial properties make soybean a promising candidate for disease control applications.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2.5</w:t>
        <w:tab/>
        <w:t>Antioxidant Activity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Messina (2016)</w:t>
      </w:r>
      <w:r>
        <w:rPr>
          <w:rStyle w:val="Hyperlink.1"/>
          <w:rtl w:val="0"/>
          <w:lang w:val="en-US"/>
        </w:rPr>
        <w:t>, soybean is an excellent source of antioxidant compounds including isoflavones and phenolic acids. Researchers observed that these compounds effectively scavenge free radicals, reduce oxidative stress, and protect biological tissues from oxidative damage. Such antioxidant activities contribute to improved health and disease resistance.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2.6</w:t>
        <w:tab/>
        <w:t>Potential as an Immunoadjuvant</w:t>
      </w:r>
    </w:p>
    <w:p>
      <w:pPr>
        <w:pStyle w:val="Normal.0"/>
        <w:spacing w:after="0" w:line="360" w:lineRule="auto"/>
        <w:ind w:firstLine="720"/>
        <w:jc w:val="both"/>
        <w:rPr>
          <w:rStyle w:val="Hyperlink.1"/>
        </w:rPr>
      </w:pPr>
      <w:r>
        <w:rPr>
          <w:rStyle w:val="Hyperlink.1"/>
          <w:rtl w:val="0"/>
          <w:lang w:val="en-US"/>
        </w:rPr>
        <w:t xml:space="preserve">Recent investigations have demonstrated that soybean saponins can function as effective natural adjuvants.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Sun et al. (2009)</w:t>
      </w:r>
      <w:r>
        <w:rPr>
          <w:rStyle w:val="Hyperlink.1"/>
          <w:rtl w:val="0"/>
          <w:lang w:val="en-US"/>
        </w:rPr>
        <w:t>, soybean-derived saponins enhance antigen-specific antibody responses and improve vaccine efficacy. Consequently, soybean has attracted considerable attention as a sustainable source of immunoadjuvants for veterinary and aquaculture applications.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 xml:space="preserve">3. </w:t>
        <w:tab/>
        <w:t>FENUGREEK (</w:t>
      </w:r>
      <w:r>
        <w:rPr>
          <w:rStyle w:val="None"/>
          <w:rFonts w:ascii="Times New Roman" w:hAnsi="Times New Roman"/>
          <w:b w:val="1"/>
          <w:bCs w:val="1"/>
          <w:i w:val="1"/>
          <w:iCs w:val="1"/>
          <w:outline w:val="0"/>
          <w:color w:val="000000"/>
          <w:kern w:val="36"/>
          <w:sz w:val="24"/>
          <w:szCs w:val="24"/>
          <w:u w:color="000000"/>
          <w:rtl w:val="0"/>
          <w:lang w:val="en-US"/>
          <w14:textFill>
            <w14:solidFill>
              <w14:srgbClr w14:val="000000"/>
            </w14:solidFill>
          </w14:textFill>
        </w:rPr>
        <w:t>Trigonella foenum-graecum</w:t>
      </w: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w:t>
        <w:tab/>
        <w:t>Botanical Description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Trigonella foenum-graecum</w:t>
      </w:r>
      <w:r>
        <w:rPr>
          <w:rStyle w:val="Hyperlink.1"/>
          <w:rtl w:val="0"/>
          <w:lang w:val="en-US"/>
        </w:rPr>
        <w:t xml:space="preserve"> L., commonly known as fenugreek, belongs to the family Fabaceae and is one of the oldest medicinal plants cultivated throughout Asia, Europe, and North Africa. According to Petropoulos (2002), fenugreek has been traditionally used as a medicinal herb, spice, and functional food because of its diverse pharmacological properties. Researchers have described that the plant is an annual herb characterized by trifoliate leaves, white flowers, and golden-yellow seeds rich in biologically active compounds. Acharya et al. (2006) reported that fenugreek is widely cultivated in India, where it serves both nutritional and therapeutic purposes. The seeds are particularly valued because they contain high concentrations of proteins, dietary fiber, steroidal saponins, alkaloids, flavonoids, vitamins, and essential minerals. According to Basch et al. (2003), the medicinal value of fenugreek has attracted considerable scientific attention owing to its immunomodulatory, antimicrobial, antioxidant, and anti-inflammatory activities.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3.2</w:t>
        <w:tab/>
        <w:t>Phytochemical Composition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Fenugreek contains numerous secondary metabolites that contribute to its therapeutic efficacy. According to Yadav and Baquer (2014), the seeds are rich in steroidal saponins, diosgenin, yamogenin, gitogenin, trigonelline, flavonoids, coumarins, polyphenols, and galactomannan. Researchers have reported that diosgenin represents the major steroidal sapogenin responsible for many biological activities of fenugreek. Basch et al. (2003) observed that fenugreek also contains amino acids, including 4-hydroxyisoleucine, which contributes to its metabolic and immunological functions. According to Wani and Kumar (2018), the synergistic interaction among these phytochemicals provides significant antioxidant, antimicrobial, hypoglycemic, and immune-enhancing properties.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3.4</w:t>
        <w:tab/>
        <w:t>Immunomodulatory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Fenugreek has been extensively investigated for its immunomodulatory potential. According to Kaviarasan et al. (2007), fenugreek seed extracts stimulate macrophage activation, increase cytokine production, and enhance both humoral and cellular immune responses. Researchers have demonstrated that steroidal saponins present in fenugreek function as natural immunoadjuvants capable of improving antigen presentation and antibody production. Yadav and Baquer (2014) reported that dietary supplementation with fenugreek significantly enhances lymphocyte proliferation and improves host defense mechanisms. According to Al-Habori and Raman (2002), fenugreek-derived bioactive compounds regulate inflammatory mediators and reduce oxidative stress, thereby supporting immune homeostasis.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3.5</w:t>
        <w:tab/>
        <w:t>Antimicrobial and Antioxidant Activities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Several investigations have demonstrated the antimicrobial activity of fenugreek against bacterial and fungal pathogens. According to Randhir et al. (2004), phenolic compounds and flavonoids inhibit microbial growth by disrupting cellular metabolism and membrane integrity. Researchers have observed that fenugreek extracts exhibit inhibitory activity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Escherichia coli</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Staphylococcus aureus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Salmonella</w:t>
      </w:r>
      <w:r>
        <w:rPr>
          <w:rStyle w:val="Hyperlink.1"/>
          <w:rtl w:val="0"/>
          <w:lang w:val="en-US"/>
        </w:rPr>
        <w:t xml:space="preserve"> spp.,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Pseudomonas aeruginosa</w:t>
      </w:r>
      <w:r>
        <w:rPr>
          <w:rStyle w:val="Hyperlink.1"/>
          <w:rtl w:val="0"/>
          <w:lang w:val="en-US"/>
        </w:rPr>
        <w:t>. Basch et al. (2003) reported that the antioxidant activity of fenugreek is primarily attributed to flavonoids and polyphenolic compounds capable of scavenging reactive oxygen species. These antioxidant properties reduce oxidative damage and improve cellular protection under stress conditions.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3.6</w:t>
        <w:tab/>
        <w:t>Applications in Aquaculture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Recent studies have reported that fenugreek supplementation improves growth performance, digestive enzyme activity, immune response, and disease resistance in cultured fish. According to Hoseinifar et al. (2020), dietary inclusion of fenugreek enhances lysozyme activity, phagocytosis, and antioxidant enzyme activity in aquaculture species. Researchers have demonstrated that fenugreek-derived saponins improve intestinal health and beneficial gut microbiota while reducing pathogen colonization. Therefore, fenugreek has emerged as a promising natural immunoadjuvant for sustainable aquaculture.</w:t>
      </w:r>
    </w:p>
    <w:p>
      <w:pPr>
        <w:pStyle w:val="Normal.0"/>
        <w:spacing w:after="0" w:line="360" w:lineRule="auto"/>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 xml:space="preserve">4. </w:t>
        <w:tab/>
        <w:t>SOAPNUT (</w:t>
      </w:r>
      <w:r>
        <w:rPr>
          <w:rStyle w:val="None"/>
          <w:rFonts w:ascii="Times New Roman" w:hAnsi="Times New Roman"/>
          <w:b w:val="1"/>
          <w:bCs w:val="1"/>
          <w:i w:val="1"/>
          <w:iCs w:val="1"/>
          <w:outline w:val="0"/>
          <w:color w:val="000000"/>
          <w:kern w:val="36"/>
          <w:sz w:val="24"/>
          <w:szCs w:val="24"/>
          <w:u w:color="000000"/>
          <w:rtl w:val="0"/>
          <w:lang w:val="en-US"/>
          <w14:textFill>
            <w14:solidFill>
              <w14:srgbClr w14:val="000000"/>
            </w14:solidFill>
          </w14:textFill>
        </w:rPr>
        <w:t>Sapindusmukorossi</w:t>
      </w: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w:t>
      </w:r>
    </w:p>
    <w:p>
      <w:pPr>
        <w:pStyle w:val="Normal.0"/>
        <w:spacing w:after="0" w:line="360" w:lineRule="auto"/>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kern w:val="36"/>
          <w:sz w:val="24"/>
          <w:szCs w:val="24"/>
          <w:rtl w:val="0"/>
          <w:lang w:val="en-US"/>
        </w:rPr>
        <w:t>4.1</w:t>
        <w:tab/>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Botanical Description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Sapindusmukorossi </w:t>
      </w:r>
      <w:r>
        <w:rPr>
          <w:rStyle w:val="Hyperlink.1"/>
          <w:rtl w:val="0"/>
          <w:lang w:val="en-US"/>
        </w:rPr>
        <w:t>Gaertn., commonly known as soapnut or soapberry, belongs to the family Sapindaceae. According to Singh and Singh (2010), soapnut is widely distributed throughout India, Nepal, China, and Southeast Asia. Researchers have reported that the fruit pericarp contains exceptionally high concentrations of triterpenoid saponins, making it one of the richest natural sources of plant saponins. Traditionally, soapnut has been used in Ayurvedic medicine for the treatment of skin diseases, inflammation, respiratory disorders, and microbial infections.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4.2</w:t>
        <w:tab/>
        <w:t>Phytochemical Composition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According to Huang et al. (2008), soapnut fruits contain triterpenoid saponins, flavonoids, sugars, fatty acids, sterols, and polysaccharides. Researchers have identified numerous sapindosides that possess remarkable biological activities. Singh and Singh (2010) reported that these bioactive compounds contribute to the plant's antimicrobial, antioxidant, anti-inflammatory, and immunomodulatory effects.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4.3</w:t>
        <w:tab/>
        <w:t>Immunomodulatory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Soapnut-derived saponins have attracted considerable attention as vaccine adjuvants. According to Sun et al. (2009), triterpenoid saponins stimulate antigen-presenting cells, activate macrophages, and promote cytokine secretion. Researchers have demonstrated that these saponins enhance antibody production by improving antigen uptake and stimulating both Th1 and Th2 immune responses. Sparg et al. (2004) observed that soapnut saponins exhibit strong adjuvant properties comparable to commercially available vaccine adjuvants while producing fewer adverse reactions.</w:t>
      </w:r>
    </w:p>
    <w:p>
      <w:pPr>
        <w:pStyle w:val="Normal.0"/>
        <w:spacing w:after="0" w:line="360" w:lineRule="auto"/>
        <w:jc w:val="both"/>
        <w:outlineLvl w:val="1"/>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4.4</w:t>
        <w:tab/>
        <w:t>Antimicrobial and Antioxidant Activities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According to Huang et al. (2008), soapnut extracts exhibit broad-spectrum antibacterial activity against Gram-positive and Gram-negative bacteria. Researchers have reported inhibitory activity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Staphylococcus aureus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Escherichia coli</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Salmonella typhi</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Pseudomonas aeruginosa</w:t>
      </w:r>
      <w:r>
        <w:rPr>
          <w:rStyle w:val="Hyperlink.1"/>
          <w:rtl w:val="0"/>
          <w:lang w:val="en-US"/>
        </w:rPr>
        <w:t>. Singh and Singh (2010) observed that the antioxidant compounds present in soapnut effectively neutralize free radicals and inhibit lipid peroxidation. These biological activities contribute significantly to improved immune protection.</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4.5</w:t>
        <w:tab/>
        <w:t>Potential as a Natural Vaccine Adjuvant</w:t>
      </w:r>
    </w:p>
    <w:p>
      <w:pPr>
        <w:pStyle w:val="Normal.0"/>
        <w:spacing w:after="0" w:line="360" w:lineRule="auto"/>
        <w:ind w:firstLine="720"/>
        <w:jc w:val="both"/>
        <w:rPr>
          <w:rStyle w:val="Hyperlink.1"/>
        </w:rPr>
      </w:pPr>
      <w:r>
        <w:rPr>
          <w:rStyle w:val="Hyperlink.1"/>
          <w:rtl w:val="0"/>
          <w:lang w:val="en-US"/>
        </w:rPr>
        <w:t>Researchers have increasingly recognized soapnut saponins as potential alternatives to synthetic adjuvants. According to Sun et al. (2009), purified plant saponins enhance vaccine efficacy by stimulating prolonged antibody responses and cellular immunity. These characteristics make soapnut an attractive candidate for improving IgY production in laying hens and for disease prevention in aquaculture.</w:t>
      </w:r>
    </w:p>
    <w:p>
      <w:pPr>
        <w:pStyle w:val="Normal.0"/>
        <w:spacing w:after="0" w:line="360" w:lineRule="auto"/>
        <w:ind w:firstLine="720"/>
        <w:jc w:val="both"/>
        <w:rPr>
          <w:rStyle w:val="Hyperlink.1"/>
        </w:rPr>
      </w:pP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 xml:space="preserve">5. </w:t>
        <w:tab/>
        <w:t>SHIKAKAI (</w:t>
      </w:r>
      <w:r>
        <w:rPr>
          <w:rStyle w:val="None"/>
          <w:rFonts w:ascii="Times New Roman" w:hAnsi="Times New Roman"/>
          <w:b w:val="1"/>
          <w:bCs w:val="1"/>
          <w:i w:val="1"/>
          <w:iCs w:val="1"/>
          <w:outline w:val="0"/>
          <w:color w:val="000000"/>
          <w:kern w:val="36"/>
          <w:sz w:val="24"/>
          <w:szCs w:val="24"/>
          <w:u w:color="000000"/>
          <w:rtl w:val="0"/>
          <w:lang w:val="en-US"/>
          <w14:textFill>
            <w14:solidFill>
              <w14:srgbClr w14:val="000000"/>
            </w14:solidFill>
          </w14:textFill>
        </w:rPr>
        <w:t>Acacia concinna</w:t>
      </w: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5.1</w:t>
        <w:tab/>
        <w:t>Botanical Description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(Willd.) DC., commonly known as Shikakai, belongs to the family Fabaceae (Mimosoideae). According to Kirtikar and Basu (2005), the plant is widely distributed throughout tropical India and has long been utilized in traditional Ayurvedic medicine. Researchers have reported that various parts of the plant, particularly the pods, leaves, and bark, contain valuable phytochemicals with medicinal properties.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5.2</w:t>
        <w:tab/>
        <w:t>Phytochemical Composition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According to Anonymous (2001),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contains abundant triterpenoid saponins, flavonoids, tannins, alkaloids, phenolic compounds, glycosides, and organic acids. Researchers have observed that these secondary metabolites exhibit synergistic biological activities responsible for the therapeutic efficacy of the plant. Flavonoids and phenolic compounds provide antioxidant activity, whereas saponins contribute to immune stimulation.</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5.3</w:t>
        <w:tab/>
        <w:t>Pharmacological Activities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Numerous pharmacological investigations have demonstrated that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possesses antimicrobial, antioxidant, anti-inflammatory, hepatoprotective, and immunomodulatory activities. According to Kalaivani et al. (2011), methanolic extracts of the plant inhibit several pathogenic bacteria and fungi. Researchers have reported that the antioxidant activity effectively reduces oxidative stress by scavenging free radicals and enhancing endogenous antioxidant defense systems.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5.4</w:t>
        <w:tab/>
        <w:t>Immunomodulatory Potential</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According to Sparg et al. (2004), plant saponins isolated from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w:t>
      </w:r>
      <w:r>
        <w:rPr>
          <w:rStyle w:val="Hyperlink.1"/>
          <w:rtl w:val="0"/>
          <w:lang w:val="en-US"/>
        </w:rPr>
        <w:t xml:space="preserve"> species stimulate macrophages, lymphocytes, and antibody-producing plasma cells. Researchers have demonstrated that saponins enhance antigen presentation and improve vaccine-induced immune responses. These findings suggest that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may serve as a valuable natural immunoadjuvant for enhancing chicken IgY antibody production.</w:t>
      </w:r>
    </w:p>
    <w:p>
      <w:pPr>
        <w:pStyle w:val="Normal.0"/>
        <w:spacing w:after="0" w:line="360" w:lineRule="auto"/>
        <w:ind w:left="720" w:hanging="720"/>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6.</w:t>
        <w:tab/>
        <w:t>COMPARATIVE ANALYSIS OF PLANT-DERIVED SAPONINS AS IMMUNOADJUVANTS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Plant-derived saponins have emerged as promising natural immunoadjuvants because of their ability to stimulate both innate and adaptive immune responses. According to Francis et al. (2002), saponins activate antigen-presenting cells, promote cytokine secretion, and enhance antibody production without causing significant toxicity. Researchers have reported that soybean, fenugreek, soapnut, and shikakai each contain structurally distinct saponins that differ in their biological potency and pharmacological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Soybean contains soyasaponins that exhibit moderate immunostimulatory activity while providing excellent nutritional benefits. Fenugreek contains steroidal saponins, particularly diosgenin, which have been reported to possess strong anti-inflammatory and immune-enhancing effects. Soapnut is recognized as one of the richest natural sources of triterpenoid saponins and demonstrates exceptionally high adjuvant activity comparable to commercial vaccine adjuvants. Shikakai contains triterpenoid saponins with significant antioxidant, antimicrobial, and immunomodulatory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According to Sun et al. (2009), the effectiveness of saponin-based immunoadjuvants depends on their chemical structure, concentration, purity, and compatibility with vaccine antigens. Researchers have demonstrated that combining plant-derived saponins with bacterial antigens significantly improves humoral immune responses and increases antigen-specific antibody titers. Francis et al. (2002) observed that these natural compounds also stimulate macrophage activation, lymphocyte proliferation, and complement-mediated immune responses.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comparative evaluation of these four medicinal plants indicates that each possesses unique phytochemical characteristics suitable for immunoadjuvant development. Soybean offers nutritional and moderate immune benefits, fenugreek provides potent steroidal saponins and antioxidant compounds, soapnut exhibits superior vaccine adjuvant properties owing to its abundant triterpenoid saponins, while shikakai contributes strong antimicrobial and immunomodulatory activities. Collectively, these medicinal plants represent sustainable, biodegradable, and cost-effective alternatives to synthetic immunoadjuvants for enhancing chicken egg yolk antibody (IgY) production and improving disease management in freshwater aquaculture.</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7.</w:t>
        <w:tab/>
        <w:t>APPLICATIONS OF PLANT-DERIVED SAPONINS IN IGY PRODUCTION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production of chicken egg yolk immunoglobulin (IgY) has emerged as an effective, economical, and animal-friendly approach for passive immunization against infectious diseases. According to Schade et al. (2005), IgY antibodies possess high antigen specificity and can be produced in large quantities without causing harm to experimental animals. Researchers have reported that the success of IgY production largely depends on the selection of appropriate immunoadjuvants capable of enhancing antigen presentation and stimulating strong humoral immune responses. Plant-derived saponins have attracted considerable attention because of their potent immunostimulatory properties and excellent safety profile.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According to Sun et al. (2009), saponins function as effective vaccine adjuvants by promoting antigen uptake, activating antigen-presenting cells, and stimulating cytokine secretion. Researchers have demonstrated that these mechanisms significantly increase B-cell activation, plasma cell differentiation, and antibody synthesis in immunized hens. Francis et al. (2002) reported that saponins enhance both Th1 and Th2 immune responses, resulting in higher antibody titers and prolonged immune memory. These immunological properties make plant-derived saponins suitable candidates for improving IgY production against bacterial, viral, and parasitic pathogens.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Soybean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Glycine max</w:t>
      </w:r>
      <w:r>
        <w:rPr>
          <w:rStyle w:val="Hyperlink.1"/>
          <w:rtl w:val="0"/>
          <w:lang w:val="en-US"/>
        </w:rPr>
        <w:t>) saponins have been reported to improve humoral immunity by stimulating macrophage activation and increasing cytokine production. According to Guang et al. (2014), soyasaponins enhance antigen-specific antibody production while exhibiting low toxicity. Researchers have observed that soybean-derived saponins improve vaccine efficacy by increasing antibody persistence and immunological memory. Similarly, fenugreek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Trigonella foenum-graecum</w:t>
      </w:r>
      <w:r>
        <w:rPr>
          <w:rStyle w:val="Hyperlink.1"/>
          <w:rtl w:val="0"/>
          <w:lang w:val="en-US"/>
        </w:rPr>
        <w:t>) contains steroidal saponins such as diosgenin that have been shown to stimulate lymphocyte proliferation and enhance antibody responses. According to Yadav and Baquer (2014), fenugreek supplementation improves immune competence through modulation of cytokine expression and activation of immune cells.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Soapnut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Sapindusmukorossi</w:t>
      </w:r>
      <w:r>
        <w:rPr>
          <w:rStyle w:val="Hyperlink.1"/>
          <w:rtl w:val="0"/>
          <w:lang w:val="en-US"/>
        </w:rPr>
        <w:t xml:space="preserve">) has been identified as one of the richest natural sources of triterpenoid saponins with remarkable adjuvant activity. According to Sparg et al. (2004), soapnut saponins stimulate dendritic cells, macrophages, and lymphocytes, thereby enhancing antigen presentation and antibody production. Researchers have demonstrated that purified soapnut saponins produce antibody responses comparable to commercially available vaccine adjuvants while causing minimal adverse reactions. Likewise,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(Shikakai) contains biologically active saponins and flavonoids that exhibit immunomodulatory effects. According to Kalaivani et al. (2011), extracts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concinna</w:t>
      </w:r>
      <w:r>
        <w:rPr>
          <w:rStyle w:val="Hyperlink.1"/>
          <w:rtl w:val="0"/>
          <w:lang w:val="en-US"/>
        </w:rPr>
        <w:t xml:space="preserve"> stimulate immune cell activation and improve humoral immune responses, making them potential adjuvants for IgY production.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Recent studies have suggested that combining plant-derived saponins with bacterial antigens significantly enhances the production of pathogen-specific IgY antibodies. According to Schade et al. (2005), higher IgY concentrations improve passive immunization against infectious diseases and reduce dependence on antibiotics. Researchers have reported that IgY antibodies produced using natural immunoadjuvants exhibit greater neutralizing capacity, improved pathogen agglutination, and enhanced therapeutic efficacy. Therefore, plant-derived saponins represent promising natural immunoadjuvants for developing sustainable IgY-based immunotherapies.</w:t>
      </w:r>
    </w:p>
    <w:p>
      <w:pPr>
        <w:pStyle w:val="Normal.0"/>
        <w:spacing w:after="0" w:line="360" w:lineRule="auto"/>
        <w:ind w:left="720" w:hanging="720"/>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 xml:space="preserve">8. </w:t>
        <w:tab/>
        <w:t>APPLICATIONS OF PLANT-DERIVED IMMUNOADJUVANTS IN AQUACULTURE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Aquaculture has become one of the fastest-growing food-producing sectors worldwide; however, infectious diseases continue to limit production efficiency and economic sustainability. According to FAO (2024), bacterial diseases caused by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Edwardsiella</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Streptococcus</w:t>
      </w:r>
      <w:r>
        <w:rPr>
          <w:rStyle w:val="Hyperlink.1"/>
          <w:rtl w:val="0"/>
          <w:lang w:val="en-US"/>
        </w:rPr>
        <w:t xml:space="preserve"> species account for significant production losses in freshwater and marine aquaculture. Researchers have reported that excessive use of antibiotics has resulted in antimicrobial resistance, environmental contamination, and food safety concerns. Consequently, natural immunoadjuvants have gained considerable importance as environmentally friendly alternatives for disease prevention.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According to Ring</w:t>
      </w:r>
      <w:r>
        <w:rPr>
          <w:rStyle w:val="Hyperlink.1"/>
          <w:rtl w:val="0"/>
          <w:lang w:val="en-US"/>
        </w:rPr>
        <w:t xml:space="preserve">ø </w:t>
      </w:r>
      <w:r>
        <w:rPr>
          <w:rStyle w:val="Hyperlink.1"/>
          <w:rtl w:val="0"/>
          <w:lang w:val="en-US"/>
        </w:rPr>
        <w:t>et al. (2020), plant-derived immunoadjuvants enhance innate immunity by stimulating macrophages, neutrophils, complement proteins, lysozyme activity, respiratory burst activity, and phagocytosis. Researchers have observed that dietary supplementation with saponin-rich medicinal plants significantly improves disease resistance and survival in cultured fish and shrimp. Hoseinifar et al. (2018) reported that herbal immunostimulants also improve feed utilization, digestive enzyme activity, intestinal microbiota composition, and antioxidant defense mechanisms.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Soybean, fenugreek, soapnut, and shikakai have demonstrated promising applications in aquaculture nutrition. According to Dawood et al. (2019), dietary soybean saponins improve immune function, antioxidant status, and intestinal integrity in aquatic animals. Researchers have reported that fenugreek supplementation enhances growth performance, feed conversion efficiency, and resistance against bacterial pathogens. Similarly, soapnut saponins exhibit strong antimicrobial activity by inhibiting the growth of pathogenic bacteria and preventing disease outbreaks.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extracts have also been reported to improve immune responses and antioxidant enzyme activities while reducing oxidative stress during bacterial infections.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Plant-derived immunoadjuvants have also shown considerable potential as vaccine adjuvants in aquaculture. According to Sun et al. (2009), saponin-based adjuvants enhance antigen-specific immune responses and increase vaccine efficacy by stimulating both humoral and cellular immunity. Researchers have demonstrated that vaccination combined with natural immunoadjuvants results in improved survival following pathogen challenge experiments. Such findings indicate that plant-derived saponins can serve as sustainable immunostimulants for improving fish health and reducing reliance on chemotherapeutic agents.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Recent investigations have emphasized the integration of herbal immunoadjuvants into functional aquafeeds. According to Ring</w:t>
      </w:r>
      <w:r>
        <w:rPr>
          <w:rStyle w:val="Hyperlink.1"/>
          <w:rtl w:val="0"/>
          <w:lang w:val="en-US"/>
        </w:rPr>
        <w:t xml:space="preserve">ø </w:t>
      </w:r>
      <w:r>
        <w:rPr>
          <w:rStyle w:val="Hyperlink.1"/>
          <w:rtl w:val="0"/>
          <w:lang w:val="en-US"/>
        </w:rPr>
        <w:t>et al. (2020), functional feeds containing plant-derived immunostimulants improve gut health, beneficial microbial populations, nutrient utilization, and immune competence. Researchers have concluded that these natural products contribute significantly to sustainable aquaculture by enhancing productivity while minimizing environmental impacts and antibiotic usage.</w:t>
      </w:r>
    </w:p>
    <w:p>
      <w:pPr>
        <w:pStyle w:val="Normal.0"/>
        <w:spacing w:after="0" w:line="360" w:lineRule="auto"/>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 xml:space="preserve">9. </w:t>
        <w:tab/>
        <w:t>FUTURE PERSPECTIVES AND CONCLUSION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Natural plant-derived immunoadjuvants are increasingly recognized as valuable alternatives to synthetic vaccine adjuvants because of their safety, biodegradability, and broad-spectrum biological activities. According to Francis et al. (2002), medicinal plants rich in saponins provide promising opportunities for enhancing vaccine efficacy, antibody production, and disease resistance in both veterinary and aquaculture applications. Researchers have reported that continued exploration of medicinal plants will facilitate the discovery of novel immunostimulatory compounds suitable for commercial vaccine development.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Recent advances in molecular biology, nanotechnology, proteomics, metabolomics, and immunology have greatly expanded the understanding of plant-derived immunoadjuvants. According to Sun et al. (2009), purification of specific saponin fractions and structural modification of these compounds may further improve their immunological efficacy while minimizing toxicity. Researchers have demonstrated that nanoformulations containing plant saponins enhance antigen delivery, prolong antigen release, and improve immune responses. Such innovations provide exciting opportunities for developing next-generation vaccines and antibody production systems.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integration of plant-derived immunoadjuvants with IgY technology represents a promising strategy for controlling infectious diseases in aquaculture. According to Schade              et al. (2005), pathogen-specific IgY antibodies offer effective passive immunization without contributing to antimicrobial resistance. Researchers have observed that combining IgY antibodies with natural immunoadjuvants significantly enhances protective efficacy against bacterial pathogens while maintaining environmental sustainability.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Among the medicinal plants reviewed, soybean provides nutritionally valuable soyasaponins with moderate immunostimulatory activity, fenugreek contributes steroidal saponins and antioxidant compounds, soapnut serves as an exceptionally rich source of highly potent triterpenoid saponins, and shikakai provides multifunctional phytochemicals with antimicrobial and immune-enhancing properties. According to Sparg et al. (2004), these plants collectively represent excellent sources of natural immunoadjuvants for veterinary vaccines and antibody production systems.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In conclusion, plant-derived saponins obtained from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Glycine max</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Trigonella foenum-graecum</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Sapindusmukorossi</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possess significant pharmacological, antimicrobial, antioxidant, and immunomodulatory activities. Researchers have consistently demonstrated their potential to enhance IgY antibody production, improve vaccine efficacy, and strengthen disease resistance in aquaculture species. Future research should focus on purification of active saponin fractions, molecular mechanisms of immune modulation, large-scale production technologies, and commercial application of these natural immunoadjuvants for sustainable aquaculture and veterinary medicine.</w:t>
      </w:r>
    </w:p>
    <w:p>
      <w:pPr>
        <w:pStyle w:val="Normal.0"/>
        <w:spacing w:after="0" w:line="360" w:lineRule="auto"/>
        <w:jc w:val="both"/>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Acharya, S. N., Thomas, J. E., &amp; Basu, S. K.,</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2006.</w:t>
      </w:r>
      <w:r>
        <w:rPr>
          <w:rStyle w:val="Hyperlink.1"/>
          <w:rtl w:val="0"/>
          <w:lang w:val="en-US"/>
        </w:rPr>
        <w:t xml:space="preserve"> Fenugreek: An alternative crop for semiarid regions.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Crop Science, 46</w:t>
      </w:r>
      <w:r>
        <w:rPr>
          <w:rStyle w:val="Hyperlink.1"/>
          <w:rtl w:val="0"/>
          <w:lang w:val="en-US"/>
        </w:rPr>
        <w:t>, 206</w:t>
      </w:r>
      <w:r>
        <w:rPr>
          <w:rStyle w:val="Hyperlink.1"/>
          <w:rtl w:val="0"/>
          <w:lang w:val="en-US"/>
        </w:rPr>
        <w:t>–</w:t>
      </w:r>
      <w:r>
        <w:rPr>
          <w:rStyle w:val="Hyperlink.1"/>
          <w:rtl w:val="0"/>
          <w:lang w:val="en-US"/>
        </w:rPr>
        <w:t>215.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Al-Habori, M., &amp; Raman, A.,</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2002.</w:t>
      </w:r>
      <w:r>
        <w:rPr>
          <w:rStyle w:val="Hyperlink.1"/>
          <w:rtl w:val="0"/>
          <w:lang w:val="en-US"/>
        </w:rPr>
        <w:t xml:space="preserve"> Antidiabetic and immunomodulatory properties of fenugreek.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Phytotherapy Research, 16</w:t>
      </w:r>
      <w:r>
        <w:rPr>
          <w:rStyle w:val="Hyperlink.1"/>
          <w:rtl w:val="0"/>
          <w:lang w:val="en-US"/>
        </w:rPr>
        <w:t>, 108</w:t>
      </w:r>
      <w:r>
        <w:rPr>
          <w:rStyle w:val="Hyperlink.1"/>
          <w:rtl w:val="0"/>
          <w:lang w:val="en-US"/>
        </w:rPr>
        <w:t>–</w:t>
      </w:r>
      <w:r>
        <w:rPr>
          <w:rStyle w:val="Hyperlink.1"/>
          <w:rtl w:val="0"/>
          <w:lang w:val="en-US"/>
        </w:rPr>
        <w:t>118.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Hyperlink.1"/>
          <w:rtl w:val="0"/>
          <w:lang w:val="en-US"/>
        </w:rPr>
        <w:t xml:space="preserve">Anonymous. (2001).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The Wealth of India: Raw Materials</w:t>
      </w:r>
      <w:r>
        <w:rPr>
          <w:rStyle w:val="Hyperlink.1"/>
          <w:rtl w:val="0"/>
          <w:lang w:val="en-US"/>
        </w:rPr>
        <w:t xml:space="preserve"> (Vol. 1). CSIR.</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Basch, E., Ulbricht, C., Kuo, G., Szapary, P., &amp; Smith, M.</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2003</w:t>
      </w:r>
      <w:r>
        <w:rPr>
          <w:rStyle w:val="Hyperlink.1"/>
          <w:rtl w:val="0"/>
          <w:lang w:val="en-US"/>
        </w:rPr>
        <w:t xml:space="preserve">., Therapeutic applications of fenugreek.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Alternative Medicine Review, 8</w:t>
      </w:r>
      <w:r>
        <w:rPr>
          <w:rStyle w:val="Hyperlink.1"/>
          <w:rtl w:val="0"/>
          <w:lang w:val="en-US"/>
        </w:rPr>
        <w:t>, 20</w:t>
      </w:r>
      <w:r>
        <w:rPr>
          <w:rStyle w:val="Hyperlink.1"/>
          <w:rtl w:val="0"/>
          <w:lang w:val="en-US"/>
        </w:rPr>
        <w:t>–</w:t>
      </w:r>
      <w:r>
        <w:rPr>
          <w:rStyle w:val="Hyperlink.1"/>
          <w:rtl w:val="0"/>
          <w:lang w:val="en-US"/>
        </w:rPr>
        <w:t>27.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Cheeke, P. R.,</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2000.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Actual and potential applications of yucca schidigera and quillajasaponaria saponins in human and animal nutrition</w:t>
      </w:r>
      <w:r>
        <w:rPr>
          <w:rStyle w:val="Hyperlink.1"/>
          <w:rtl w:val="0"/>
          <w:lang w:val="en-US"/>
        </w:rPr>
        <w:t>. Journal of Animal Science, 77, 1</w:t>
      </w:r>
      <w:r>
        <w:rPr>
          <w:rStyle w:val="Hyperlink.1"/>
          <w:rtl w:val="0"/>
          <w:lang w:val="en-US"/>
        </w:rPr>
        <w:t>–</w:t>
      </w:r>
      <w:r>
        <w:rPr>
          <w:rStyle w:val="Hyperlink.1"/>
          <w:rtl w:val="0"/>
          <w:lang w:val="en-US"/>
        </w:rPr>
        <w:t>10.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Dawood, M. A. O., Koshio, S., &amp; Esteban, M. </w:t>
      </w:r>
      <w:r>
        <w:rPr>
          <w:rStyle w:val="None"/>
          <w:rFonts w:ascii="Times New Roman" w:hAnsi="Times New Roman" w:hint="default"/>
          <w:b w:val="1"/>
          <w:bCs w:val="1"/>
          <w:kern w:val="0"/>
          <w:sz w:val="24"/>
          <w:szCs w:val="24"/>
          <w:rtl w:val="0"/>
          <w:lang w:val="en-US"/>
        </w:rPr>
        <w:t>Á</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2019. </w:t>
      </w:r>
      <w:r>
        <w:rPr>
          <w:rStyle w:val="Hyperlink.1"/>
          <w:rtl w:val="0"/>
          <w:lang w:val="en-US"/>
        </w:rPr>
        <w:t xml:space="preserve">Beneficial roles of feed additives as immunostimulants in aquaculture.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Reviews in Aquaculture, 10</w:t>
      </w:r>
      <w:r>
        <w:rPr>
          <w:rStyle w:val="Hyperlink.1"/>
          <w:rtl w:val="0"/>
          <w:lang w:val="en-US"/>
        </w:rPr>
        <w:t>, 950</w:t>
      </w:r>
      <w:r>
        <w:rPr>
          <w:rStyle w:val="Hyperlink.1"/>
          <w:rtl w:val="0"/>
          <w:lang w:val="en-US"/>
        </w:rPr>
        <w:t>–</w:t>
      </w:r>
      <w:r>
        <w:rPr>
          <w:rStyle w:val="Hyperlink.1"/>
          <w:rtl w:val="0"/>
          <w:lang w:val="en-US"/>
        </w:rPr>
        <w:t>974.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Hyperlink.1"/>
          <w:rtl w:val="0"/>
          <w:lang w:val="en-US"/>
        </w:rPr>
        <w:t xml:space="preserve">FAO. (2024).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The State of World Fisheries and Aquaculture 2024</w:t>
      </w:r>
      <w:r>
        <w:rPr>
          <w:rStyle w:val="Hyperlink.1"/>
          <w:rtl w:val="0"/>
          <w:lang w:val="en-US"/>
        </w:rPr>
        <w:t>. Food and Agriculture Organization of the United Nations.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Francis, G., Kerem, Z., Makkar, H. P. S., &amp; Becker, K.,</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2002. </w:t>
      </w:r>
      <w:r>
        <w:rPr>
          <w:rStyle w:val="Hyperlink.1"/>
          <w:rtl w:val="0"/>
          <w:lang w:val="en-US"/>
        </w:rPr>
        <w:t xml:space="preserve">The biological action of saponins in animal systems.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British Journal of Nutrition, 88</w:t>
      </w:r>
      <w:r>
        <w:rPr>
          <w:rStyle w:val="Hyperlink.1"/>
          <w:rtl w:val="0"/>
          <w:lang w:val="en-US"/>
        </w:rPr>
        <w:t>(6), 587</w:t>
      </w:r>
      <w:r>
        <w:rPr>
          <w:rStyle w:val="Hyperlink.1"/>
          <w:rtl w:val="0"/>
          <w:lang w:val="en-US"/>
        </w:rPr>
        <w:t>–</w:t>
      </w:r>
      <w:r>
        <w:rPr>
          <w:rStyle w:val="Hyperlink.1"/>
          <w:rtl w:val="0"/>
          <w:lang w:val="en-US"/>
        </w:rPr>
        <w:t>605.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Francis, G., Kerem, Z., Makkar, H. P. S., &amp; Becker, K., 2002</w:t>
      </w:r>
      <w:r>
        <w:rPr>
          <w:rStyle w:val="Hyperlink.1"/>
          <w:rtl w:val="0"/>
          <w:lang w:val="en-US"/>
        </w:rPr>
        <w:t xml:space="preserve">. The biological action of saponins in animal systems.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British Journal of Nutrition, 88</w:t>
      </w:r>
      <w:r>
        <w:rPr>
          <w:rStyle w:val="Hyperlink.1"/>
          <w:rtl w:val="0"/>
          <w:lang w:val="en-US"/>
        </w:rPr>
        <w:t>(6), 587</w:t>
      </w:r>
      <w:r>
        <w:rPr>
          <w:rStyle w:val="Hyperlink.1"/>
          <w:rtl w:val="0"/>
          <w:lang w:val="en-US"/>
        </w:rPr>
        <w:t>–</w:t>
      </w:r>
      <w:r>
        <w:rPr>
          <w:rStyle w:val="Hyperlink.1"/>
          <w:rtl w:val="0"/>
          <w:lang w:val="en-US"/>
        </w:rPr>
        <w:t>605.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Guang, C., Phillips, R. D., Jiang, B., &amp; Milani, F.</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2014</w:t>
      </w:r>
      <w:r>
        <w:rPr>
          <w:rStyle w:val="Hyperlink.1"/>
          <w:rtl w:val="0"/>
          <w:lang w:val="en-US"/>
        </w:rPr>
        <w:t xml:space="preserve">. Structure and biological activity of soybean saponins.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Agricultural and Food Chemistry, 62</w:t>
      </w:r>
      <w:r>
        <w:rPr>
          <w:rStyle w:val="Hyperlink.1"/>
          <w:rtl w:val="0"/>
          <w:lang w:val="en-US"/>
        </w:rPr>
        <w:t>(29), 6588</w:t>
      </w:r>
      <w:r>
        <w:rPr>
          <w:rStyle w:val="Hyperlink.1"/>
          <w:rtl w:val="0"/>
          <w:lang w:val="en-US"/>
        </w:rPr>
        <w:t>–</w:t>
      </w:r>
      <w:r>
        <w:rPr>
          <w:rStyle w:val="Hyperlink.1"/>
          <w:rtl w:val="0"/>
          <w:lang w:val="en-US"/>
        </w:rPr>
        <w:t>6595.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Hartman, G. L., West, E. D., &amp; Herman, T. K., 2011</w:t>
      </w:r>
      <w:r>
        <w:rPr>
          <w:rStyle w:val="Hyperlink.1"/>
          <w:rtl w:val="0"/>
          <w:lang w:val="en-US"/>
        </w:rPr>
        <w:t xml:space="preserve">. Crops that feed the world 2. Soybean.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Food Security, 3</w:t>
      </w:r>
      <w:r>
        <w:rPr>
          <w:rStyle w:val="Hyperlink.1"/>
          <w:rtl w:val="0"/>
          <w:lang w:val="en-US"/>
        </w:rPr>
        <w:t>(1), 5</w:t>
      </w:r>
      <w:r>
        <w:rPr>
          <w:rStyle w:val="Hyperlink.1"/>
          <w:rtl w:val="0"/>
          <w:lang w:val="en-US"/>
        </w:rPr>
        <w:t>–</w:t>
      </w:r>
      <w:r>
        <w:rPr>
          <w:rStyle w:val="Hyperlink.1"/>
          <w:rtl w:val="0"/>
          <w:lang w:val="en-US"/>
        </w:rPr>
        <w:t>17.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Hoseinifar, S. H., et al., 2020. </w:t>
      </w:r>
      <w:r>
        <w:rPr>
          <w:rStyle w:val="Hyperlink.1"/>
          <w:rtl w:val="0"/>
          <w:lang w:val="en-US"/>
        </w:rPr>
        <w:t xml:space="preserve">Herbal immunostimulants in aquaculture.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Fish &amp; Shellfish Immunology, 104</w:t>
      </w:r>
      <w:r>
        <w:rPr>
          <w:rStyle w:val="Hyperlink.1"/>
          <w:rtl w:val="0"/>
          <w:lang w:val="en-US"/>
        </w:rPr>
        <w:t>, 1</w:t>
      </w:r>
      <w:r>
        <w:rPr>
          <w:rStyle w:val="Hyperlink.1"/>
          <w:rtl w:val="0"/>
          <w:lang w:val="en-US"/>
        </w:rPr>
        <w:t>–</w:t>
      </w:r>
      <w:r>
        <w:rPr>
          <w:rStyle w:val="Hyperlink.1"/>
          <w:rtl w:val="0"/>
          <w:lang w:val="en-US"/>
        </w:rPr>
        <w:t>14.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Hoseinifar, S. H., Sun, Y. Z., Wang, A., &amp; Zhou, Z.</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2018.</w:t>
      </w:r>
      <w:r>
        <w:rPr>
          <w:rStyle w:val="Hyperlink.1"/>
          <w:rtl w:val="0"/>
          <w:lang w:val="en-US"/>
        </w:rPr>
        <w:t xml:space="preserve"> Probiotics as means of diseases control in aquaculture.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Reviews in Aquaculture, 10</w:t>
      </w:r>
      <w:r>
        <w:rPr>
          <w:rStyle w:val="Hyperlink.1"/>
          <w:rtl w:val="0"/>
          <w:lang w:val="en-US"/>
        </w:rPr>
        <w:t>, 1</w:t>
      </w:r>
      <w:r>
        <w:rPr>
          <w:rStyle w:val="Hyperlink.1"/>
          <w:rtl w:val="0"/>
          <w:lang w:val="en-US"/>
        </w:rPr>
        <w:t>–</w:t>
      </w:r>
      <w:r>
        <w:rPr>
          <w:rStyle w:val="Hyperlink.1"/>
          <w:rtl w:val="0"/>
          <w:lang w:val="en-US"/>
        </w:rPr>
        <w:t>15.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Huang, H. C., et al.,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2008. </w:t>
      </w:r>
      <w:r>
        <w:rPr>
          <w:rStyle w:val="Hyperlink.1"/>
          <w:rtl w:val="0"/>
          <w:lang w:val="en-US"/>
        </w:rPr>
        <w:t xml:space="preserve">Chemical constituents and biological activities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Sapindusmukorossi</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Ethnopharmacology, 118</w:t>
      </w:r>
      <w:r>
        <w:rPr>
          <w:rStyle w:val="Hyperlink.1"/>
          <w:rtl w:val="0"/>
          <w:lang w:val="en-US"/>
        </w:rPr>
        <w:t>, 1</w:t>
      </w:r>
      <w:r>
        <w:rPr>
          <w:rStyle w:val="Hyperlink.1"/>
          <w:rtl w:val="0"/>
          <w:lang w:val="en-US"/>
        </w:rPr>
        <w:t>–</w:t>
      </w:r>
      <w:r>
        <w:rPr>
          <w:rStyle w:val="Hyperlink.1"/>
          <w:rtl w:val="0"/>
          <w:lang w:val="en-US"/>
        </w:rPr>
        <w:t>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Kalaivani, T., et al.,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2011</w:t>
      </w:r>
      <w:r>
        <w:rPr>
          <w:rStyle w:val="Hyperlink.1"/>
          <w:rtl w:val="0"/>
          <w:lang w:val="en-US"/>
        </w:rPr>
        <w:t xml:space="preserve">. Antioxidant and antimicrobial activity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International Journal of Pharmacy and Pharmaceutical Sciences, 3</w:t>
      </w:r>
      <w:r>
        <w:rPr>
          <w:rStyle w:val="Hyperlink.1"/>
          <w:rtl w:val="0"/>
          <w:lang w:val="en-US"/>
        </w:rPr>
        <w:t>, 192</w:t>
      </w:r>
      <w:r>
        <w:rPr>
          <w:rStyle w:val="Hyperlink.1"/>
          <w:rtl w:val="0"/>
          <w:lang w:val="en-US"/>
        </w:rPr>
        <w:t>–</w:t>
      </w:r>
      <w:r>
        <w:rPr>
          <w:rStyle w:val="Hyperlink.1"/>
          <w:rtl w:val="0"/>
          <w:lang w:val="en-US"/>
        </w:rPr>
        <w:t>196.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Kirtikar, K. R., &amp; Basu, B. D.,</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2005.</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Indian Medicinal Plants</w:t>
      </w:r>
      <w:r>
        <w:rPr>
          <w:rStyle w:val="Hyperlink.1"/>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Kumar, V., Rani, A., Dixit, A. K., Pratap, D., &amp; Bhatnagar, D.,</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2010. </w:t>
      </w:r>
      <w:r>
        <w:rPr>
          <w:rStyle w:val="Hyperlink.1"/>
          <w:rtl w:val="0"/>
          <w:lang w:val="en-US"/>
        </w:rPr>
        <w:t xml:space="preserve">A comparative assessment of total phenolic content and antioxidant activity in soybean.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Food Science and Technology, 47</w:t>
      </w:r>
      <w:r>
        <w:rPr>
          <w:rStyle w:val="Hyperlink.1"/>
          <w:rtl w:val="0"/>
          <w:lang w:val="en-US"/>
        </w:rPr>
        <w:t>(4), 454</w:t>
      </w:r>
      <w:r>
        <w:rPr>
          <w:rStyle w:val="Hyperlink.1"/>
          <w:rtl w:val="0"/>
          <w:lang w:val="en-US"/>
        </w:rPr>
        <w:t>–</w:t>
      </w:r>
      <w:r>
        <w:rPr>
          <w:rStyle w:val="Hyperlink.1"/>
          <w:rtl w:val="0"/>
          <w:lang w:val="en-US"/>
        </w:rPr>
        <w:t>458.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Messina, M.,</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2016</w:t>
      </w:r>
      <w:r>
        <w:rPr>
          <w:rStyle w:val="Hyperlink.1"/>
          <w:rtl w:val="0"/>
          <w:lang w:val="en-US"/>
        </w:rPr>
        <w:t xml:space="preserve">. Soy and health update.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Nutrients, 8</w:t>
      </w:r>
      <w:r>
        <w:rPr>
          <w:rStyle w:val="Hyperlink.1"/>
          <w:rtl w:val="0"/>
          <w:lang w:val="en-US"/>
        </w:rPr>
        <w:t>(12), 754.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Petropoulos, G. A.</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2002.</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Fenugreek: The Genus Trigonella</w:t>
      </w:r>
      <w:r>
        <w:rPr>
          <w:rStyle w:val="Hyperlink.1"/>
          <w:rtl w:val="0"/>
          <w:lang w:val="en-US"/>
        </w:rPr>
        <w:t>. CRC Press.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Price, K. R., Johnson, I. T., &amp; Fenwick, G. R.</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1987. </w:t>
      </w:r>
      <w:r>
        <w:rPr>
          <w:rStyle w:val="Hyperlink.1"/>
          <w:rtl w:val="0"/>
          <w:lang w:val="en-US"/>
        </w:rPr>
        <w:t xml:space="preserve">The chemistry and biological significance of saponins in foods and feeding stuffs.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Critical Reviews in Food Science and Nutrition, 26</w:t>
      </w:r>
      <w:r>
        <w:rPr>
          <w:rStyle w:val="Hyperlink.1"/>
          <w:rtl w:val="0"/>
          <w:lang w:val="en-US"/>
        </w:rPr>
        <w:t>(1), 27</w:t>
      </w:r>
      <w:r>
        <w:rPr>
          <w:rStyle w:val="Hyperlink.1"/>
          <w:rtl w:val="0"/>
          <w:lang w:val="en-US"/>
        </w:rPr>
        <w:t>–</w:t>
      </w:r>
      <w:r>
        <w:rPr>
          <w:rStyle w:val="Hyperlink.1"/>
          <w:rtl w:val="0"/>
          <w:lang w:val="en-US"/>
        </w:rPr>
        <w:t>135.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Ring</w:t>
      </w:r>
      <w:r>
        <w:rPr>
          <w:rStyle w:val="None"/>
          <w:rFonts w:ascii="Times New Roman" w:hAnsi="Times New Roman" w:hint="default"/>
          <w:b w:val="1"/>
          <w:bCs w:val="1"/>
          <w:kern w:val="0"/>
          <w:sz w:val="24"/>
          <w:szCs w:val="24"/>
          <w:rtl w:val="0"/>
          <w:lang w:val="en-US"/>
        </w:rPr>
        <w:t>ø</w:t>
      </w:r>
      <w:r>
        <w:rPr>
          <w:rStyle w:val="None"/>
          <w:rFonts w:ascii="Times New Roman" w:hAnsi="Times New Roman"/>
          <w:b w:val="1"/>
          <w:bCs w:val="1"/>
          <w:kern w:val="0"/>
          <w:sz w:val="24"/>
          <w:szCs w:val="24"/>
          <w:rtl w:val="0"/>
          <w:lang w:val="en-US"/>
        </w:rPr>
        <w:t>, E., Hoseinifar, S. H., Ghosh, K., et al.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2020.</w:t>
      </w:r>
      <w:r>
        <w:rPr>
          <w:rStyle w:val="Hyperlink.1"/>
          <w:rtl w:val="0"/>
          <w:lang w:val="en-US"/>
        </w:rPr>
        <w:t xml:space="preserve"> Lactic acid bacteria in finfish: Applications and future perspectives.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Aquaculture Nutrition, 26</w:t>
      </w:r>
      <w:r>
        <w:rPr>
          <w:rStyle w:val="Hyperlink.1"/>
          <w:rtl w:val="0"/>
          <w:lang w:val="en-US"/>
        </w:rPr>
        <w:t>, 1664</w:t>
      </w:r>
      <w:r>
        <w:rPr>
          <w:rStyle w:val="Hyperlink.1"/>
          <w:rtl w:val="0"/>
          <w:lang w:val="en-US"/>
        </w:rPr>
        <w:t>–</w:t>
      </w:r>
      <w:r>
        <w:rPr>
          <w:rStyle w:val="Hyperlink.1"/>
          <w:rtl w:val="0"/>
          <w:lang w:val="en-US"/>
        </w:rPr>
        <w:t>1687.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Schade, R., et al.,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2005.</w:t>
      </w:r>
      <w:r>
        <w:rPr>
          <w:rStyle w:val="Hyperlink.1"/>
          <w:rtl w:val="0"/>
          <w:lang w:val="en-US"/>
        </w:rPr>
        <w:t xml:space="preserve"> Chicken egg yolk antibodies (IgY): Production and applications.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ATLA, 33</w:t>
      </w:r>
      <w:r>
        <w:rPr>
          <w:rStyle w:val="Hyperlink.1"/>
          <w:rtl w:val="0"/>
          <w:lang w:val="en-US"/>
        </w:rPr>
        <w:t>, 129</w:t>
      </w:r>
      <w:r>
        <w:rPr>
          <w:rStyle w:val="Hyperlink.1"/>
          <w:rtl w:val="0"/>
          <w:lang w:val="en-US"/>
        </w:rPr>
        <w:t>–</w:t>
      </w:r>
      <w:r>
        <w:rPr>
          <w:rStyle w:val="Hyperlink.1"/>
          <w:rtl w:val="0"/>
          <w:lang w:val="en-US"/>
        </w:rPr>
        <w:t>154.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Singh, P., &amp; Singh, R., 2010. </w:t>
      </w:r>
      <w:r>
        <w:rPr>
          <w:rStyle w:val="Hyperlink.1"/>
          <w:rtl w:val="0"/>
          <w:lang w:val="en-US"/>
        </w:rPr>
        <w:t xml:space="preserve">Pharmacological properties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Sapindusmukorossi</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Medicinal Plants Research, 4</w:t>
      </w:r>
      <w:r>
        <w:rPr>
          <w:rStyle w:val="Hyperlink.1"/>
          <w:rtl w:val="0"/>
          <w:lang w:val="en-US"/>
        </w:rPr>
        <w:t>, 277</w:t>
      </w:r>
      <w:r>
        <w:rPr>
          <w:rStyle w:val="Hyperlink.1"/>
          <w:rtl w:val="0"/>
          <w:lang w:val="en-US"/>
        </w:rPr>
        <w:t>–</w:t>
      </w:r>
      <w:r>
        <w:rPr>
          <w:rStyle w:val="Hyperlink.1"/>
          <w:rtl w:val="0"/>
          <w:lang w:val="en-US"/>
        </w:rPr>
        <w:t>284.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Sparg, S. G., Light, M. E., &amp; Van Staden, J.,</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2004.</w:t>
      </w:r>
      <w:r>
        <w:rPr>
          <w:rStyle w:val="Hyperlink.1"/>
          <w:rtl w:val="0"/>
          <w:lang w:val="en-US"/>
        </w:rPr>
        <w:t xml:space="preserve"> Biological activities and distribution of plant saponins.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Ethnopharmacology, 94</w:t>
      </w:r>
      <w:r>
        <w:rPr>
          <w:rStyle w:val="Hyperlink.1"/>
          <w:rtl w:val="0"/>
          <w:lang w:val="en-US"/>
        </w:rPr>
        <w:t>, 219</w:t>
      </w:r>
      <w:r>
        <w:rPr>
          <w:rStyle w:val="Hyperlink.1"/>
          <w:rtl w:val="0"/>
          <w:lang w:val="en-US"/>
        </w:rPr>
        <w:t>–</w:t>
      </w:r>
      <w:r>
        <w:rPr>
          <w:rStyle w:val="Hyperlink.1"/>
          <w:rtl w:val="0"/>
          <w:lang w:val="en-US"/>
        </w:rPr>
        <w:t>243.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Sparg, S. G., Light, M. E., &amp; Van Staden, J.,</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2004.</w:t>
      </w:r>
      <w:r>
        <w:rPr>
          <w:rStyle w:val="Hyperlink.1"/>
          <w:rtl w:val="0"/>
          <w:lang w:val="en-US"/>
        </w:rPr>
        <w:t xml:space="preserve"> Biological activities and distribution of plant saponins.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Ethnopharmacology, 94</w:t>
      </w:r>
      <w:r>
        <w:rPr>
          <w:rStyle w:val="Hyperlink.1"/>
          <w:rtl w:val="0"/>
          <w:lang w:val="en-US"/>
        </w:rPr>
        <w:t>, 219</w:t>
      </w:r>
      <w:r>
        <w:rPr>
          <w:rStyle w:val="Hyperlink.1"/>
          <w:rtl w:val="0"/>
          <w:lang w:val="en-US"/>
        </w:rPr>
        <w:t>–</w:t>
      </w:r>
      <w:r>
        <w:rPr>
          <w:rStyle w:val="Hyperlink.1"/>
          <w:rtl w:val="0"/>
          <w:lang w:val="en-US"/>
        </w:rPr>
        <w:t>243.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Sun, H. X., Xie, Y., &amp; Ye, Y. P.,</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2009. </w:t>
      </w:r>
      <w:r>
        <w:rPr>
          <w:rStyle w:val="Hyperlink.1"/>
          <w:rtl w:val="0"/>
          <w:lang w:val="en-US"/>
        </w:rPr>
        <w:t xml:space="preserve">Advances in saponin-based adjuvants.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Vaccine, 27</w:t>
      </w:r>
      <w:r>
        <w:rPr>
          <w:rStyle w:val="Hyperlink.1"/>
          <w:rtl w:val="0"/>
          <w:lang w:val="en-US"/>
        </w:rPr>
        <w:t>(12), 1787</w:t>
      </w:r>
      <w:r>
        <w:rPr>
          <w:rStyle w:val="Hyperlink.1"/>
          <w:rtl w:val="0"/>
          <w:lang w:val="en-US"/>
        </w:rPr>
        <w:t>–</w:t>
      </w:r>
      <w:r>
        <w:rPr>
          <w:rStyle w:val="Hyperlink.1"/>
          <w:rtl w:val="0"/>
          <w:lang w:val="en-US"/>
        </w:rPr>
        <w:t>1796.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Wang, Y., McAllister, T. A., Newbold, C. J., &amp; Rode, L. M., 2008.</w:t>
      </w:r>
      <w:r>
        <w:rPr>
          <w:rStyle w:val="Hyperlink.1"/>
          <w:rtl w:val="0"/>
          <w:lang w:val="en-US"/>
        </w:rPr>
        <w:t xml:space="preserve"> Effects of Yucca and soybean saponins on ruminal bacteria.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Applied and Environmental Microbiology, 64</w:t>
      </w:r>
      <w:r>
        <w:rPr>
          <w:rStyle w:val="Hyperlink.1"/>
          <w:rtl w:val="0"/>
          <w:lang w:val="en-US"/>
        </w:rPr>
        <w:t>(11), 4293</w:t>
      </w:r>
      <w:r>
        <w:rPr>
          <w:rStyle w:val="Hyperlink.1"/>
          <w:rtl w:val="0"/>
          <w:lang w:val="en-US"/>
        </w:rPr>
        <w:t>–</w:t>
      </w:r>
      <w:r>
        <w:rPr>
          <w:rStyle w:val="Hyperlink.1"/>
          <w:rtl w:val="0"/>
          <w:lang w:val="en-US"/>
        </w:rPr>
        <w:t>4297.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Wani, S. A., &amp; Kumar, P.,</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2018.</w:t>
      </w:r>
      <w:r>
        <w:rPr>
          <w:rStyle w:val="Hyperlink.1"/>
          <w:rtl w:val="0"/>
          <w:lang w:val="en-US"/>
        </w:rPr>
        <w:t xml:space="preserve"> Fenugreek: A review on nutritional and medicinal importance.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Pharmacognosy and Phytochemistry, 7</w:t>
      </w:r>
      <w:r>
        <w:rPr>
          <w:rStyle w:val="Hyperlink.1"/>
          <w:rtl w:val="0"/>
          <w:lang w:val="en-US"/>
        </w:rPr>
        <w:t>, 1472</w:t>
      </w:r>
      <w:r>
        <w:rPr>
          <w:rStyle w:val="Hyperlink.1"/>
          <w:rtl w:val="0"/>
          <w:lang w:val="en-US"/>
        </w:rPr>
        <w:t>–</w:t>
      </w:r>
      <w:r>
        <w:rPr>
          <w:rStyle w:val="Hyperlink.1"/>
          <w:rtl w:val="0"/>
          <w:lang w:val="en-US"/>
        </w:rPr>
        <w:t>1479.</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Yadav, U. C. S., &amp; Baquer, N. Z.,</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2014.</w:t>
      </w:r>
      <w:r>
        <w:rPr>
          <w:rStyle w:val="Hyperlink.1"/>
          <w:rtl w:val="0"/>
          <w:lang w:val="en-US"/>
        </w:rPr>
        <w:t xml:space="preserve"> Pharmacological effects of fenugreek.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Medicinal Food, 17</w:t>
      </w:r>
      <w:r>
        <w:rPr>
          <w:rStyle w:val="Hyperlink.1"/>
          <w:rtl w:val="0"/>
          <w:lang w:val="en-US"/>
        </w:rPr>
        <w:t>, 1</w:t>
      </w:r>
      <w:r>
        <w:rPr>
          <w:rStyle w:val="Hyperlink.1"/>
          <w:rtl w:val="0"/>
          <w:lang w:val="en-US"/>
        </w:rPr>
        <w:t>–</w:t>
      </w:r>
      <w:r>
        <w:rPr>
          <w:rStyle w:val="Hyperlink.1"/>
          <w:rtl w:val="0"/>
          <w:lang w:val="en-US"/>
        </w:rPr>
        <w:t>15.</w:t>
      </w: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 xml:space="preserve">MUCUS OF TERRESTRIAL SLUG </w:t>
      </w:r>
      <w:r>
        <w:rPr>
          <w:rStyle w:val="None"/>
          <w:b w:val="1"/>
          <w:bCs w:val="1"/>
          <w:i w:val="1"/>
          <w:iCs w:val="1"/>
          <w:outline w:val="0"/>
          <w:color w:val="000000"/>
          <w:kern w:val="0"/>
          <w:u w:color="000000"/>
          <w:rtl w:val="0"/>
          <w:lang w:val="en-US"/>
          <w14:textFill>
            <w14:solidFill>
              <w14:srgbClr w14:val="000000"/>
            </w14:solidFill>
          </w14:textFill>
        </w:rPr>
        <w:t>LAEVICAULISALTE</w:t>
      </w:r>
      <w:r>
        <w:rPr>
          <w:rStyle w:val="None"/>
          <w:b w:val="1"/>
          <w:bCs w:val="1"/>
          <w:outline w:val="0"/>
          <w:color w:val="000000"/>
          <w:kern w:val="0"/>
          <w:u w:color="000000"/>
          <w:rtl w:val="0"/>
          <w:lang w:val="en-US"/>
          <w14:textFill>
            <w14:solidFill>
              <w14:srgbClr w14:val="000000"/>
            </w14:solidFill>
          </w14:textFill>
        </w:rPr>
        <w:t xml:space="preserve"> AS A SOURCE                                OF NOVEL ANTIMICROBIAL COMPOUNDS</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Suja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P.S </w:t>
      </w: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1,3</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Nija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C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1,3</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and Navinchandran</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2,3</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1</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Reg. No. 23113152192006, Department of Zoology, S.T.Hindu College, Nagercoil,</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Tamil Nadu </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629002.</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 xml:space="preserve">*1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Associate Professor and Head of the Department of Zoology, Women's Christian College, Nagercoil, Tamil Nadu </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629001.</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2</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Assistant Professor, Department of Zoology, S.T.Hindu College, Nagercoil, Tamil Nadu </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629002.</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3</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Affiliated to ManonmaniamSundaranar University, Tirunelveli, Tamil Nadu, INDIA.</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Natural products have long been recognized as an important source of therapeutic agents and continue to play a significant role in drug discovery. The rapid emergence of antimicrobial resistance has created an urgent need to identify novel bioactive compounds from natural sources. Antimicrobial peptides (AMPs) and other natural metabolites have gained considerable attention for their potential to combat multidrug-resistant pathogens.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a terrestrial slug commonly found in Kanyakumari District, secretes mucus rich in biologically active compounds with potential pharmaceutical applications. In the present study, crude 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was analyzed using Gas Chromatography</w:t>
      </w:r>
      <w:r>
        <w:rPr>
          <w:rStyle w:val="Hyperlink.1"/>
          <w:rtl w:val="0"/>
          <w:lang w:val="en-US"/>
        </w:rPr>
        <w:t>–</w:t>
      </w:r>
      <w:r>
        <w:rPr>
          <w:rStyle w:val="Hyperlink.1"/>
          <w:rtl w:val="0"/>
          <w:lang w:val="en-US"/>
        </w:rPr>
        <w:t>Mass Spectrometry (GC</w:t>
      </w:r>
      <w:r>
        <w:rPr>
          <w:rStyle w:val="Hyperlink.1"/>
          <w:rtl w:val="0"/>
          <w:lang w:val="en-US"/>
        </w:rPr>
        <w:t>–</w:t>
      </w:r>
      <w:r>
        <w:rPr>
          <w:rStyle w:val="Hyperlink.1"/>
          <w:rtl w:val="0"/>
          <w:lang w:val="en-US"/>
        </w:rPr>
        <w:t>MS) to identify its bioactive constituents. GC</w:t>
      </w:r>
      <w:r>
        <w:rPr>
          <w:rStyle w:val="Hyperlink.1"/>
          <w:rtl w:val="0"/>
          <w:lang w:val="en-US"/>
        </w:rPr>
        <w:t>–</w:t>
      </w:r>
      <w:r>
        <w:rPr>
          <w:rStyle w:val="Hyperlink.1"/>
          <w:rtl w:val="0"/>
          <w:lang w:val="en-US"/>
        </w:rPr>
        <w:t xml:space="preserve">MS analysis revealed the presence of 22 bioactive compounds, of which 15 have previously been reported to possess antibacterial and antifungal activities. Among the identified compounds, Octadecane (42.747 min), Tetrapentacontane (39.510 min), and 1-Heptacosanol (39.414 min) exhibited the highest retention times. These compounds have been associated with significant antimicrobial properties and may contribute to the biological activity of slug mucus. The findings indicate that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mucus represents a promising natural source of antimicrobial compounds and provides a scientific basis for the development of novel therapeutic agents to combat multidrug-resistant microbial pathogens.</w:t>
      </w:r>
    </w:p>
    <w:p>
      <w:pPr>
        <w:pStyle w:val="Normal.0"/>
        <w:spacing w:after="0" w:line="360" w:lineRule="auto"/>
        <w:jc w:val="both"/>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Keywords</w:t>
      </w:r>
      <w:r>
        <w:rPr>
          <w:rStyle w:val="None"/>
          <w:rFonts w:ascii="Times New Roman" w:hAnsi="Times New Roman"/>
          <w:i w:val="1"/>
          <w:iCs w:val="1"/>
          <w:kern w:val="0"/>
          <w:sz w:val="24"/>
          <w:szCs w:val="24"/>
          <w:rtl w:val="0"/>
          <w:lang w:val="en-US"/>
        </w:rPr>
        <w:t>: Antimicrobial properties, Slug, Laevicaulisalte, GC</w:t>
      </w:r>
      <w:r>
        <w:rPr>
          <w:rStyle w:val="None"/>
          <w:rFonts w:ascii="Times New Roman" w:hAnsi="Times New Roman" w:hint="default"/>
          <w:i w:val="1"/>
          <w:iCs w:val="1"/>
          <w:kern w:val="0"/>
          <w:sz w:val="24"/>
          <w:szCs w:val="24"/>
          <w:rtl w:val="0"/>
          <w:lang w:val="en-US"/>
        </w:rPr>
        <w:t>–</w:t>
      </w:r>
      <w:r>
        <w:rPr>
          <w:rStyle w:val="None"/>
          <w:rFonts w:ascii="Times New Roman" w:hAnsi="Times New Roman"/>
          <w:i w:val="1"/>
          <w:iCs w:val="1"/>
          <w:kern w:val="0"/>
          <w:sz w:val="24"/>
          <w:szCs w:val="24"/>
          <w:rtl w:val="0"/>
          <w:lang w:val="en-US"/>
        </w:rPr>
        <w:t>MS analysis, Bioactive compounds</w:t>
      </w:r>
    </w:p>
    <w:p>
      <w:pPr>
        <w:pStyle w:val="Normal.0"/>
        <w:spacing w:after="0" w:line="360" w:lineRule="auto"/>
        <w:jc w:val="both"/>
        <w:rPr>
          <w:rStyle w:val="None"/>
          <w:rFonts w:ascii="Times New Roman" w:cs="Times New Roman" w:hAnsi="Times New Roman" w:eastAsia="Times New Roman"/>
          <w:i w:val="1"/>
          <w:iCs w:val="1"/>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India is the birthplace of new indigenous medical systems like Siddha, Ayurveda, and Unani. More than half of the currently available clinical drugs are derived directly or indirectly from natural products, highlighting their importance in the development of new pharmaceuticals (Grace et al., 2011). The increasing prevalence of antimicrobial resistance has intensified the search for novel bioactive compounds from natural sources.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Slugs and snails belong to the phylum Mollusca and class Gastropoda. Their mucus is a viscous secretion that provides protection against dehydration, microbial invasion, and predators while also facilitating locomotion (Barker, 2002; South et al., 1992; Hamalainen et al., 2012). Slug mucus contains biologically active constituents such as glycoproteins, mucopolysaccharides, lectins, antimicrobial peptides, and other secondary metabolites with potential antimicrobial, antioxidant, wound-healing, and anti-inflammatory properties (Deyrup-Olsen et al., 1983; Cilia et al., 2018).</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Although the biochemical composition and therapeutic applications of snail mucus have been extensively studied, research on terrestrial slug mucus remains limited. Previous studies have demonstrated that slug-derived bioactive compounds possess significant pharmacological potential, including antimicrobial and tissue regenerative activities (Jacob et al., 2013; Bogdanov et al., 2014; Bogdanov et al., 2016). Furthermore, proteins isolated from terrestrial mollusks have shown inhibitory activity against several pathogenic bacteria and fungi (Ulagesan&amp; Kim, 2018).</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a terrestrial slug commonly found in Kanyakumari District, is an underexplored source of bioactive compounds. Therefore, the present study aimed to identify the bioactive constituents present in the 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using Gas Chromatography</w:t>
      </w:r>
      <w:r>
        <w:rPr>
          <w:rStyle w:val="Hyperlink.1"/>
          <w:rtl w:val="0"/>
          <w:lang w:val="en-US"/>
        </w:rPr>
        <w:t>–</w:t>
      </w:r>
      <w:r>
        <w:rPr>
          <w:rStyle w:val="Hyperlink.1"/>
          <w:rtl w:val="0"/>
          <w:lang w:val="en-US"/>
        </w:rPr>
        <w:t>Mass Spectrometry (GC</w:t>
      </w:r>
      <w:r>
        <w:rPr>
          <w:rStyle w:val="Hyperlink.1"/>
          <w:rtl w:val="0"/>
          <w:lang w:val="en-US"/>
        </w:rPr>
        <w:t>–</w:t>
      </w:r>
      <w:r>
        <w:rPr>
          <w:rStyle w:val="Hyperlink.1"/>
          <w:rtl w:val="0"/>
          <w:lang w:val="en-US"/>
        </w:rPr>
        <w:t>MS), with special emphasis on compounds possessing antimicrobial activity. The findings may contribute to the development of novel natural antimicrobial agents for combating drug-resistant pathogens.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w:t>
        <w:tab/>
        <w:t>MATERIALS AND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Collection of Specimens</w:t>
      </w:r>
    </w:p>
    <w:p>
      <w:pPr>
        <w:pStyle w:val="Normal.0"/>
        <w:spacing w:after="0" w:line="360" w:lineRule="auto"/>
        <w:ind w:firstLine="720"/>
        <w:jc w:val="both"/>
        <w:rPr>
          <w:rStyle w:val="Hyperlink.1"/>
        </w:rPr>
      </w:pPr>
      <w:r>
        <w:rPr>
          <w:rStyle w:val="Hyperlink.1"/>
          <w:rtl w:val="0"/>
          <w:lang w:val="en-US"/>
        </w:rPr>
        <w:t xml:space="preserve">Live specimens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were collected from Kanyakumari District, Tamil Nadu, India, and transported to the laboratory for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2.2. </w:t>
        <w:tab/>
        <w:t>Mucus Collection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collected slugs were washed thoroughly with distilled water and placed individually in sterile Petri dishes. Mucus secretion was stimulated using 2% citric acid solution. The secreted mucus was carefully collected with a sterile spatula, transferred to sterile containers, and stored under refrigerated conditions until further analysis.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2.3. </w:t>
        <w:tab/>
        <w:t>GC</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MS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w:t>
      </w:r>
      <w:r>
        <w:rPr>
          <w:rStyle w:val="Hyperlink.1"/>
          <w:rtl w:val="0"/>
          <w:lang w:val="en-US"/>
        </w:rPr>
        <w:t xml:space="preserve">  </w:t>
      </w:r>
      <w:r>
        <w:rPr>
          <w:rStyle w:val="Hyperlink.1"/>
          <w:rtl w:val="0"/>
          <w:lang w:val="en-US"/>
        </w:rPr>
        <w:t>mucus was analyzed using a Shimadzu GC</w:t>
      </w:r>
      <w:r>
        <w:rPr>
          <w:rStyle w:val="Hyperlink.1"/>
          <w:rtl w:val="0"/>
          <w:lang w:val="en-US"/>
        </w:rPr>
        <w:t>–</w:t>
      </w:r>
      <w:r>
        <w:rPr>
          <w:rStyle w:val="Hyperlink.1"/>
          <w:rtl w:val="0"/>
          <w:lang w:val="en-US"/>
        </w:rPr>
        <w:t xml:space="preserve">MS-QP2010 system equipped with an Rtx-5 fused silica capillary column (30 m </w:t>
      </w:r>
      <w:r>
        <w:rPr>
          <w:rStyle w:val="Hyperlink.1"/>
          <w:rtl w:val="0"/>
          <w:lang w:val="en-US"/>
        </w:rPr>
        <w:t xml:space="preserve">× </w:t>
      </w:r>
      <w:r>
        <w:rPr>
          <w:rStyle w:val="Hyperlink.1"/>
          <w:rtl w:val="0"/>
          <w:lang w:val="en-US"/>
        </w:rPr>
        <w:t xml:space="preserve">0.25 mm, 1 </w:t>
      </w:r>
      <w:r>
        <w:rPr>
          <w:rStyle w:val="Hyperlink.1"/>
          <w:rtl w:val="0"/>
          <w:lang w:val="en-US"/>
        </w:rPr>
        <w:t>μ</w:t>
      </w:r>
      <w:r>
        <w:rPr>
          <w:rStyle w:val="Hyperlink.1"/>
          <w:rtl w:val="0"/>
          <w:lang w:val="en-US"/>
        </w:rPr>
        <w:t xml:space="preserve">m film thickness). Helium was used as the carrier gas at a flow rate of 1.0 mL/min with a split ratio of 1:10. A 1 </w:t>
      </w:r>
      <w:r>
        <w:rPr>
          <w:rStyle w:val="Hyperlink.1"/>
          <w:rtl w:val="0"/>
          <w:lang w:val="en-US"/>
        </w:rPr>
        <w:t>μ</w:t>
      </w:r>
      <w:r>
        <w:rPr>
          <w:rStyle w:val="Hyperlink.1"/>
          <w:rtl w:val="0"/>
          <w:lang w:val="en-US"/>
        </w:rPr>
        <w:t>L sample was injected, and the injector temperature was maintained at 250</w:t>
      </w:r>
      <w:r>
        <w:rPr>
          <w:rStyle w:val="Hyperlink.1"/>
          <w:rtl w:val="0"/>
          <w:lang w:val="en-US"/>
        </w:rPr>
        <w:t>°</w:t>
      </w:r>
      <w:r>
        <w:rPr>
          <w:rStyle w:val="Hyperlink.1"/>
          <w:rtl w:val="0"/>
          <w:lang w:val="en-US"/>
        </w:rPr>
        <w:t>C. Mass spectra were recorded at an ionization energy of 70 eV over a mass range of 40</w:t>
      </w:r>
      <w:r>
        <w:rPr>
          <w:rStyle w:val="Hyperlink.1"/>
          <w:rtl w:val="0"/>
          <w:lang w:val="en-US"/>
        </w:rPr>
        <w:t>–</w:t>
      </w:r>
      <w:r>
        <w:rPr>
          <w:rStyle w:val="Hyperlink.1"/>
          <w:rtl w:val="0"/>
          <w:lang w:val="en-US"/>
        </w:rPr>
        <w:t>700 amu. Data acquisition and processing were performed using GC</w:t>
      </w:r>
      <w:r>
        <w:rPr>
          <w:rStyle w:val="Hyperlink.1"/>
          <w:rtl w:val="0"/>
          <w:lang w:val="en-US"/>
        </w:rPr>
        <w:t>–</w:t>
      </w:r>
      <w:r>
        <w:rPr>
          <w:rStyle w:val="Hyperlink.1"/>
          <w:rtl w:val="0"/>
          <w:lang w:val="en-US"/>
        </w:rPr>
        <w:t>MS solution software.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2.4. </w:t>
        <w:tab/>
        <w:t>Identification of Bioactive Compounds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obtained mass spectra were compared with those available in the National Institute of Standards and Technology (NIST) spectral library for compound identification. The identified compounds were characterized based on their retention time, molecular weight, molecular formula, and peak area percentage.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 </w:t>
        <w:tab/>
        <w:t>RESULTS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3.1. </w:t>
        <w:tab/>
        <w:t xml:space="preserve">Bioactive Compounds Identified from the 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chemical composition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mucus has been scarcely reported in the literature. In the present study, GC</w:t>
      </w:r>
      <w:r>
        <w:rPr>
          <w:rStyle w:val="Hyperlink.1"/>
          <w:rtl w:val="0"/>
          <w:lang w:val="en-US"/>
        </w:rPr>
        <w:t>–</w:t>
      </w:r>
      <w:r>
        <w:rPr>
          <w:rStyle w:val="Hyperlink.1"/>
          <w:rtl w:val="0"/>
          <w:lang w:val="en-US"/>
        </w:rPr>
        <w:t>MS analysis was performed to identify the bioactive compounds present in the chloroform extract of the</w:t>
      </w:r>
      <w:r>
        <w:rPr>
          <w:rStyle w:val="Hyperlink.1"/>
          <w:rtl w:val="0"/>
          <w:lang w:val="en-US"/>
        </w:rPr>
        <w:t xml:space="preserve">  </w:t>
      </w:r>
      <w:r>
        <w:rPr>
          <w:rStyle w:val="Hyperlink.1"/>
          <w:rtl w:val="0"/>
          <w:lang w:val="en-US"/>
        </w:rPr>
        <w:t xml:space="preserve">mucus. The gas chromatogram displayed distinct peaks corresponding to compounds eluted at different retention times, with peak areas indicating their relative abundance. A total of 22 bioactive compounds were identified (Figure 1), among which 15 compounds have previously been reported to possess antimicrobial activity. These findings suggest that the crude 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is a rich source of biologically active compounds with potential pharmaceutical applications.</w:t>
      </w:r>
      <w:r>
        <w:rPr>
          <w:rStyle w:val="None"/>
          <w:rFonts w:ascii="Times New Roman" w:cs="Times New Roman" w:hAnsi="Times New Roman" w:eastAsia="Times New Roman"/>
          <w:kern w:val="0"/>
          <w:sz w:val="24"/>
          <w:szCs w:val="24"/>
        </w:rPr>
        <w:br w:type="textWrapping"/>
        <w:br w:type="textWrapping"/>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anchor distT="0" distB="0" distL="0" distR="0" simplePos="0" relativeHeight="251662336" behindDoc="0" locked="0" layoutInCell="1" allowOverlap="1">
            <wp:simplePos x="0" y="0"/>
            <wp:positionH relativeFrom="page">
              <wp:posOffset>1390650</wp:posOffset>
            </wp:positionH>
            <wp:positionV relativeFrom="page">
              <wp:posOffset>436880</wp:posOffset>
            </wp:positionV>
            <wp:extent cx="4559300" cy="2094865"/>
            <wp:effectExtent l="0" t="0" r="0" b="0"/>
            <wp:wrapNone/>
            <wp:docPr id="1073741857" name="officeArt object" descr="image.png"/>
            <wp:cNvGraphicFramePr/>
            <a:graphic xmlns:a="http://schemas.openxmlformats.org/drawingml/2006/main">
              <a:graphicData uri="http://schemas.openxmlformats.org/drawingml/2006/picture">
                <pic:pic xmlns:pic="http://schemas.openxmlformats.org/drawingml/2006/picture">
                  <pic:nvPicPr>
                    <pic:cNvPr id="1073741857" name="image.png" descr="image.png"/>
                    <pic:cNvPicPr>
                      <a:picLocks noChangeAspect="1"/>
                    </pic:cNvPicPr>
                  </pic:nvPicPr>
                  <pic:blipFill>
                    <a:blip r:embed="rId36">
                      <a:extLst/>
                    </a:blip>
                    <a:stretch>
                      <a:fillRect/>
                    </a:stretch>
                  </pic:blipFill>
                  <pic:spPr>
                    <a:xfrm>
                      <a:off x="0" y="0"/>
                      <a:ext cx="4559300" cy="2094865"/>
                    </a:xfrm>
                    <a:prstGeom prst="rect">
                      <a:avLst/>
                    </a:prstGeom>
                    <a:ln w="12700" cap="flat">
                      <a:noFill/>
                      <a:miter lim="400000"/>
                    </a:ln>
                    <a:effectLst/>
                  </pic:spPr>
                </pic:pic>
              </a:graphicData>
            </a:graphic>
          </wp:anchor>
        </w:drawing>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br w:type="textWrapping"/>
        <w:br w:type="textWrapping"/>
      </w:r>
    </w:p>
    <w:p>
      <w:pPr>
        <w:pStyle w:val="Normal.0"/>
        <w:spacing w:after="0" w:line="360" w:lineRule="auto"/>
        <w:ind w:left="720" w:firstLine="720"/>
        <w:rPr>
          <w:rStyle w:val="None"/>
          <w:rFonts w:ascii="Times New Roman" w:cs="Times New Roman" w:hAnsi="Times New Roman" w:eastAsia="Times New Roman"/>
          <w:kern w:val="0"/>
          <w:sz w:val="24"/>
          <w:szCs w:val="24"/>
        </w:rPr>
      </w:pPr>
    </w:p>
    <w:p>
      <w:pPr>
        <w:pStyle w:val="Normal.0"/>
        <w:spacing w:after="0" w:line="360" w:lineRule="auto"/>
        <w:ind w:left="720" w:firstLine="720"/>
        <w:rPr>
          <w:rStyle w:val="None"/>
          <w:rFonts w:ascii="Times New Roman" w:cs="Times New Roman" w:hAnsi="Times New Roman" w:eastAsia="Times New Roman"/>
          <w:kern w:val="0"/>
          <w:sz w:val="24"/>
          <w:szCs w:val="24"/>
        </w:rPr>
      </w:pPr>
    </w:p>
    <w:p>
      <w:pPr>
        <w:pStyle w:val="Normal.0"/>
        <w:spacing w:after="0" w:line="360" w:lineRule="auto"/>
        <w:ind w:left="720"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Figure 1 : GC-MS chromatogram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mucus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3.2. </w:t>
        <w:tab/>
        <w:t xml:space="preserve">Antibacterial Compounds Identified from the 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GC</w:t>
      </w:r>
      <w:r>
        <w:rPr>
          <w:rStyle w:val="Hyperlink.1"/>
          <w:rtl w:val="0"/>
          <w:lang w:val="en-US"/>
        </w:rPr>
        <w:t>–</w:t>
      </w:r>
      <w:r>
        <w:rPr>
          <w:rStyle w:val="Hyperlink.1"/>
          <w:rtl w:val="0"/>
          <w:lang w:val="en-US"/>
        </w:rPr>
        <w:t>MS analysis revealed the presence of 15 compounds with reported antibacterial activity in the</w:t>
      </w:r>
      <w:r>
        <w:rPr>
          <w:rStyle w:val="Hyperlink.1"/>
          <w:rtl w:val="0"/>
          <w:lang w:val="en-US"/>
        </w:rPr>
        <w:t xml:space="preserve">  </w:t>
      </w:r>
      <w:r>
        <w:rPr>
          <w:rStyle w:val="Hyperlink.1"/>
          <w:rtl w:val="0"/>
          <w:lang w:val="en-US"/>
        </w:rPr>
        <w:t xml:space="preserve">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(Table 1). These compounds include fatty alcohols such as 1-Dodecanol, 1-Tetradecanol, n-Pentadecanol, 1-Hexacosanol, and 1-Heptacosanol; alkanes including Dodecane, Tetradecane, Hexadecane, Octadecane, and Tetrapentacontane; as well as other bioactive compounds such as 2,4-Di-tert-butylphenol, O,O</w:t>
      </w:r>
      <w:r>
        <w:rPr>
          <w:rStyle w:val="Hyperlink.1"/>
          <w:rtl w:val="0"/>
          <w:lang w:val="en-US"/>
        </w:rPr>
        <w:t>′</w:t>
      </w:r>
      <w:r>
        <w:rPr>
          <w:rStyle w:val="Hyperlink.1"/>
          <w:rtl w:val="0"/>
          <w:lang w:val="en-US"/>
        </w:rPr>
        <w:t>-Biphenol, 4,4</w:t>
      </w:r>
      <w:r>
        <w:rPr>
          <w:rStyle w:val="Hyperlink.1"/>
          <w:rtl w:val="0"/>
          <w:lang w:val="en-US"/>
        </w:rPr>
        <w:t>′</w:t>
      </w:r>
      <w:r>
        <w:rPr>
          <w:rStyle w:val="Hyperlink.1"/>
          <w:rtl w:val="0"/>
          <w:lang w:val="en-US"/>
        </w:rPr>
        <w:t>,6,6</w:t>
      </w:r>
      <w:r>
        <w:rPr>
          <w:rStyle w:val="Hyperlink.1"/>
          <w:rtl w:val="0"/>
          <w:lang w:val="en-US"/>
        </w:rPr>
        <w:t>′</w:t>
      </w:r>
      <w:r>
        <w:rPr>
          <w:rStyle w:val="Hyperlink.1"/>
          <w:rtl w:val="0"/>
          <w:lang w:val="en-US"/>
        </w:rPr>
        <w:t>-tetra-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tert</w:t>
      </w:r>
      <w:r>
        <w:rPr>
          <w:rStyle w:val="Hyperlink.1"/>
          <w:rtl w:val="0"/>
          <w:lang w:val="en-US"/>
        </w:rPr>
        <w:t>-butyl, and Cyclononasiloxane, octadecamethyl. The identified compounds exhibited a wide range of molecular weights, from 170 g/mol (Dodecane) to 666 g/mol (Cyclononasiloxane, octadecamethyl), indicating the chemical diversity of the slug mucus. The mass spectra and chemical structures of the identified antibacterial compounds are presented in Figure 2.</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Antibacterial Compounds Identified in the</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20"/>
        <w:gridCol w:w="1050"/>
        <w:gridCol w:w="838"/>
        <w:gridCol w:w="2799"/>
        <w:gridCol w:w="1410"/>
        <w:gridCol w:w="1207"/>
        <w:gridCol w:w="1096"/>
      </w:tblGrid>
      <w:tr>
        <w:tblPrEx>
          <w:shd w:val="clear" w:color="auto" w:fill="ced7e7"/>
        </w:tblPrEx>
        <w:trPr>
          <w:trHeight w:val="90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S.No</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Retention time</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Area%</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Compound name</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Compound nature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Molecular formula</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Molecular weight</w:t>
            </w:r>
          </w:p>
        </w:tc>
      </w:tr>
      <w:tr>
        <w:tblPrEx>
          <w:shd w:val="clear" w:color="auto" w:fill="ced7e7"/>
        </w:tblPrEx>
        <w:trPr>
          <w:trHeight w:val="60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5.940</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2.10</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1-Dodecanol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Fatty alcohol</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12</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26</w:t>
            </w:r>
            <w:r>
              <w:rPr>
                <w:rStyle w:val="None"/>
                <w:rFonts w:ascii="Times New Roman" w:hAnsi="Times New Roman"/>
                <w:kern w:val="0"/>
                <w:sz w:val="24"/>
                <w:szCs w:val="24"/>
                <w:shd w:val="nil" w:color="auto" w:fill="auto"/>
                <w:rtl w:val="0"/>
                <w:lang w:val="en-US"/>
              </w:rPr>
              <w:t>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186</w:t>
            </w:r>
          </w:p>
        </w:tc>
      </w:tr>
      <w:tr>
        <w:tblPrEx>
          <w:shd w:val="clear" w:color="auto" w:fill="ced7e7"/>
        </w:tblPrEx>
        <w:trPr>
          <w:trHeight w:val="3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6.127</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3.08</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Dodecane</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Alkane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12</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26</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170</w:t>
            </w:r>
          </w:p>
        </w:tc>
      </w:tr>
      <w:tr>
        <w:tblPrEx>
          <w:shd w:val="clear" w:color="auto" w:fill="ced7e7"/>
        </w:tblPrEx>
        <w:trPr>
          <w:trHeight w:val="60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11.513</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4.28</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1-Tetradecanol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Fatty alcohol</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30</w:t>
            </w:r>
            <w:r>
              <w:rPr>
                <w:rStyle w:val="None"/>
                <w:rFonts w:ascii="Times New Roman" w:hAnsi="Times New Roman"/>
                <w:kern w:val="0"/>
                <w:sz w:val="24"/>
                <w:szCs w:val="24"/>
                <w:shd w:val="nil" w:color="auto" w:fill="auto"/>
                <w:rtl w:val="0"/>
                <w:lang w:val="en-US"/>
              </w:rPr>
              <w:t>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214</w:t>
            </w:r>
          </w:p>
        </w:tc>
      </w:tr>
      <w:tr>
        <w:tblPrEx>
          <w:shd w:val="clear" w:color="auto" w:fill="ced7e7"/>
        </w:tblPrEx>
        <w:trPr>
          <w:trHeight w:val="3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11.787</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3.87</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Tetradecane</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Alkane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30</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198</w:t>
            </w:r>
          </w:p>
        </w:tc>
      </w:tr>
      <w:tr>
        <w:tblPrEx>
          <w:shd w:val="clear" w:color="auto" w:fill="ced7e7"/>
        </w:tblPrEx>
        <w:trPr>
          <w:trHeight w:val="3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15.325</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2.54</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2,4-Di-tert-butylphenol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Phenol</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22</w:t>
            </w:r>
            <w:r>
              <w:rPr>
                <w:rStyle w:val="None"/>
                <w:rFonts w:ascii="Times New Roman" w:hAnsi="Times New Roman"/>
                <w:kern w:val="0"/>
                <w:sz w:val="24"/>
                <w:szCs w:val="24"/>
                <w:shd w:val="nil" w:color="auto" w:fill="auto"/>
                <w:rtl w:val="0"/>
                <w:lang w:val="en-US"/>
              </w:rPr>
              <w:t>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206</w:t>
            </w:r>
          </w:p>
        </w:tc>
      </w:tr>
      <w:tr>
        <w:tblPrEx>
          <w:shd w:val="clear" w:color="auto" w:fill="ced7e7"/>
        </w:tblPrEx>
        <w:trPr>
          <w:trHeight w:val="60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18.471</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6.60</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n-Pentadecanol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Fatty alcohol</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15</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32</w:t>
            </w:r>
            <w:r>
              <w:rPr>
                <w:rStyle w:val="None"/>
                <w:rFonts w:ascii="Times New Roman" w:hAnsi="Times New Roman"/>
                <w:kern w:val="0"/>
                <w:sz w:val="24"/>
                <w:szCs w:val="24"/>
                <w:shd w:val="nil" w:color="auto" w:fill="auto"/>
                <w:rtl w:val="0"/>
                <w:lang w:val="en-US"/>
              </w:rPr>
              <w:t>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228</w:t>
            </w:r>
          </w:p>
        </w:tc>
      </w:tr>
      <w:tr>
        <w:tblPrEx>
          <w:shd w:val="clear" w:color="auto" w:fill="ced7e7"/>
        </w:tblPrEx>
        <w:trPr>
          <w:trHeight w:val="3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7</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18.754</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5.18</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Hexadecane</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Alkane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16</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34</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226</w:t>
            </w:r>
          </w:p>
        </w:tc>
      </w:tr>
      <w:tr>
        <w:tblPrEx>
          <w:shd w:val="clear" w:color="auto" w:fill="ced7e7"/>
        </w:tblPrEx>
        <w:trPr>
          <w:trHeight w:val="6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8</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25.175</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4.89</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Cyclononasiloxane,octadecamethyl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Siloxane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18</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54</w:t>
            </w:r>
            <w:r>
              <w:rPr>
                <w:rStyle w:val="None"/>
                <w:rFonts w:ascii="Times New Roman" w:hAnsi="Times New Roman"/>
                <w:kern w:val="0"/>
                <w:sz w:val="24"/>
                <w:szCs w:val="24"/>
                <w:shd w:val="nil" w:color="auto" w:fill="auto"/>
                <w:rtl w:val="0"/>
                <w:lang w:val="en-US"/>
              </w:rPr>
              <w:t>O</w:t>
            </w:r>
            <w:r>
              <w:rPr>
                <w:rStyle w:val="None"/>
                <w:rFonts w:ascii="Times New Roman" w:hAnsi="Times New Roman"/>
                <w:kern w:val="0"/>
                <w:sz w:val="24"/>
                <w:szCs w:val="24"/>
                <w:shd w:val="nil" w:color="auto" w:fill="auto"/>
                <w:vertAlign w:val="subscript"/>
                <w:rtl w:val="0"/>
                <w:lang w:val="en-US"/>
              </w:rPr>
              <w:t>9</w:t>
            </w:r>
            <w:r>
              <w:rPr>
                <w:rStyle w:val="None"/>
                <w:rFonts w:ascii="Times New Roman" w:hAnsi="Times New Roman"/>
                <w:kern w:val="0"/>
                <w:sz w:val="24"/>
                <w:szCs w:val="24"/>
                <w:shd w:val="nil" w:color="auto" w:fill="auto"/>
                <w:rtl w:val="0"/>
                <w:lang w:val="en-US"/>
              </w:rPr>
              <w:t>Si</w:t>
            </w:r>
            <w:r>
              <w:rPr>
                <w:rStyle w:val="None"/>
                <w:rFonts w:ascii="Times New Roman" w:hAnsi="Times New Roman"/>
                <w:kern w:val="0"/>
                <w:sz w:val="24"/>
                <w:szCs w:val="24"/>
                <w:shd w:val="nil" w:color="auto" w:fill="auto"/>
                <w:vertAlign w:val="subscript"/>
                <w:rtl w:val="0"/>
                <w:lang w:val="en-US"/>
              </w:rPr>
              <w:t>9</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666</w:t>
            </w:r>
          </w:p>
        </w:tc>
      </w:tr>
      <w:tr>
        <w:tblPrEx>
          <w:shd w:val="clear" w:color="auto" w:fill="ced7e7"/>
        </w:tblPrEx>
        <w:trPr>
          <w:trHeight w:val="60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9</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35.748</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5.34</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1-Hexacosanol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Fatty alcohol</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26</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54</w:t>
            </w:r>
            <w:r>
              <w:rPr>
                <w:rStyle w:val="None"/>
                <w:rFonts w:ascii="Times New Roman" w:hAnsi="Times New Roman"/>
                <w:kern w:val="0"/>
                <w:sz w:val="24"/>
                <w:szCs w:val="24"/>
                <w:shd w:val="nil" w:color="auto" w:fill="auto"/>
                <w:rtl w:val="0"/>
                <w:lang w:val="en-US"/>
              </w:rPr>
              <w:t>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382</w:t>
            </w:r>
          </w:p>
        </w:tc>
      </w:tr>
      <w:tr>
        <w:tblPrEx>
          <w:shd w:val="clear" w:color="auto" w:fill="ced7e7"/>
        </w:tblPrEx>
        <w:trPr>
          <w:trHeight w:val="6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10</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38.580</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3.89</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O O'-Biphenol,4,4',6,6'-Tetra-T-Butyl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Aromatic</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28</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42</w:t>
            </w:r>
            <w:r>
              <w:rPr>
                <w:rStyle w:val="None"/>
                <w:rFonts w:ascii="Times New Roman" w:hAnsi="Times New Roman"/>
                <w:kern w:val="0"/>
                <w:sz w:val="24"/>
                <w:szCs w:val="24"/>
                <w:shd w:val="nil" w:color="auto" w:fill="auto"/>
                <w:rtl w:val="0"/>
                <w:lang w:val="en-US"/>
              </w:rPr>
              <w:t>O</w:t>
            </w:r>
            <w:r>
              <w:rPr>
                <w:rStyle w:val="None"/>
                <w:rFonts w:ascii="Times New Roman" w:hAnsi="Times New Roman"/>
                <w:kern w:val="0"/>
                <w:sz w:val="24"/>
                <w:szCs w:val="24"/>
                <w:shd w:val="nil" w:color="auto" w:fill="auto"/>
                <w:vertAlign w:val="subscript"/>
                <w:rtl w:val="0"/>
                <w:lang w:val="en-US"/>
              </w:rPr>
              <w:t>2</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410</w:t>
            </w:r>
          </w:p>
        </w:tc>
      </w:tr>
      <w:tr>
        <w:tblPrEx>
          <w:shd w:val="clear" w:color="auto" w:fill="ced7e7"/>
        </w:tblPrEx>
        <w:trPr>
          <w:trHeight w:val="60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11</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39.414</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3.08</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1-Heptacosanol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Fatty alcohol</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27</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56</w:t>
            </w:r>
            <w:r>
              <w:rPr>
                <w:rStyle w:val="None"/>
                <w:rFonts w:ascii="Times New Roman" w:hAnsi="Times New Roman"/>
                <w:kern w:val="0"/>
                <w:sz w:val="24"/>
                <w:szCs w:val="24"/>
                <w:shd w:val="nil" w:color="auto" w:fill="auto"/>
                <w:rtl w:val="0"/>
                <w:lang w:val="en-US"/>
              </w:rPr>
              <w:t>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396</w:t>
            </w:r>
          </w:p>
        </w:tc>
      </w:tr>
      <w:tr>
        <w:tblPrEx>
          <w:shd w:val="clear" w:color="auto" w:fill="ced7e7"/>
        </w:tblPrEx>
        <w:trPr>
          <w:trHeight w:val="3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12</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39.510</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1.77</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Tetrapentacontane</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Alkane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54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11O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758</w:t>
            </w:r>
          </w:p>
        </w:tc>
      </w:tr>
      <w:tr>
        <w:tblPrEx>
          <w:shd w:val="clear" w:color="auto" w:fill="ced7e7"/>
        </w:tblPrEx>
        <w:trPr>
          <w:trHeight w:val="3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13</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42.747</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1.29</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Octadecane</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Alkane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18</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38</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254</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Hyperlink.1"/>
        </w:rPr>
      </w:pPr>
      <w:r>
        <w:rPr>
          <w:rStyle w:val="None"/>
          <w:rFonts w:ascii="Times New Roman" w:cs="Times New Roman" w:hAnsi="Times New Roman" w:eastAsia="Times New Roman"/>
          <w:kern w:val="0"/>
          <w:sz w:val="24"/>
          <w:szCs w:val="24"/>
        </w:rPr>
        <w:br w:type="textWrapping"/>
      </w:r>
      <w:r>
        <w:rPr>
          <w:rStyle w:val="None"/>
          <w:rFonts w:ascii="Times New Roman" w:cs="Times New Roman" w:hAnsi="Times New Roman" w:eastAsia="Times New Roman"/>
          <w:kern w:val="0"/>
          <w:sz w:val="24"/>
          <w:szCs w:val="24"/>
        </w:rPr>
        <w:drawing xmlns:a="http://schemas.openxmlformats.org/drawingml/2006/main">
          <wp:inline distT="0" distB="0" distL="0" distR="0">
            <wp:extent cx="2903478" cy="1302544"/>
            <wp:effectExtent l="0" t="0" r="0" b="0"/>
            <wp:docPr id="1073741858" name="officeArt object" descr="image.png"/>
            <wp:cNvGraphicFramePr/>
            <a:graphic xmlns:a="http://schemas.openxmlformats.org/drawingml/2006/main">
              <a:graphicData uri="http://schemas.openxmlformats.org/drawingml/2006/picture">
                <pic:pic xmlns:pic="http://schemas.openxmlformats.org/drawingml/2006/picture">
                  <pic:nvPicPr>
                    <pic:cNvPr id="1073741858" name="image.png" descr="image.png"/>
                    <pic:cNvPicPr>
                      <a:picLocks noChangeAspect="1"/>
                    </pic:cNvPicPr>
                  </pic:nvPicPr>
                  <pic:blipFill>
                    <a:blip r:embed="rId37">
                      <a:extLst/>
                    </a:blip>
                    <a:stretch>
                      <a:fillRect/>
                    </a:stretch>
                  </pic:blipFill>
                  <pic:spPr>
                    <a:xfrm>
                      <a:off x="0" y="0"/>
                      <a:ext cx="2903478" cy="1302544"/>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drawing xmlns:a="http://schemas.openxmlformats.org/drawingml/2006/main">
          <wp:inline distT="0" distB="0" distL="0" distR="0">
            <wp:extent cx="2859786" cy="1250071"/>
            <wp:effectExtent l="0" t="0" r="0" b="0"/>
            <wp:docPr id="1073741859" name="officeArt object" descr="image.png"/>
            <wp:cNvGraphicFramePr/>
            <a:graphic xmlns:a="http://schemas.openxmlformats.org/drawingml/2006/main">
              <a:graphicData uri="http://schemas.openxmlformats.org/drawingml/2006/picture">
                <pic:pic xmlns:pic="http://schemas.openxmlformats.org/drawingml/2006/picture">
                  <pic:nvPicPr>
                    <pic:cNvPr id="1073741859" name="image.png" descr="image.png"/>
                    <pic:cNvPicPr>
                      <a:picLocks noChangeAspect="1"/>
                    </pic:cNvPicPr>
                  </pic:nvPicPr>
                  <pic:blipFill>
                    <a:blip r:embed="rId38">
                      <a:extLst/>
                    </a:blip>
                    <a:stretch>
                      <a:fillRect/>
                    </a:stretch>
                  </pic:blipFill>
                  <pic:spPr>
                    <a:xfrm>
                      <a:off x="0" y="0"/>
                      <a:ext cx="2859786" cy="1250071"/>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br w:type="textWrapping"/>
      </w:r>
    </w:p>
    <w:p>
      <w:pPr>
        <w:pStyle w:val="Normal.0"/>
        <w:spacing w:after="0" w:line="360" w:lineRule="auto"/>
        <w:jc w:val="center"/>
        <w:rPr>
          <w:rStyle w:val="Hyperlink.1"/>
        </w:rPr>
      </w:pPr>
      <w:r>
        <w:rPr>
          <w:rStyle w:val="Hyperlink.1"/>
          <w:rtl w:val="0"/>
          <w:lang w:val="en-US"/>
        </w:rPr>
        <w:t>1-Dodecanol  Dodecane</w:t>
      </w:r>
    </w:p>
    <w:p>
      <w:pPr>
        <w:pStyle w:val="Normal.0"/>
        <w:spacing w:after="0" w:line="360" w:lineRule="auto"/>
        <w:jc w:val="center"/>
        <w:rPr>
          <w:rStyle w:val="Hyperlink.1"/>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915393" cy="1241822"/>
            <wp:effectExtent l="0" t="0" r="0" b="0"/>
            <wp:docPr id="1073741860" name="officeArt object" descr="image.png"/>
            <wp:cNvGraphicFramePr/>
            <a:graphic xmlns:a="http://schemas.openxmlformats.org/drawingml/2006/main">
              <a:graphicData uri="http://schemas.openxmlformats.org/drawingml/2006/picture">
                <pic:pic xmlns:pic="http://schemas.openxmlformats.org/drawingml/2006/picture">
                  <pic:nvPicPr>
                    <pic:cNvPr id="1073741860" name="image.png" descr="image.png"/>
                    <pic:cNvPicPr>
                      <a:picLocks noChangeAspect="1"/>
                    </pic:cNvPicPr>
                  </pic:nvPicPr>
                  <pic:blipFill>
                    <a:blip r:embed="rId39">
                      <a:extLst/>
                    </a:blip>
                    <a:stretch>
                      <a:fillRect/>
                    </a:stretch>
                  </pic:blipFill>
                  <pic:spPr>
                    <a:xfrm>
                      <a:off x="0" y="0"/>
                      <a:ext cx="2915393" cy="1241822"/>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832356" cy="1203722"/>
            <wp:effectExtent l="0" t="0" r="0" b="0"/>
            <wp:docPr id="1073741861" name="officeArt object" descr="image.png"/>
            <wp:cNvGraphicFramePr/>
            <a:graphic xmlns:a="http://schemas.openxmlformats.org/drawingml/2006/main">
              <a:graphicData uri="http://schemas.openxmlformats.org/drawingml/2006/picture">
                <pic:pic xmlns:pic="http://schemas.openxmlformats.org/drawingml/2006/picture">
                  <pic:nvPicPr>
                    <pic:cNvPr id="1073741861" name="image.png" descr="image.png"/>
                    <pic:cNvPicPr>
                      <a:picLocks noChangeAspect="1"/>
                    </pic:cNvPicPr>
                  </pic:nvPicPr>
                  <pic:blipFill>
                    <a:blip r:embed="rId40">
                      <a:extLst/>
                    </a:blip>
                    <a:stretch>
                      <a:fillRect/>
                    </a:stretch>
                  </pic:blipFill>
                  <pic:spPr>
                    <a:xfrm>
                      <a:off x="0" y="0"/>
                      <a:ext cx="2832356" cy="1203722"/>
                    </a:xfrm>
                    <a:prstGeom prst="rect">
                      <a:avLst/>
                    </a:prstGeom>
                    <a:ln w="12700" cap="flat">
                      <a:noFill/>
                      <a:miter lim="400000"/>
                    </a:ln>
                    <a:effectLst/>
                  </pic:spPr>
                </pic:pic>
              </a:graphicData>
            </a:graphic>
          </wp:inline>
        </w:drawing>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sz w:val="24"/>
          <w:szCs w:val="24"/>
        </w:rPr>
        <w:drawing xmlns:a="http://schemas.openxmlformats.org/drawingml/2006/main">
          <wp:anchor distT="0" distB="0" distL="0" distR="0" simplePos="0" relativeHeight="251663360" behindDoc="0" locked="0" layoutInCell="1" allowOverlap="1">
            <wp:simplePos x="0" y="0"/>
            <wp:positionH relativeFrom="column">
              <wp:posOffset>1308733</wp:posOffset>
            </wp:positionH>
            <wp:positionV relativeFrom="line">
              <wp:posOffset>29209</wp:posOffset>
            </wp:positionV>
            <wp:extent cx="2921637" cy="1323340"/>
            <wp:effectExtent l="0" t="0" r="0" b="0"/>
            <wp:wrapNone/>
            <wp:docPr id="1073741862" name="officeArt object" descr="image.png"/>
            <wp:cNvGraphicFramePr/>
            <a:graphic xmlns:a="http://schemas.openxmlformats.org/drawingml/2006/main">
              <a:graphicData uri="http://schemas.openxmlformats.org/drawingml/2006/picture">
                <pic:pic xmlns:pic="http://schemas.openxmlformats.org/drawingml/2006/picture">
                  <pic:nvPicPr>
                    <pic:cNvPr id="1073741862" name="image.png" descr="image.png"/>
                    <pic:cNvPicPr>
                      <a:picLocks noChangeAspect="1"/>
                    </pic:cNvPicPr>
                  </pic:nvPicPr>
                  <pic:blipFill>
                    <a:blip r:embed="rId41">
                      <a:extLst/>
                    </a:blip>
                    <a:stretch>
                      <a:fillRect/>
                    </a:stretch>
                  </pic:blipFill>
                  <pic:spPr>
                    <a:xfrm>
                      <a:off x="0" y="0"/>
                      <a:ext cx="2921637" cy="1323340"/>
                    </a:xfrm>
                    <a:prstGeom prst="rect">
                      <a:avLst/>
                    </a:prstGeom>
                    <a:ln w="12700" cap="flat">
                      <a:noFill/>
                      <a:miter lim="400000"/>
                    </a:ln>
                    <a:effectLst/>
                  </pic:spPr>
                </pic:pic>
              </a:graphicData>
            </a:graphic>
          </wp:anchor>
        </w:drawing>
      </w:r>
      <w:r>
        <w:rPr>
          <w:rStyle w:val="None"/>
          <w:rFonts w:ascii="Times New Roman" w:cs="Times New Roman" w:hAnsi="Times New Roman" w:eastAsia="Times New Roman"/>
          <w:kern w:val="0"/>
          <w:sz w:val="24"/>
          <w:szCs w:val="24"/>
        </w:rPr>
        <w:br w:type="textWrapping"/>
      </w: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tl w:val="0"/>
          <w:lang w:val="en-US"/>
        </w:rPr>
        <w:t>1-Tetradecanol Tetradecane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br w:type="textWrapping"/>
      </w:r>
      <w:r>
        <w:rPr>
          <w:rStyle w:val="None"/>
          <w:rFonts w:ascii="Times New Roman" w:cs="Times New Roman" w:hAnsi="Times New Roman" w:eastAsia="Times New Roman"/>
          <w:kern w:val="0"/>
          <w:sz w:val="24"/>
          <w:szCs w:val="24"/>
        </w:rPr>
        <w:drawing xmlns:a="http://schemas.openxmlformats.org/drawingml/2006/main">
          <wp:inline distT="0" distB="0" distL="0" distR="0">
            <wp:extent cx="2831308" cy="1196180"/>
            <wp:effectExtent l="0" t="0" r="0" b="0"/>
            <wp:docPr id="1073741863" name="officeArt object" descr="image.png"/>
            <wp:cNvGraphicFramePr/>
            <a:graphic xmlns:a="http://schemas.openxmlformats.org/drawingml/2006/main">
              <a:graphicData uri="http://schemas.openxmlformats.org/drawingml/2006/picture">
                <pic:pic xmlns:pic="http://schemas.openxmlformats.org/drawingml/2006/picture">
                  <pic:nvPicPr>
                    <pic:cNvPr id="1073741863" name="image.png" descr="image.png"/>
                    <pic:cNvPicPr>
                      <a:picLocks noChangeAspect="1"/>
                    </pic:cNvPicPr>
                  </pic:nvPicPr>
                  <pic:blipFill>
                    <a:blip r:embed="rId42">
                      <a:extLst/>
                    </a:blip>
                    <a:stretch>
                      <a:fillRect/>
                    </a:stretch>
                  </pic:blipFill>
                  <pic:spPr>
                    <a:xfrm>
                      <a:off x="0" y="0"/>
                      <a:ext cx="2831308" cy="1196180"/>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br w:type="textWrapping"/>
      </w:r>
      <w:r>
        <w:rPr>
          <w:rStyle w:val="Hyperlink.1"/>
          <w:rtl w:val="0"/>
          <w:lang w:val="en-US"/>
        </w:rPr>
        <w:t>2,4-Di-tert-butylphenol n-Pentadecanol</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879198" cy="1417740"/>
            <wp:effectExtent l="0" t="0" r="0" b="0"/>
            <wp:docPr id="1073741864" name="officeArt object" descr="image.png"/>
            <wp:cNvGraphicFramePr/>
            <a:graphic xmlns:a="http://schemas.openxmlformats.org/drawingml/2006/main">
              <a:graphicData uri="http://schemas.openxmlformats.org/drawingml/2006/picture">
                <pic:pic xmlns:pic="http://schemas.openxmlformats.org/drawingml/2006/picture">
                  <pic:nvPicPr>
                    <pic:cNvPr id="1073741864" name="image.png" descr="image.png"/>
                    <pic:cNvPicPr>
                      <a:picLocks noChangeAspect="1"/>
                    </pic:cNvPicPr>
                  </pic:nvPicPr>
                  <pic:blipFill>
                    <a:blip r:embed="rId43">
                      <a:extLst/>
                    </a:blip>
                    <a:stretch>
                      <a:fillRect/>
                    </a:stretch>
                  </pic:blipFill>
                  <pic:spPr>
                    <a:xfrm>
                      <a:off x="0" y="0"/>
                      <a:ext cx="2879198" cy="1417740"/>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drawing xmlns:a="http://schemas.openxmlformats.org/drawingml/2006/main">
          <wp:inline distT="0" distB="0" distL="0" distR="0">
            <wp:extent cx="2831308" cy="1348817"/>
            <wp:effectExtent l="0" t="0" r="0" b="0"/>
            <wp:docPr id="1073741865" name="officeArt object" descr="image.png"/>
            <wp:cNvGraphicFramePr/>
            <a:graphic xmlns:a="http://schemas.openxmlformats.org/drawingml/2006/main">
              <a:graphicData uri="http://schemas.openxmlformats.org/drawingml/2006/picture">
                <pic:pic xmlns:pic="http://schemas.openxmlformats.org/drawingml/2006/picture">
                  <pic:nvPicPr>
                    <pic:cNvPr id="1073741865" name="image.png" descr="image.png"/>
                    <pic:cNvPicPr>
                      <a:picLocks noChangeAspect="1"/>
                    </pic:cNvPicPr>
                  </pic:nvPicPr>
                  <pic:blipFill>
                    <a:blip r:embed="rId44">
                      <a:extLst/>
                    </a:blip>
                    <a:stretch>
                      <a:fillRect/>
                    </a:stretch>
                  </pic:blipFill>
                  <pic:spPr>
                    <a:xfrm>
                      <a:off x="0" y="0"/>
                      <a:ext cx="2831308" cy="1348817"/>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br w:type="textWrapping"/>
        <w:br w:type="textWrapping"/>
      </w:r>
      <w:r>
        <w:rPr>
          <w:rStyle w:val="Hyperlink.1"/>
          <w:rtl w:val="0"/>
          <w:lang w:val="en-US"/>
        </w:rPr>
        <w:t>                     </w:t>
      </w:r>
      <w:r>
        <w:rPr>
          <w:rStyle w:val="Hyperlink.1"/>
          <w:rtl w:val="0"/>
          <w:lang w:val="en-US"/>
        </w:rPr>
        <w:t>Hexadecane</w:t>
        <w:tab/>
        <w:t xml:space="preserve"> </w:t>
      </w:r>
      <w:r>
        <w:rPr>
          <w:rStyle w:val="Hyperlink.1"/>
          <w:rtl w:val="0"/>
          <w:lang w:val="en-US"/>
        </w:rPr>
        <w:t xml:space="preserve">                                  </w:t>
      </w:r>
      <w:r>
        <w:rPr>
          <w:rStyle w:val="Hyperlink.1"/>
          <w:rtl w:val="0"/>
          <w:lang w:val="en-US"/>
        </w:rPr>
        <w:t>Cyclononasiloxane,octadecamethyl</w:t>
        <w:tab/>
      </w:r>
      <w:r>
        <w:rPr>
          <w:rStyle w:val="None"/>
          <w:rFonts w:ascii="Times New Roman" w:cs="Times New Roman" w:hAnsi="Times New Roman" w:eastAsia="Times New Roman"/>
          <w:kern w:val="0"/>
          <w:sz w:val="24"/>
          <w:szCs w:val="24"/>
        </w:rPr>
        <w:drawing xmlns:a="http://schemas.openxmlformats.org/drawingml/2006/main">
          <wp:inline distT="0" distB="0" distL="0" distR="0">
            <wp:extent cx="2952370" cy="1424580"/>
            <wp:effectExtent l="0" t="0" r="0" b="0"/>
            <wp:docPr id="1073741866" name="officeArt object" descr="image.png"/>
            <wp:cNvGraphicFramePr/>
            <a:graphic xmlns:a="http://schemas.openxmlformats.org/drawingml/2006/main">
              <a:graphicData uri="http://schemas.openxmlformats.org/drawingml/2006/picture">
                <pic:pic xmlns:pic="http://schemas.openxmlformats.org/drawingml/2006/picture">
                  <pic:nvPicPr>
                    <pic:cNvPr id="1073741866" name="image.png" descr="image.png"/>
                    <pic:cNvPicPr>
                      <a:picLocks noChangeAspect="1"/>
                    </pic:cNvPicPr>
                  </pic:nvPicPr>
                  <pic:blipFill>
                    <a:blip r:embed="rId45">
                      <a:extLst/>
                    </a:blip>
                    <a:stretch>
                      <a:fillRect/>
                    </a:stretch>
                  </pic:blipFill>
                  <pic:spPr>
                    <a:xfrm>
                      <a:off x="0" y="0"/>
                      <a:ext cx="2952370" cy="1424580"/>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drawing xmlns:a="http://schemas.openxmlformats.org/drawingml/2006/main">
          <wp:inline distT="0" distB="0" distL="0" distR="0">
            <wp:extent cx="2857110" cy="1257339"/>
            <wp:effectExtent l="0" t="0" r="0" b="0"/>
            <wp:docPr id="1073741867" name="officeArt object" descr="image.png"/>
            <wp:cNvGraphicFramePr/>
            <a:graphic xmlns:a="http://schemas.openxmlformats.org/drawingml/2006/main">
              <a:graphicData uri="http://schemas.openxmlformats.org/drawingml/2006/picture">
                <pic:pic xmlns:pic="http://schemas.openxmlformats.org/drawingml/2006/picture">
                  <pic:nvPicPr>
                    <pic:cNvPr id="1073741867" name="image.png" descr="image.png"/>
                    <pic:cNvPicPr>
                      <a:picLocks noChangeAspect="1"/>
                    </pic:cNvPicPr>
                  </pic:nvPicPr>
                  <pic:blipFill>
                    <a:blip r:embed="rId46">
                      <a:extLst/>
                    </a:blip>
                    <a:stretch>
                      <a:fillRect/>
                    </a:stretch>
                  </pic:blipFill>
                  <pic:spPr>
                    <a:xfrm>
                      <a:off x="0" y="0"/>
                      <a:ext cx="2857110" cy="1257339"/>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tl w:val="0"/>
          <w:lang w:val="en-US"/>
        </w:rPr>
        <w:t>1-Hexacosanol</w:t>
        <w:tab/>
        <w:t xml:space="preserve"> OO'-Biphenol,4',4,6,6'-Tetra-T-Butyl</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br w:type="textWrapping"/>
      </w:r>
      <w:r>
        <w:rPr>
          <w:rStyle w:val="None"/>
          <w:rFonts w:ascii="Times New Roman" w:cs="Times New Roman" w:hAnsi="Times New Roman" w:eastAsia="Times New Roman"/>
          <w:kern w:val="0"/>
          <w:sz w:val="24"/>
          <w:szCs w:val="24"/>
        </w:rPr>
        <w:drawing xmlns:a="http://schemas.openxmlformats.org/drawingml/2006/main">
          <wp:inline distT="0" distB="0" distL="0" distR="0">
            <wp:extent cx="2877790" cy="1303363"/>
            <wp:effectExtent l="0" t="0" r="0" b="0"/>
            <wp:docPr id="1073741868" name="officeArt object" descr="image.png"/>
            <wp:cNvGraphicFramePr/>
            <a:graphic xmlns:a="http://schemas.openxmlformats.org/drawingml/2006/main">
              <a:graphicData uri="http://schemas.openxmlformats.org/drawingml/2006/picture">
                <pic:pic xmlns:pic="http://schemas.openxmlformats.org/drawingml/2006/picture">
                  <pic:nvPicPr>
                    <pic:cNvPr id="1073741868" name="image.png" descr="image.png"/>
                    <pic:cNvPicPr>
                      <a:picLocks noChangeAspect="1"/>
                    </pic:cNvPicPr>
                  </pic:nvPicPr>
                  <pic:blipFill>
                    <a:blip r:embed="rId47">
                      <a:extLst/>
                    </a:blip>
                    <a:stretch>
                      <a:fillRect/>
                    </a:stretch>
                  </pic:blipFill>
                  <pic:spPr>
                    <a:xfrm>
                      <a:off x="0" y="0"/>
                      <a:ext cx="2877790" cy="1303363"/>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br w:type="textWrapping"/>
      </w:r>
      <w:r>
        <w:rPr>
          <w:rStyle w:val="None"/>
          <w:rFonts w:ascii="Times New Roman" w:cs="Times New Roman" w:hAnsi="Times New Roman" w:eastAsia="Times New Roman"/>
          <w:kern w:val="0"/>
          <w:sz w:val="24"/>
          <w:szCs w:val="24"/>
        </w:rPr>
        <w:drawing xmlns:a="http://schemas.openxmlformats.org/drawingml/2006/main">
          <wp:inline distT="0" distB="0" distL="0" distR="0">
            <wp:extent cx="2914137" cy="1364514"/>
            <wp:effectExtent l="0" t="0" r="0" b="0"/>
            <wp:docPr id="1073741869" name="officeArt object" descr="image.png"/>
            <wp:cNvGraphicFramePr/>
            <a:graphic xmlns:a="http://schemas.openxmlformats.org/drawingml/2006/main">
              <a:graphicData uri="http://schemas.openxmlformats.org/drawingml/2006/picture">
                <pic:pic xmlns:pic="http://schemas.openxmlformats.org/drawingml/2006/picture">
                  <pic:nvPicPr>
                    <pic:cNvPr id="1073741869" name="image.png" descr="image.png"/>
                    <pic:cNvPicPr>
                      <a:picLocks noChangeAspect="1"/>
                    </pic:cNvPicPr>
                  </pic:nvPicPr>
                  <pic:blipFill>
                    <a:blip r:embed="rId48">
                      <a:extLst/>
                    </a:blip>
                    <a:stretch>
                      <a:fillRect/>
                    </a:stretch>
                  </pic:blipFill>
                  <pic:spPr>
                    <a:xfrm>
                      <a:off x="0" y="0"/>
                      <a:ext cx="2914137" cy="1364514"/>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br w:type="textWrapping"/>
      </w:r>
      <w:r>
        <w:rPr>
          <w:rStyle w:val="Hyperlink.1"/>
          <w:rtl w:val="0"/>
          <w:lang w:val="en-US"/>
        </w:rPr>
        <w:t> </w:t>
      </w:r>
      <w:r>
        <w:rPr>
          <w:rStyle w:val="Hyperlink.1"/>
          <w:rtl w:val="0"/>
          <w:lang w:val="en-US"/>
        </w:rPr>
        <w:t>1-Heptacosanol Tetrapentacontane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br w:type="textWrapping"/>
      </w:r>
      <w:r>
        <w:rPr>
          <w:rStyle w:val="None"/>
          <w:rFonts w:ascii="Times New Roman" w:cs="Times New Roman" w:hAnsi="Times New Roman" w:eastAsia="Times New Roman"/>
          <w:kern w:val="0"/>
          <w:sz w:val="24"/>
          <w:szCs w:val="24"/>
        </w:rPr>
        <w:drawing xmlns:a="http://schemas.openxmlformats.org/drawingml/2006/main">
          <wp:inline distT="0" distB="0" distL="0" distR="0">
            <wp:extent cx="3421515" cy="1302659"/>
            <wp:effectExtent l="0" t="0" r="0" b="0"/>
            <wp:docPr id="1073741870" name="officeArt object" descr="image.png"/>
            <wp:cNvGraphicFramePr/>
            <a:graphic xmlns:a="http://schemas.openxmlformats.org/drawingml/2006/main">
              <a:graphicData uri="http://schemas.openxmlformats.org/drawingml/2006/picture">
                <pic:pic xmlns:pic="http://schemas.openxmlformats.org/drawingml/2006/picture">
                  <pic:nvPicPr>
                    <pic:cNvPr id="1073741870" name="image.png" descr="image.png"/>
                    <pic:cNvPicPr>
                      <a:picLocks noChangeAspect="1"/>
                    </pic:cNvPicPr>
                  </pic:nvPicPr>
                  <pic:blipFill>
                    <a:blip r:embed="rId49">
                      <a:extLst/>
                    </a:blip>
                    <a:stretch>
                      <a:fillRect/>
                    </a:stretch>
                  </pic:blipFill>
                  <pic:spPr>
                    <a:xfrm>
                      <a:off x="0" y="0"/>
                      <a:ext cx="3421515" cy="1302659"/>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tl w:val="0"/>
          <w:lang w:val="en-US"/>
        </w:rPr>
        <w:t>Octadecane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 2. Mass Spectra and Fragmentation Patterns of Antibacterial                                 Compounds Identified in the</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3.3. </w:t>
        <w:tab/>
        <w:t xml:space="preserve">Antifungal Compounds Identified from the 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GC</w:t>
      </w:r>
      <w:r>
        <w:rPr>
          <w:rStyle w:val="Hyperlink.1"/>
          <w:rtl w:val="0"/>
          <w:lang w:val="en-US"/>
        </w:rPr>
        <w:t>–</w:t>
      </w:r>
      <w:r>
        <w:rPr>
          <w:rStyle w:val="Hyperlink.1"/>
          <w:rtl w:val="0"/>
          <w:lang w:val="en-US"/>
        </w:rPr>
        <w:t>MS analysis identified several compounds with reported antifungal activity in the</w:t>
      </w:r>
      <w:r>
        <w:rPr>
          <w:rStyle w:val="Hyperlink.1"/>
          <w:rtl w:val="0"/>
          <w:lang w:val="en-US"/>
        </w:rPr>
        <w:t xml:space="preserve">  </w:t>
      </w:r>
      <w:r>
        <w:rPr>
          <w:rStyle w:val="Hyperlink.1"/>
          <w:rtl w:val="0"/>
          <w:lang w:val="en-US"/>
        </w:rPr>
        <w:t xml:space="preserve">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(Table 2). These include alkanes such as Dodecane, Tetradecane, Eicosane, Octadecane, and Tetrapentacontane; fatty alcohols including 1-Hexacosanol and 1-Heptacosanol; the phenolic compound 2,4-Di-tert-butylphenol; the alkene 1-Nonadecene; and the aromatic compound O,O</w:t>
      </w:r>
      <w:r>
        <w:rPr>
          <w:rStyle w:val="Hyperlink.1"/>
          <w:rtl w:val="0"/>
          <w:lang w:val="en-US"/>
        </w:rPr>
        <w:t>′</w:t>
      </w:r>
      <w:r>
        <w:rPr>
          <w:rStyle w:val="Hyperlink.1"/>
          <w:rtl w:val="0"/>
          <w:lang w:val="en-US"/>
        </w:rPr>
        <w:t>-Biphenol, 4,4</w:t>
      </w:r>
      <w:r>
        <w:rPr>
          <w:rStyle w:val="Hyperlink.1"/>
          <w:rtl w:val="0"/>
          <w:lang w:val="en-US"/>
        </w:rPr>
        <w:t>′</w:t>
      </w:r>
      <w:r>
        <w:rPr>
          <w:rStyle w:val="Hyperlink.1"/>
          <w:rtl w:val="0"/>
          <w:lang w:val="en-US"/>
        </w:rPr>
        <w:t>,6,6</w:t>
      </w:r>
      <w:r>
        <w:rPr>
          <w:rStyle w:val="Hyperlink.1"/>
          <w:rtl w:val="0"/>
          <w:lang w:val="en-US"/>
        </w:rPr>
        <w:t>′</w:t>
      </w:r>
      <w:r>
        <w:rPr>
          <w:rStyle w:val="Hyperlink.1"/>
          <w:rtl w:val="0"/>
          <w:lang w:val="en-US"/>
        </w:rPr>
        <w:t>-tetra-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tert</w:t>
      </w:r>
      <w:r>
        <w:rPr>
          <w:rStyle w:val="Hyperlink.1"/>
          <w:rtl w:val="0"/>
          <w:lang w:val="en-US"/>
        </w:rPr>
        <w:t>-butyl. Among the identified compounds, 2,4-Di-tert-butylphenol is recognized for its significant antifungal activity. The molecular weights of the identified compounds ranged from 170 g/mol (Dodecane) to 758 g/mol (Tetrapentacontane), demonstrating the chemical diversity of the slug mucus. The mass spectra and chemical structures of the identified antifungal compounds are presented in Figure3.</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Table.2 Antifungal compounds Identified in the 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tbl>
      <w:tblPr>
        <w:tblW w:w="924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4"/>
        <w:gridCol w:w="1265"/>
        <w:gridCol w:w="963"/>
        <w:gridCol w:w="2169"/>
        <w:gridCol w:w="1435"/>
        <w:gridCol w:w="1437"/>
        <w:gridCol w:w="1269"/>
      </w:tblGrid>
      <w:tr>
        <w:tblPrEx>
          <w:shd w:val="clear" w:color="auto" w:fill="ced7e7"/>
        </w:tblPrEx>
        <w:trPr>
          <w:trHeight w:val="755"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S.No</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Retention time</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Area%</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Compound name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Compound nature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Molecular</w:t>
            </w:r>
            <w:r>
              <w:rPr>
                <w:rStyle w:val="None"/>
                <w:rFonts w:ascii="Times New Roman" w:hAnsi="Times New Roman" w:hint="default"/>
                <w:b w:val="1"/>
                <w:bCs w:val="1"/>
                <w:kern w:val="0"/>
                <w:sz w:val="24"/>
                <w:szCs w:val="24"/>
                <w:shd w:val="nil" w:color="auto" w:fill="auto"/>
                <w:rtl w:val="0"/>
                <w:lang w:val="en-US"/>
              </w:rPr>
              <w:t xml:space="preserve">      </w:t>
            </w:r>
            <w:r>
              <w:rPr>
                <w:rStyle w:val="None"/>
                <w:rFonts w:ascii="Times New Roman" w:hAnsi="Times New Roman"/>
                <w:b w:val="1"/>
                <w:bCs w:val="1"/>
                <w:kern w:val="0"/>
                <w:sz w:val="24"/>
                <w:szCs w:val="24"/>
                <w:shd w:val="nil" w:color="auto" w:fill="auto"/>
                <w:rtl w:val="0"/>
                <w:lang w:val="en-US"/>
              </w:rPr>
              <w:t>formula</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rPr>
                <w:rStyle w:val="None"/>
                <w:rFonts w:ascii="Times New Roman" w:cs="Times New Roman" w:hAnsi="Times New Roman" w:eastAsia="Times New Roman"/>
                <w:kern w:val="0"/>
                <w:sz w:val="24"/>
                <w:szCs w:val="24"/>
                <w:shd w:val="nil" w:color="auto" w:fill="auto"/>
              </w:rPr>
            </w:pPr>
            <w:r>
              <w:rPr>
                <w:rStyle w:val="None"/>
                <w:rFonts w:ascii="Times New Roman" w:hAnsi="Times New Roman"/>
                <w:b w:val="1"/>
                <w:bCs w:val="1"/>
                <w:kern w:val="0"/>
                <w:sz w:val="24"/>
                <w:szCs w:val="24"/>
                <w:shd w:val="nil" w:color="auto" w:fill="auto"/>
                <w:rtl w:val="0"/>
                <w:lang w:val="en-US"/>
              </w:rPr>
              <w:t>Molecular</w:t>
            </w:r>
          </w:p>
          <w:p>
            <w:pPr>
              <w:pStyle w:val="Normal.0"/>
              <w:bidi w:val="0"/>
              <w:spacing w:after="0" w:line="360" w:lineRule="auto"/>
              <w:ind w:left="0" w:right="0" w:firstLine="0"/>
              <w:jc w:val="both"/>
              <w:rPr>
                <w:rtl w:val="0"/>
              </w:rPr>
            </w:pPr>
            <w:r>
              <w:rPr>
                <w:rStyle w:val="None"/>
                <w:rFonts w:ascii="Times New Roman" w:hAnsi="Times New Roman"/>
                <w:b w:val="1"/>
                <w:bCs w:val="1"/>
                <w:kern w:val="0"/>
                <w:sz w:val="24"/>
                <w:szCs w:val="24"/>
                <w:shd w:val="nil" w:color="auto" w:fill="auto"/>
                <w:rtl w:val="0"/>
                <w:lang w:val="en-US"/>
              </w:rPr>
              <w:t>weight</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6.127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3.08</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Dodecane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Alkane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12</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26</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170</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11.787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3.87</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Tetradecane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Alkane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30</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198</w:t>
            </w:r>
          </w:p>
        </w:tc>
      </w:tr>
      <w:tr>
        <w:tblPrEx>
          <w:shd w:val="clear" w:color="auto" w:fill="ced7e7"/>
        </w:tblPrEx>
        <w:trPr>
          <w:trHeight w:val="755"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15.325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2.54</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2,4-Di-tert-butylphenol</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Phenol</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22</w:t>
            </w:r>
            <w:r>
              <w:rPr>
                <w:rStyle w:val="None"/>
                <w:rFonts w:ascii="Times New Roman" w:hAnsi="Times New Roman"/>
                <w:kern w:val="0"/>
                <w:sz w:val="24"/>
                <w:szCs w:val="24"/>
                <w:shd w:val="nil" w:color="auto" w:fill="auto"/>
                <w:rtl w:val="0"/>
                <w:lang w:val="en-US"/>
              </w:rPr>
              <w:t>O</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206</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4</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25.482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8.08</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1-Nonadecene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Alkene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19</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38</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266</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5</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25.734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4.79</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Eicosane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Alkane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20</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42</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282</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6</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35.748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5.34</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1-Hexacosanol</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Fatty alcohol</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26</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54</w:t>
            </w:r>
            <w:r>
              <w:rPr>
                <w:rStyle w:val="None"/>
                <w:rFonts w:ascii="Times New Roman" w:hAnsi="Times New Roman"/>
                <w:kern w:val="0"/>
                <w:sz w:val="24"/>
                <w:szCs w:val="24"/>
                <w:shd w:val="nil" w:color="auto" w:fill="auto"/>
                <w:rtl w:val="0"/>
                <w:lang w:val="en-US"/>
              </w:rPr>
              <w:t>O</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382</w:t>
            </w:r>
          </w:p>
        </w:tc>
      </w:tr>
      <w:tr>
        <w:tblPrEx>
          <w:shd w:val="clear" w:color="auto" w:fill="ced7e7"/>
        </w:tblPrEx>
        <w:trPr>
          <w:trHeight w:val="120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both"/>
              <w:rPr>
                <w:rtl w:val="0"/>
              </w:rPr>
            </w:pPr>
            <w:r>
              <w:rPr>
                <w:rStyle w:val="None"/>
                <w:rFonts w:ascii="Times New Roman" w:hAnsi="Times New Roman"/>
                <w:kern w:val="0"/>
                <w:sz w:val="24"/>
                <w:szCs w:val="24"/>
                <w:shd w:val="nil" w:color="auto" w:fill="auto"/>
                <w:rtl w:val="0"/>
                <w:lang w:val="en-US"/>
              </w:rPr>
              <w:t>7</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38.580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3.89</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O O'-Biphenol,4,4',6,6'-Tetra-T-Butyl</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Aromatic</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28</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42</w:t>
            </w:r>
            <w:r>
              <w:rPr>
                <w:rStyle w:val="None"/>
                <w:rFonts w:ascii="Times New Roman" w:hAnsi="Times New Roman"/>
                <w:kern w:val="0"/>
                <w:sz w:val="24"/>
                <w:szCs w:val="24"/>
                <w:shd w:val="nil" w:color="auto" w:fill="auto"/>
                <w:rtl w:val="0"/>
                <w:lang w:val="en-US"/>
              </w:rPr>
              <w:t>O</w:t>
            </w:r>
            <w:r>
              <w:rPr>
                <w:rStyle w:val="None"/>
                <w:rFonts w:ascii="Times New Roman" w:hAnsi="Times New Roman"/>
                <w:kern w:val="0"/>
                <w:sz w:val="24"/>
                <w:szCs w:val="24"/>
                <w:shd w:val="nil" w:color="auto" w:fill="auto"/>
                <w:vertAlign w:val="subscript"/>
                <w:rtl w:val="0"/>
                <w:lang w:val="en-US"/>
              </w:rPr>
              <w:t>2</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410</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8</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39.414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3.08</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1-Heptacosanol</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Fatty alcohol</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27</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56</w:t>
            </w:r>
            <w:r>
              <w:rPr>
                <w:rStyle w:val="None"/>
                <w:rFonts w:ascii="Times New Roman" w:hAnsi="Times New Roman"/>
                <w:kern w:val="0"/>
                <w:sz w:val="24"/>
                <w:szCs w:val="24"/>
                <w:shd w:val="nil" w:color="auto" w:fill="auto"/>
                <w:rtl w:val="0"/>
                <w:lang w:val="en-US"/>
              </w:rPr>
              <w:t>O</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396</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9</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39.510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1.77</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Tetrapentacontane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Alkane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54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11O</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758</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10</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42.747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1.29</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Octadecane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Alkane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18</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38</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254</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875627" cy="1394222"/>
            <wp:effectExtent l="0" t="0" r="0" b="0"/>
            <wp:docPr id="1073741871" name="officeArt object" descr="image.png"/>
            <wp:cNvGraphicFramePr/>
            <a:graphic xmlns:a="http://schemas.openxmlformats.org/drawingml/2006/main">
              <a:graphicData uri="http://schemas.openxmlformats.org/drawingml/2006/picture">
                <pic:pic xmlns:pic="http://schemas.openxmlformats.org/drawingml/2006/picture">
                  <pic:nvPicPr>
                    <pic:cNvPr id="1073741871" name="image.png" descr="image.png"/>
                    <pic:cNvPicPr>
                      <a:picLocks noChangeAspect="1"/>
                    </pic:cNvPicPr>
                  </pic:nvPicPr>
                  <pic:blipFill>
                    <a:blip r:embed="rId37">
                      <a:extLst/>
                    </a:blip>
                    <a:stretch>
                      <a:fillRect/>
                    </a:stretch>
                  </pic:blipFill>
                  <pic:spPr>
                    <a:xfrm>
                      <a:off x="0" y="0"/>
                      <a:ext cx="2875627" cy="1394222"/>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drawing xmlns:a="http://schemas.openxmlformats.org/drawingml/2006/main">
          <wp:inline distT="0" distB="0" distL="0" distR="0">
            <wp:extent cx="2496312" cy="1319213"/>
            <wp:effectExtent l="0" t="0" r="0" b="0"/>
            <wp:docPr id="1073741872" name="officeArt object" descr="image.png"/>
            <wp:cNvGraphicFramePr/>
            <a:graphic xmlns:a="http://schemas.openxmlformats.org/drawingml/2006/main">
              <a:graphicData uri="http://schemas.openxmlformats.org/drawingml/2006/picture">
                <pic:pic xmlns:pic="http://schemas.openxmlformats.org/drawingml/2006/picture">
                  <pic:nvPicPr>
                    <pic:cNvPr id="1073741872" name="image.png" descr="image.png"/>
                    <pic:cNvPicPr>
                      <a:picLocks noChangeAspect="1"/>
                    </pic:cNvPicPr>
                  </pic:nvPicPr>
                  <pic:blipFill>
                    <a:blip r:embed="rId40">
                      <a:extLst/>
                    </a:blip>
                    <a:stretch>
                      <a:fillRect/>
                    </a:stretch>
                  </pic:blipFill>
                  <pic:spPr>
                    <a:xfrm>
                      <a:off x="0" y="0"/>
                      <a:ext cx="2496312" cy="1319213"/>
                    </a:xfrm>
                    <a:prstGeom prst="rect">
                      <a:avLst/>
                    </a:prstGeom>
                    <a:ln w="12700" cap="flat">
                      <a:noFill/>
                      <a:miter lim="400000"/>
                    </a:ln>
                    <a:effectLst/>
                  </pic:spPr>
                </pic:pic>
              </a:graphicData>
            </a:graphic>
          </wp:inline>
        </w:drawing>
      </w:r>
    </w:p>
    <w:p>
      <w:pPr>
        <w:pStyle w:val="Normal.0"/>
        <w:spacing w:after="0" w:line="240" w:lineRule="auto"/>
        <w:ind w:firstLine="720"/>
        <w:rPr>
          <w:rStyle w:val="Hyperlink.1"/>
        </w:rPr>
      </w:pPr>
      <w:r>
        <w:rPr>
          <w:rStyle w:val="Hyperlink.1"/>
          <w:rtl w:val="0"/>
          <w:lang w:val="en-US"/>
        </w:rPr>
        <w:t xml:space="preserve">                         Dodecane </w:t>
        <w:tab/>
        <w:tab/>
        <w:tab/>
        <w:tab/>
        <w:t>Tetradecane</w:t>
      </w:r>
    </w:p>
    <w:p>
      <w:pPr>
        <w:pStyle w:val="Normal.0"/>
        <w:spacing w:after="0" w:line="240" w:lineRule="auto"/>
        <w:ind w:firstLine="720"/>
        <w:rPr>
          <w:rStyle w:val="None"/>
          <w:rFonts w:ascii="Times New Roman" w:cs="Times New Roman" w:hAnsi="Times New Roman" w:eastAsia="Times New Roman"/>
          <w:kern w:val="0"/>
          <w:sz w:val="24"/>
          <w:szCs w:val="24"/>
        </w:rPr>
      </w:pPr>
    </w:p>
    <w:p>
      <w:pPr>
        <w:pStyle w:val="Normal.0"/>
        <w:spacing w:after="0" w:line="240" w:lineRule="auto"/>
        <w:rPr>
          <w:rStyle w:val="Hyperlink.1"/>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797151" cy="1325900"/>
            <wp:effectExtent l="0" t="0" r="0" b="0"/>
            <wp:docPr id="1073741873" name="officeArt object" descr="image.png"/>
            <wp:cNvGraphicFramePr/>
            <a:graphic xmlns:a="http://schemas.openxmlformats.org/drawingml/2006/main">
              <a:graphicData uri="http://schemas.openxmlformats.org/drawingml/2006/picture">
                <pic:pic xmlns:pic="http://schemas.openxmlformats.org/drawingml/2006/picture">
                  <pic:nvPicPr>
                    <pic:cNvPr id="1073741873" name="image.png" descr="image.png"/>
                    <pic:cNvPicPr>
                      <a:picLocks noChangeAspect="1"/>
                    </pic:cNvPicPr>
                  </pic:nvPicPr>
                  <pic:blipFill>
                    <a:blip r:embed="rId41">
                      <a:extLst/>
                    </a:blip>
                    <a:stretch>
                      <a:fillRect/>
                    </a:stretch>
                  </pic:blipFill>
                  <pic:spPr>
                    <a:xfrm>
                      <a:off x="0" y="0"/>
                      <a:ext cx="2797151" cy="1325900"/>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drawing xmlns:a="http://schemas.openxmlformats.org/drawingml/2006/main">
          <wp:inline distT="0" distB="0" distL="0" distR="0">
            <wp:extent cx="2840222" cy="1310564"/>
            <wp:effectExtent l="0" t="0" r="0" b="0"/>
            <wp:docPr id="1073741874" name="officeArt object" descr="image.png"/>
            <wp:cNvGraphicFramePr/>
            <a:graphic xmlns:a="http://schemas.openxmlformats.org/drawingml/2006/main">
              <a:graphicData uri="http://schemas.openxmlformats.org/drawingml/2006/picture">
                <pic:pic xmlns:pic="http://schemas.openxmlformats.org/drawingml/2006/picture">
                  <pic:nvPicPr>
                    <pic:cNvPr id="1073741874" name="image.png" descr="image.png"/>
                    <pic:cNvPicPr>
                      <a:picLocks noChangeAspect="1"/>
                    </pic:cNvPicPr>
                  </pic:nvPicPr>
                  <pic:blipFill>
                    <a:blip r:embed="rId50">
                      <a:extLst/>
                    </a:blip>
                    <a:stretch>
                      <a:fillRect/>
                    </a:stretch>
                  </pic:blipFill>
                  <pic:spPr>
                    <a:xfrm>
                      <a:off x="0" y="0"/>
                      <a:ext cx="2840222" cy="1310564"/>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br w:type="textWrapping"/>
      </w:r>
      <w:r>
        <w:rPr>
          <w:rStyle w:val="Hyperlink.1"/>
          <w:rtl w:val="0"/>
          <w:lang w:val="en-US"/>
        </w:rPr>
        <w:t xml:space="preserve">                  2,4-Di-tert-butylphenol</w:t>
        <w:tab/>
        <w:tab/>
        <w:tab/>
        <w:t xml:space="preserve">               1-Nonadecene</w:t>
      </w:r>
    </w:p>
    <w:p>
      <w:pPr>
        <w:pStyle w:val="Normal.0"/>
        <w:spacing w:after="0" w:line="24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rPr>
          <w:rStyle w:val="Hyperlink.1"/>
        </w:rPr>
      </w:pPr>
      <w:r>
        <w:rPr>
          <w:rStyle w:val="None A"/>
        </w:rPr>
        <w:drawing xmlns:a="http://schemas.openxmlformats.org/drawingml/2006/main">
          <wp:anchor distT="0" distB="0" distL="0" distR="0" simplePos="0" relativeHeight="251666432" behindDoc="0" locked="0" layoutInCell="1" allowOverlap="1">
            <wp:simplePos x="0" y="0"/>
            <wp:positionH relativeFrom="column">
              <wp:posOffset>2786379</wp:posOffset>
            </wp:positionH>
            <wp:positionV relativeFrom="line">
              <wp:posOffset>0</wp:posOffset>
            </wp:positionV>
            <wp:extent cx="2915922" cy="1423670"/>
            <wp:effectExtent l="0" t="0" r="0" b="0"/>
            <wp:wrapNone/>
            <wp:docPr id="1073741875" name="officeArt object" descr="image.png"/>
            <wp:cNvGraphicFramePr/>
            <a:graphic xmlns:a="http://schemas.openxmlformats.org/drawingml/2006/main">
              <a:graphicData uri="http://schemas.openxmlformats.org/drawingml/2006/picture">
                <pic:pic xmlns:pic="http://schemas.openxmlformats.org/drawingml/2006/picture">
                  <pic:nvPicPr>
                    <pic:cNvPr id="1073741875" name="image.png" descr="image.png"/>
                    <pic:cNvPicPr>
                      <a:picLocks noChangeAspect="1"/>
                    </pic:cNvPicPr>
                  </pic:nvPicPr>
                  <pic:blipFill>
                    <a:blip r:embed="rId45">
                      <a:extLst/>
                    </a:blip>
                    <a:stretch>
                      <a:fillRect/>
                    </a:stretch>
                  </pic:blipFill>
                  <pic:spPr>
                    <a:xfrm>
                      <a:off x="0" y="0"/>
                      <a:ext cx="2915922" cy="1423670"/>
                    </a:xfrm>
                    <a:prstGeom prst="rect">
                      <a:avLst/>
                    </a:prstGeom>
                    <a:ln w="12700" cap="flat">
                      <a:noFill/>
                      <a:miter lim="400000"/>
                    </a:ln>
                    <a:effectLst/>
                  </pic:spPr>
                </pic:pic>
              </a:graphicData>
            </a:graphic>
          </wp:anchor>
        </w:drawing>
      </w:r>
      <w:r>
        <w:rPr>
          <w:rStyle w:val="None A"/>
        </w:rPr>
        <w:drawing xmlns:a="http://schemas.openxmlformats.org/drawingml/2006/main">
          <wp:anchor distT="0" distB="0" distL="0" distR="0" simplePos="0" relativeHeight="251657216" behindDoc="1" locked="0" layoutInCell="1" allowOverlap="1">
            <wp:simplePos x="0" y="0"/>
            <wp:positionH relativeFrom="column">
              <wp:posOffset>17778</wp:posOffset>
            </wp:positionH>
            <wp:positionV relativeFrom="line">
              <wp:posOffset>41274</wp:posOffset>
            </wp:positionV>
            <wp:extent cx="2587625" cy="1354456"/>
            <wp:effectExtent l="0" t="0" r="0" b="0"/>
            <wp:wrapNone/>
            <wp:docPr id="1073741876" name="officeArt object" descr="image.png"/>
            <wp:cNvGraphicFramePr/>
            <a:graphic xmlns:a="http://schemas.openxmlformats.org/drawingml/2006/main">
              <a:graphicData uri="http://schemas.openxmlformats.org/drawingml/2006/picture">
                <pic:pic xmlns:pic="http://schemas.openxmlformats.org/drawingml/2006/picture">
                  <pic:nvPicPr>
                    <pic:cNvPr id="1073741876" name="image.png" descr="image.png"/>
                    <pic:cNvPicPr>
                      <a:picLocks noChangeAspect="1"/>
                    </pic:cNvPicPr>
                  </pic:nvPicPr>
                  <pic:blipFill>
                    <a:blip r:embed="rId51">
                      <a:extLst/>
                    </a:blip>
                    <a:stretch>
                      <a:fillRect/>
                    </a:stretch>
                  </pic:blipFill>
                  <pic:spPr>
                    <a:xfrm>
                      <a:off x="0" y="0"/>
                      <a:ext cx="2587625" cy="1354456"/>
                    </a:xfrm>
                    <a:prstGeom prst="rect">
                      <a:avLst/>
                    </a:prstGeom>
                    <a:ln w="12700" cap="flat">
                      <a:noFill/>
                      <a:miter lim="400000"/>
                    </a:ln>
                    <a:effectLst/>
                  </pic:spPr>
                </pic:pic>
              </a:graphicData>
            </a:graphic>
          </wp:anchor>
        </w:drawing>
      </w:r>
    </w:p>
    <w:p>
      <w:pPr>
        <w:pStyle w:val="Normal.0"/>
        <w:spacing w:after="0" w:line="36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rPr>
          <w:rStyle w:val="None"/>
          <w:rFonts w:ascii="Times New Roman" w:cs="Times New Roman" w:hAnsi="Times New Roman" w:eastAsia="Times New Roman"/>
          <w:outline w:val="0"/>
          <w:color w:val="000000"/>
          <w:kern w:val="0"/>
          <w:sz w:val="6"/>
          <w:szCs w:val="6"/>
          <w:u w:color="000000"/>
          <w14:textFill>
            <w14:solidFill>
              <w14:srgbClr w14:val="000000"/>
            </w14:solidFill>
          </w14:textFill>
        </w:rPr>
      </w:pPr>
    </w:p>
    <w:p>
      <w:pPr>
        <w:pStyle w:val="Normal.0"/>
        <w:spacing w:after="0" w:line="36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rPr>
          <w:rStyle w:val="Hyperlink.1"/>
        </w:rPr>
      </w:pPr>
      <w:r>
        <w:rPr>
          <w:rStyle w:val="None"/>
          <w:rFonts w:ascii="Times New Roman" w:hAnsi="Times New Roman"/>
          <w:kern w:val="0"/>
          <w:sz w:val="24"/>
          <w:szCs w:val="24"/>
          <w:rtl w:val="0"/>
          <w:lang w:val="en-US"/>
        </w:rPr>
        <w:t xml:space="preserve">                          </w:t>
      </w:r>
      <w:r>
        <w:rPr>
          <w:rStyle w:val="Hyperlink.1"/>
          <w:rtl w:val="0"/>
          <w:lang w:val="en-US"/>
        </w:rPr>
        <w:t>Eicosane</w:t>
        <w:tab/>
        <w:tab/>
        <w:tab/>
        <w:tab/>
        <w:tab/>
        <w:t xml:space="preserve">   1-Hexacosanol</w:t>
        <w:tab/>
      </w:r>
    </w:p>
    <w:p>
      <w:pPr>
        <w:pStyle w:val="Normal.0"/>
        <w:spacing w:after="0" w:line="24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822010" cy="1257339"/>
            <wp:effectExtent l="0" t="0" r="0" b="0"/>
            <wp:docPr id="1073741877" name="officeArt object" descr="image.png"/>
            <wp:cNvGraphicFramePr/>
            <a:graphic xmlns:a="http://schemas.openxmlformats.org/drawingml/2006/main">
              <a:graphicData uri="http://schemas.openxmlformats.org/drawingml/2006/picture">
                <pic:pic xmlns:pic="http://schemas.openxmlformats.org/drawingml/2006/picture">
                  <pic:nvPicPr>
                    <pic:cNvPr id="1073741877" name="image.png" descr="image.png"/>
                    <pic:cNvPicPr>
                      <a:picLocks noChangeAspect="1"/>
                    </pic:cNvPicPr>
                  </pic:nvPicPr>
                  <pic:blipFill>
                    <a:blip r:embed="rId46">
                      <a:extLst/>
                    </a:blip>
                    <a:stretch>
                      <a:fillRect/>
                    </a:stretch>
                  </pic:blipFill>
                  <pic:spPr>
                    <a:xfrm>
                      <a:off x="0" y="0"/>
                      <a:ext cx="2822010" cy="1257339"/>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drawing xmlns:a="http://schemas.openxmlformats.org/drawingml/2006/main">
          <wp:inline distT="0" distB="0" distL="0" distR="0">
            <wp:extent cx="2674811" cy="1294353"/>
            <wp:effectExtent l="0" t="0" r="0" b="0"/>
            <wp:docPr id="1073741878" name="officeArt object" descr="image.png"/>
            <wp:cNvGraphicFramePr/>
            <a:graphic xmlns:a="http://schemas.openxmlformats.org/drawingml/2006/main">
              <a:graphicData uri="http://schemas.openxmlformats.org/drawingml/2006/picture">
                <pic:pic xmlns:pic="http://schemas.openxmlformats.org/drawingml/2006/picture">
                  <pic:nvPicPr>
                    <pic:cNvPr id="1073741878" name="image.png" descr="image.png"/>
                    <pic:cNvPicPr>
                      <a:picLocks noChangeAspect="1"/>
                    </pic:cNvPicPr>
                  </pic:nvPicPr>
                  <pic:blipFill>
                    <a:blip r:embed="rId48">
                      <a:extLst/>
                    </a:blip>
                    <a:stretch>
                      <a:fillRect/>
                    </a:stretch>
                  </pic:blipFill>
                  <pic:spPr>
                    <a:xfrm>
                      <a:off x="0" y="0"/>
                      <a:ext cx="2674811" cy="1294353"/>
                    </a:xfrm>
                    <a:prstGeom prst="rect">
                      <a:avLst/>
                    </a:prstGeom>
                    <a:ln w="12700" cap="flat">
                      <a:noFill/>
                      <a:miter lim="400000"/>
                    </a:ln>
                    <a:effectLst/>
                  </pic:spPr>
                </pic:pic>
              </a:graphicData>
            </a:graphic>
          </wp:inline>
        </w:drawing>
      </w:r>
    </w:p>
    <w:p>
      <w:pPr>
        <w:pStyle w:val="Normal.0"/>
        <w:spacing w:before="120" w:after="0" w:line="240" w:lineRule="auto"/>
        <w:jc w:val="both"/>
        <w:rPr>
          <w:rStyle w:val="Hyperlink.1"/>
        </w:rPr>
      </w:pPr>
      <w:r>
        <w:rPr>
          <w:rStyle w:val="Hyperlink.1"/>
          <w:rtl w:val="0"/>
          <w:lang w:val="en-US"/>
        </w:rPr>
        <w:t xml:space="preserve">      </w:t>
      </w:r>
      <w:r>
        <w:rPr>
          <w:rStyle w:val="Hyperlink.1"/>
          <w:rtl w:val="0"/>
          <w:lang w:val="en-US"/>
        </w:rPr>
        <w:t>O O'-Biphenol,4',4,6,6'-Tetra-T-Butyl</w:t>
        <w:tab/>
        <w:tab/>
        <w:t xml:space="preserve">            1-Heptacosanol</w:t>
      </w:r>
    </w:p>
    <w:p>
      <w:pPr>
        <w:pStyle w:val="Normal.0"/>
        <w:spacing w:before="120"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Hyperlink.1"/>
        </w:rPr>
      </w:pPr>
      <w:r>
        <w:rPr>
          <w:rStyle w:val="None A"/>
        </w:rPr>
        <w:drawing xmlns:a="http://schemas.openxmlformats.org/drawingml/2006/main">
          <wp:anchor distT="0" distB="0" distL="0" distR="0" simplePos="0" relativeHeight="251667456" behindDoc="0" locked="0" layoutInCell="1" allowOverlap="1">
            <wp:simplePos x="0" y="0"/>
            <wp:positionH relativeFrom="column">
              <wp:posOffset>136525</wp:posOffset>
            </wp:positionH>
            <wp:positionV relativeFrom="line">
              <wp:posOffset>8254</wp:posOffset>
            </wp:positionV>
            <wp:extent cx="2649855" cy="1221740"/>
            <wp:effectExtent l="0" t="0" r="0" b="0"/>
            <wp:wrapNone/>
            <wp:docPr id="1073741879" name="officeArt object" descr="image.png"/>
            <wp:cNvGraphicFramePr/>
            <a:graphic xmlns:a="http://schemas.openxmlformats.org/drawingml/2006/main">
              <a:graphicData uri="http://schemas.openxmlformats.org/drawingml/2006/picture">
                <pic:pic xmlns:pic="http://schemas.openxmlformats.org/drawingml/2006/picture">
                  <pic:nvPicPr>
                    <pic:cNvPr id="1073741879" name="image.png" descr="image.png"/>
                    <pic:cNvPicPr>
                      <a:picLocks noChangeAspect="1"/>
                    </pic:cNvPicPr>
                  </pic:nvPicPr>
                  <pic:blipFill>
                    <a:blip r:embed="rId47">
                      <a:extLst/>
                    </a:blip>
                    <a:stretch>
                      <a:fillRect/>
                    </a:stretch>
                  </pic:blipFill>
                  <pic:spPr>
                    <a:xfrm>
                      <a:off x="0" y="0"/>
                      <a:ext cx="2649855" cy="1221740"/>
                    </a:xfrm>
                    <a:prstGeom prst="rect">
                      <a:avLst/>
                    </a:prstGeom>
                    <a:ln w="12700" cap="flat">
                      <a:noFill/>
                      <a:miter lim="400000"/>
                    </a:ln>
                    <a:effectLst/>
                  </pic:spPr>
                </pic:pic>
              </a:graphicData>
            </a:graphic>
          </wp:anchor>
        </w:drawing>
      </w:r>
      <w:r>
        <w:rPr>
          <w:rStyle w:val="None A"/>
        </w:rPr>
        <w:drawing xmlns:a="http://schemas.openxmlformats.org/drawingml/2006/main">
          <wp:anchor distT="0" distB="0" distL="0" distR="0" simplePos="0" relativeHeight="251668480" behindDoc="0" locked="0" layoutInCell="1" allowOverlap="1">
            <wp:simplePos x="0" y="0"/>
            <wp:positionH relativeFrom="column">
              <wp:posOffset>2972435</wp:posOffset>
            </wp:positionH>
            <wp:positionV relativeFrom="line">
              <wp:posOffset>2538</wp:posOffset>
            </wp:positionV>
            <wp:extent cx="2538730" cy="1057912"/>
            <wp:effectExtent l="0" t="0" r="0" b="0"/>
            <wp:wrapNone/>
            <wp:docPr id="1073741880" name="officeArt object" descr="image.png"/>
            <wp:cNvGraphicFramePr/>
            <a:graphic xmlns:a="http://schemas.openxmlformats.org/drawingml/2006/main">
              <a:graphicData uri="http://schemas.openxmlformats.org/drawingml/2006/picture">
                <pic:pic xmlns:pic="http://schemas.openxmlformats.org/drawingml/2006/picture">
                  <pic:nvPicPr>
                    <pic:cNvPr id="1073741880" name="image.png" descr="image.png"/>
                    <pic:cNvPicPr>
                      <a:picLocks noChangeAspect="1"/>
                    </pic:cNvPicPr>
                  </pic:nvPicPr>
                  <pic:blipFill>
                    <a:blip r:embed="rId49">
                      <a:extLst/>
                    </a:blip>
                    <a:stretch>
                      <a:fillRect/>
                    </a:stretch>
                  </pic:blipFill>
                  <pic:spPr>
                    <a:xfrm>
                      <a:off x="0" y="0"/>
                      <a:ext cx="2538730" cy="1057912"/>
                    </a:xfrm>
                    <a:prstGeom prst="rect">
                      <a:avLst/>
                    </a:prstGeom>
                    <a:ln w="12700" cap="flat">
                      <a:noFill/>
                      <a:miter lim="400000"/>
                    </a:ln>
                    <a:effectLst/>
                  </pic:spPr>
                </pic:pic>
              </a:graphicData>
            </a:graphic>
          </wp:anchor>
        </w:drawing>
      </w:r>
    </w:p>
    <w:p>
      <w:pPr>
        <w:pStyle w:val="Normal.0"/>
        <w:spacing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None"/>
          <w:rFonts w:ascii="Times New Roman" w:cs="Times New Roman" w:hAnsi="Times New Roman" w:eastAsia="Times New Roman"/>
          <w:kern w:val="0"/>
          <w:sz w:val="24"/>
          <w:szCs w:val="24"/>
        </w:rPr>
      </w:pPr>
      <w:r>
        <w:rPr>
          <w:rStyle w:val="Hyperlink.1"/>
          <w:rtl w:val="0"/>
          <w:lang w:val="en-US"/>
        </w:rPr>
        <w:t>  </w:t>
        <w:tab/>
        <w:t xml:space="preserve">    </w:t>
      </w:r>
      <w:r>
        <w:rPr>
          <w:rStyle w:val="Hyperlink.1"/>
          <w:rtl w:val="0"/>
          <w:lang w:val="en-US"/>
        </w:rPr>
        <w:t>Tetrapentacontane</w:t>
        <w:tab/>
        <w:tab/>
        <w:tab/>
        <w:tab/>
        <w:tab/>
        <w:t xml:space="preserve">    Octadecane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Figure 3. Mass Spectra and Fragmentation Patterns of Antifungal                                  Compounds Identified in the 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 </w:t>
        <w:tab/>
        <w:t>DISCUSSION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increasing prevalence of antimicrobial resistance has intensified the search for novel bioactive compounds from natural sources. Molluscan mucus is recognized as a rich source of antimicrobial peptides and secondary metabolites with significant therapeutic potential (Dwek et al., 2001; Dolashka-Angelova et al., 2008). In the present study, GC</w:t>
      </w:r>
      <w:r>
        <w:rPr>
          <w:rStyle w:val="Hyperlink.1"/>
          <w:rtl w:val="0"/>
          <w:lang w:val="en-US"/>
        </w:rPr>
        <w:t>–</w:t>
      </w:r>
      <w:r>
        <w:rPr>
          <w:rStyle w:val="Hyperlink.1"/>
          <w:rtl w:val="0"/>
          <w:lang w:val="en-US"/>
        </w:rPr>
        <w:t xml:space="preserve">MS analysis of the chloroform extract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w:t>
      </w:r>
      <w:r>
        <w:rPr>
          <w:rStyle w:val="Hyperlink.1"/>
          <w:rtl w:val="0"/>
          <w:lang w:val="en-US"/>
        </w:rPr>
        <w:t>mucus identified 22 bioactive compounds, of which 15 compounds have previously been reported to possess antimicrobial activity.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identified compounds include long-chain fatty alcohols (1-Dodecanol, 1-Tetradecanol, n-Pentadecanol, 1-Hexacosanol, and 1-Heptacosanol), alkanes (Dodecane, Tetradecane, Eicosane, Hexadecane, Octadecane, and Tetrapentacontane), the phenolic compound 2,4-Di-tert-butylphenol, the alkene 1-Nonadecene, Cyclononasiloxane, octadecamethyl, and O,O</w:t>
      </w:r>
      <w:r>
        <w:rPr>
          <w:rStyle w:val="Hyperlink.1"/>
          <w:rtl w:val="0"/>
          <w:lang w:val="en-US"/>
        </w:rPr>
        <w:t>′</w:t>
      </w:r>
      <w:r>
        <w:rPr>
          <w:rStyle w:val="Hyperlink.1"/>
          <w:rtl w:val="0"/>
          <w:lang w:val="en-US"/>
        </w:rPr>
        <w:t>-Biphenol, 4,4</w:t>
      </w:r>
      <w:r>
        <w:rPr>
          <w:rStyle w:val="Hyperlink.1"/>
          <w:rtl w:val="0"/>
          <w:lang w:val="en-US"/>
        </w:rPr>
        <w:t>′</w:t>
      </w:r>
      <w:r>
        <w:rPr>
          <w:rStyle w:val="Hyperlink.1"/>
          <w:rtl w:val="0"/>
          <w:lang w:val="en-US"/>
        </w:rPr>
        <w:t>,6,6</w:t>
      </w:r>
      <w:r>
        <w:rPr>
          <w:rStyle w:val="Hyperlink.1"/>
          <w:rtl w:val="0"/>
          <w:lang w:val="en-US"/>
        </w:rPr>
        <w:t>′</w:t>
      </w:r>
      <w:r>
        <w:rPr>
          <w:rStyle w:val="Hyperlink.1"/>
          <w:rtl w:val="0"/>
          <w:lang w:val="en-US"/>
        </w:rPr>
        <w:t>-tetra-tert-butyl. Previous studies have reported that these compounds exhibit antibacterial and antifungal activities through mechanisms such as disruption of microbial cell membranes, inhibition of biofilm formation, interference with quorum sensing, and induction of cell lysis (Naoko Togashi et al., 2007; Ogunlesi et al., 2010; Yogeswari et al., 2012; Rashmi Mishra et al., 2020; Kai Fan et al., 2023).</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Among the identified compounds, 2,4-Di-tert-butylphenol has been widely recognized as a potent antimicrobial agent due to its ability to inhibit bacterial virulence and fungal growth. Similarly, 1-Hexacosanol, 1-Heptacosanol, Tetrapentacontane, and Octadecane have been reported to possess broad-spectrum antibacterial and antifungal activities (Han et al., 2009; Eva S</w:t>
      </w:r>
      <w:r>
        <w:rPr>
          <w:rStyle w:val="Hyperlink.1"/>
          <w:rtl w:val="0"/>
          <w:lang w:val="en-US"/>
        </w:rPr>
        <w:t>á</w:t>
      </w:r>
      <w:r>
        <w:rPr>
          <w:rStyle w:val="Hyperlink.1"/>
          <w:rtl w:val="0"/>
          <w:lang w:val="en-US"/>
        </w:rPr>
        <w:t>nchez-Hern</w:t>
      </w:r>
      <w:r>
        <w:rPr>
          <w:rStyle w:val="Hyperlink.1"/>
          <w:rtl w:val="0"/>
          <w:lang w:val="en-US"/>
        </w:rPr>
        <w:t>á</w:t>
      </w:r>
      <w:r>
        <w:rPr>
          <w:rStyle w:val="Hyperlink.1"/>
          <w:rtl w:val="0"/>
          <w:lang w:val="en-US"/>
        </w:rPr>
        <w:t>ndez et al., 2021; Abuzer Ali et al., 2021; Mahima Sharma et al., 2022; Parismita Borgohain et al., 2022).</w:t>
      </w:r>
    </w:p>
    <w:p>
      <w:pPr>
        <w:pStyle w:val="Normal.0"/>
        <w:spacing w:after="0" w:line="360" w:lineRule="auto"/>
        <w:ind w:firstLine="720"/>
        <w:jc w:val="both"/>
        <w:rPr>
          <w:rStyle w:val="Hyperlink.1"/>
        </w:rPr>
      </w:pPr>
      <w:r>
        <w:rPr>
          <w:rStyle w:val="Hyperlink.1"/>
          <w:rtl w:val="0"/>
          <w:lang w:val="en-US"/>
        </w:rPr>
        <w:t>Overall, the findings of the present study are in agreement with earlier reports and demonstrate that the</w:t>
      </w:r>
      <w:r>
        <w:rPr>
          <w:rStyle w:val="Hyperlink.1"/>
          <w:rtl w:val="0"/>
          <w:lang w:val="en-US"/>
        </w:rPr>
        <w:t xml:space="preserve">  </w:t>
      </w:r>
      <w:r>
        <w:rPr>
          <w:rStyle w:val="Hyperlink.1"/>
          <w:rtl w:val="0"/>
          <w:lang w:val="en-US"/>
        </w:rPr>
        <w:t xml:space="preserve">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is a valuable source of antimicrobial bioactive compounds. These results highlight its potential for the development of natural antimicrobial agents and provide a scientific basis for future studies aimed at isolating, characterizing, and evaluating individual compounds for pharmaceutical applications.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present study demonstrates that the</w:t>
      </w:r>
      <w:r>
        <w:rPr>
          <w:rStyle w:val="Hyperlink.1"/>
          <w:rtl w:val="0"/>
          <w:lang w:val="en-US"/>
        </w:rPr>
        <w:t xml:space="preserve">  </w:t>
      </w:r>
      <w:r>
        <w:rPr>
          <w:rStyle w:val="Hyperlink.1"/>
          <w:rtl w:val="0"/>
          <w:lang w:val="en-US"/>
        </w:rPr>
        <w:t xml:space="preserve">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is a rich source of bioactive compounds with promising antimicrobial potential. GC</w:t>
      </w:r>
      <w:r>
        <w:rPr>
          <w:rStyle w:val="Hyperlink.1"/>
          <w:rtl w:val="0"/>
          <w:lang w:val="en-US"/>
        </w:rPr>
        <w:t>–</w:t>
      </w:r>
      <w:r>
        <w:rPr>
          <w:rStyle w:val="Hyperlink.1"/>
          <w:rtl w:val="0"/>
          <w:lang w:val="en-US"/>
        </w:rPr>
        <w:t xml:space="preserve">MS analysis identified 22 bioactive compounds, including 15 compounds previously reported to possess antibacterial and antifungal activities. These findings suggest that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mucus may serve as a valuable natural source for the discovery of novel antimicrobial agents, particularly against multidrug-resistant (MDR) pathogens. Further studies focusing on the isolation, purification, structural characterization, and biological evaluation of the identified compounds are required to validate their therapeutic efficacy and facilitate their development as potential pharmaceutical agents.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Abuzer Ali, Amena Ali, Musarrat Husain Warsi, Wasim Ahmad, Abu tahir.</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202</w:t>
      </w:r>
      <w:r>
        <w:rPr>
          <w:rStyle w:val="None"/>
          <w:rFonts w:ascii="Times New Roman" w:hAnsi="Times New Roman"/>
          <w:b w:val="1"/>
          <w:bCs w:val="1"/>
          <w:kern w:val="0"/>
          <w:sz w:val="24"/>
          <w:szCs w:val="24"/>
          <w:rtl w:val="0"/>
          <w:lang w:val="en-US"/>
        </w:rPr>
        <w:t>1</w:t>
      </w:r>
      <w:r>
        <w:rPr>
          <w:rStyle w:val="None"/>
          <w:rFonts w:ascii="Times New Roman" w:hAnsi="Times New Roman"/>
          <w:b w:val="1"/>
          <w:bCs w:val="1"/>
          <w:kern w:val="0"/>
          <w:sz w:val="24"/>
          <w:szCs w:val="24"/>
          <w:rtl w:val="0"/>
          <w:lang w:val="en-US"/>
        </w:rPr>
        <w:t>.</w:t>
      </w:r>
      <w:r>
        <w:rPr>
          <w:rStyle w:val="Hyperlink.1"/>
          <w:rtl w:val="0"/>
          <w:lang w:val="en-US"/>
        </w:rPr>
        <w:t>’</w:t>
      </w:r>
      <w:r>
        <w:rPr>
          <w:rStyle w:val="Hyperlink.1"/>
          <w:rtl w:val="0"/>
          <w:lang w:val="en-US"/>
        </w:rPr>
        <w:t xml:space="preserve">Chemical characterization, antidiabetic and anticancer activities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Santolina chamaecyparissus</w:t>
      </w:r>
      <w:r>
        <w:rPr>
          <w:rStyle w:val="Hyperlink.1"/>
          <w:rtl w:val="0"/>
          <w:lang w:val="en-US"/>
        </w:rPr>
        <w: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Saudi Journal of Biological Science</w:t>
      </w:r>
      <w:r>
        <w:rPr>
          <w:rStyle w:val="Hyperlink.1"/>
          <w:rtl w:val="0"/>
          <w:lang w:val="en-US"/>
        </w:rPr>
        <w:t>, 28(8):4575-4580.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Barker, G.M .,</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2002</w:t>
      </w:r>
      <w:r>
        <w:rPr>
          <w:rStyle w:val="None"/>
          <w:rFonts w:ascii="Times New Roman" w:hAnsi="Times New Roman"/>
          <w:b w:val="1"/>
          <w:bCs w:val="1"/>
          <w:kern w:val="0"/>
          <w:sz w:val="24"/>
          <w:szCs w:val="24"/>
          <w:rtl w:val="0"/>
          <w:lang w:val="en-US"/>
        </w:rPr>
        <w:t>,</w:t>
      </w:r>
      <w:r>
        <w:rPr>
          <w:rStyle w:val="Hyperlink.1"/>
          <w:rtl w:val="0"/>
          <w:lang w:val="en-US"/>
        </w:rPr>
        <w:t xml:space="preserve"> Molluscs as erop Pest.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CABI, Walling Forti Oxon</w:t>
      </w:r>
      <w:r>
        <w:rPr>
          <w:rStyle w:val="Hyperlink.1"/>
          <w:rtl w:val="0"/>
          <w:lang w:val="en-US"/>
        </w:rPr>
        <w:t xml:space="preserve"> 10 DE.UK. PP 468.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Bogdanov, A., Hertzer C., Kehraus ,S., Nietzer S., Rohde S., Schupp P.J., 2016</w:t>
      </w:r>
      <w:r>
        <w:rPr>
          <w:rStyle w:val="None"/>
          <w:rFonts w:ascii="Times New Roman" w:hAnsi="Times New Roman"/>
          <w:b w:val="1"/>
          <w:bCs w:val="1"/>
          <w:kern w:val="0"/>
          <w:sz w:val="24"/>
          <w:szCs w:val="24"/>
          <w:rtl w:val="0"/>
          <w:lang w:val="en-US"/>
        </w:rPr>
        <w:t>.</w:t>
      </w:r>
      <w:r>
        <w:rPr>
          <w:rStyle w:val="Hyperlink.1"/>
          <w:rtl w:val="0"/>
          <w:lang w:val="en-US"/>
        </w:rPr>
        <w:t xml:space="preserve"> ‘</w:t>
      </w:r>
      <w:r>
        <w:rPr>
          <w:rStyle w:val="Hyperlink.1"/>
          <w:rtl w:val="0"/>
          <w:lang w:val="en-US"/>
        </w:rPr>
        <w:t>Defensive Diterpene from the AeolidoideanPhyllodesmiumlongicimum.</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 Nat. Prod</w:t>
      </w:r>
      <w:r>
        <w:rPr>
          <w:rStyle w:val="Hyperlink.1"/>
          <w:rtl w:val="0"/>
          <w:lang w:val="en-US"/>
        </w:rPr>
        <w:t>., 79:611-615.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Cilia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G., Fratini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F.,</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2018</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Hyperlink.1"/>
          <w:rtl w:val="0"/>
          <w:lang w:val="en-US"/>
        </w:rPr>
        <w:t>‘</w:t>
      </w:r>
      <w:r>
        <w:rPr>
          <w:rStyle w:val="Hyperlink.1"/>
          <w:rtl w:val="0"/>
          <w:lang w:val="en-US"/>
        </w:rPr>
        <w:t>Antimicrobial properties of terrestrial snail and slug mucus.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J </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Complement IntegrMed</w:t>
      </w:r>
      <w:r>
        <w:rPr>
          <w:rStyle w:val="Hyperlink.1"/>
          <w:rtl w:val="0"/>
          <w:lang w:val="en-US"/>
        </w:rPr>
        <w:t>.https://doi.org/10.1515/jcim-2017-0168.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Deyrup Olsen ,I., Luchtel</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D.L., Martin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A.W.,</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1983</w:t>
      </w:r>
      <w:r>
        <w:rPr>
          <w:rStyle w:val="None"/>
          <w:rFonts w:ascii="Times New Roman" w:hAnsi="Times New Roman"/>
          <w:b w:val="1"/>
          <w:bCs w:val="1"/>
          <w:kern w:val="0"/>
          <w:sz w:val="24"/>
          <w:szCs w:val="24"/>
          <w:rtl w:val="0"/>
          <w:lang w:val="en-US"/>
        </w:rPr>
        <w:t>.</w:t>
      </w:r>
      <w:r>
        <w:rPr>
          <w:rStyle w:val="Hyperlink.1"/>
          <w:rtl w:val="0"/>
          <w:lang w:val="en-US"/>
        </w:rPr>
        <w:t xml:space="preserve"> ‘</w:t>
      </w:r>
      <w:r>
        <w:rPr>
          <w:rStyle w:val="Hyperlink.1"/>
          <w:rtl w:val="0"/>
          <w:lang w:val="en-US"/>
        </w:rPr>
        <w:t>Components of mucus of terrestrial slugs (Gastropoda).</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Am J Physiol-RegulIntegr Comp Physiol</w:t>
      </w:r>
      <w:r>
        <w:rPr>
          <w:rStyle w:val="Hyperlink.1"/>
          <w:rtl w:val="0"/>
          <w:lang w:val="en-US"/>
        </w:rPr>
        <w:t>.</w:t>
      </w:r>
      <w:r>
        <w:rPr>
          <w:rStyle w:val="Hyperlink.1"/>
          <w:rtl w:val="0"/>
          <w:lang w:val="en-US"/>
        </w:rPr>
        <w:t xml:space="preserve">’ </w:t>
      </w:r>
      <w:r>
        <w:rPr>
          <w:rStyle w:val="Hyperlink.1"/>
          <w:rtl w:val="0"/>
          <w:lang w:val="en-US"/>
        </w:rPr>
        <w:t>14: R 448-R452.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Dolashka-Angelova, P., Stefanova, T., Livaniou,</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E., Velkova L., Klimentzou,P., Stevanovic, S., Neychev, H., Schwarz ,H., Voelter ,W., 2008.</w:t>
      </w:r>
      <w:r>
        <w:rPr>
          <w:rStyle w:val="Hyperlink.1"/>
          <w:rtl w:val="0"/>
          <w:lang w:val="en-US"/>
        </w:rPr>
        <w:t xml:space="preserve"> ‘</w:t>
      </w:r>
      <w:r>
        <w:rPr>
          <w:rStyle w:val="Hyperlink.1"/>
          <w:rtl w:val="0"/>
          <w:lang w:val="en-US"/>
        </w:rPr>
        <w:t xml:space="preserve">Immunological potential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Helix vulgaris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Rapanavenosa</w:t>
      </w:r>
      <w:r>
        <w:rPr>
          <w:rStyle w:val="Hyperlink.1"/>
          <w:rtl w:val="0"/>
          <w:lang w:val="en-US"/>
        </w:rPr>
        <w:t>hemocyanins</w:t>
      </w:r>
      <w:r>
        <w:rPr>
          <w:rStyle w:val="Hyperlink.1"/>
          <w:rtl w:val="0"/>
          <w:lang w:val="en-US"/>
        </w:rPr>
        <w: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Immun. Invest</w:t>
      </w:r>
      <w:r>
        <w:rPr>
          <w:rStyle w:val="Hyperlink.1"/>
          <w:rtl w:val="0"/>
          <w:lang w:val="en-US"/>
        </w:rPr>
        <w:t>, 37(8):822-840.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Dwek ,M.V., Ross, R., Streets, A.J., Brooks Caudine., Adam, E., Titcomb ,A., Woodside ,J., Schumacher ,U., Leathem,C.,</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2001</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Hyperlink.1"/>
          <w:rtl w:val="0"/>
          <w:lang w:val="en-US"/>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Helix pomatia</w:t>
      </w:r>
      <w:r>
        <w:rPr>
          <w:rStyle w:val="Hyperlink.1"/>
          <w:rtl w:val="0"/>
          <w:lang w:val="en-US"/>
        </w:rPr>
        <w:t>aggulutinin lectin-binding oligosaccharide of aggressive breast cancer</w:t>
      </w:r>
      <w:r>
        <w:rPr>
          <w:rStyle w:val="Hyperlink.1"/>
          <w:rtl w:val="0"/>
          <w:lang w:val="en-US"/>
        </w:rPr>
        <w:t>’</w:t>
      </w:r>
      <w:r>
        <w:rPr>
          <w:rStyle w:val="Hyperlink.1"/>
          <w:rtl w:val="0"/>
          <w:lang w:val="en-US"/>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Int. J. Cancer.</w:t>
      </w:r>
      <w:r>
        <w:rPr>
          <w:rStyle w:val="Hyperlink.1"/>
          <w:rtl w:val="0"/>
          <w:lang w:val="en-US"/>
        </w:rPr>
        <w:t xml:space="preserve"> 95(2):79-85.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Eva Sanchez-Hernandez., Laura Buzon-Duran.</w:t>
      </w:r>
      <w:r>
        <w:rPr>
          <w:rStyle w:val="Hyperlink.1"/>
          <w:rtl w:val="0"/>
          <w:lang w:val="en-US"/>
        </w:rPr>
        <w:t xml:space="preserve">, </w:t>
      </w:r>
      <w:r>
        <w:rPr>
          <w:rStyle w:val="None"/>
          <w:rFonts w:ascii="Times New Roman" w:hAnsi="Times New Roman"/>
          <w:b w:val="1"/>
          <w:bCs w:val="1"/>
          <w:kern w:val="0"/>
          <w:sz w:val="24"/>
          <w:szCs w:val="24"/>
          <w:rtl w:val="0"/>
          <w:lang w:val="en-US"/>
        </w:rPr>
        <w:t>Jesus Martin Gil and Pablo Martin Ramos., 2021</w:t>
      </w:r>
      <w:r>
        <w:rPr>
          <w:rStyle w:val="None"/>
          <w:rFonts w:ascii="Times New Roman" w:hAnsi="Times New Roman"/>
          <w:b w:val="1"/>
          <w:bCs w:val="1"/>
          <w:kern w:val="0"/>
          <w:sz w:val="24"/>
          <w:szCs w:val="24"/>
          <w:rtl w:val="0"/>
          <w:lang w:val="en-US"/>
        </w:rPr>
        <w:t>.</w:t>
      </w:r>
      <w:r>
        <w:rPr>
          <w:rStyle w:val="Hyperlink.1"/>
          <w:rtl w:val="0"/>
          <w:lang w:val="en-US"/>
        </w:rPr>
        <w:t xml:space="preserve"> ‘</w:t>
      </w:r>
      <w:r>
        <w:rPr>
          <w:rStyle w:val="Hyperlink.1"/>
          <w:rtl w:val="0"/>
          <w:lang w:val="en-US"/>
        </w:rPr>
        <w:t xml:space="preserve">Physicochemical Characterization and Antimicrobial Activity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Erwinia amylovora</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Erwinia vitivora</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Diplodiaseriata</w:t>
      </w:r>
      <w:r>
        <w:rPr>
          <w:rStyle w:val="Hyperlink.1"/>
          <w:rtl w:val="0"/>
          <w:lang w:val="en-US"/>
        </w:rPr>
        <w:t xml:space="preserve"> of a Light Purple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Hibiscus syriacus</w:t>
      </w:r>
      <w:r>
        <w:rPr>
          <w:rStyle w:val="Hyperlink.1"/>
          <w:rtl w:val="0"/>
          <w:lang w:val="en-US"/>
        </w:rPr>
        <w:t xml:space="preserve"> L. Cultivar.</w:t>
      </w:r>
      <w:r>
        <w:rPr>
          <w:rStyle w:val="Hyperlink.1"/>
          <w:rtl w:val="0"/>
          <w:lang w:val="en-US"/>
        </w:rPr>
        <w:t xml:space="preserve">’ </w:t>
      </w:r>
      <w:r>
        <w:rPr>
          <w:rStyle w:val="Hyperlink.1"/>
          <w:rtl w:val="0"/>
          <w:lang w:val="en-US"/>
        </w:rPr>
        <w:t>Plants,10(9):1876.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Grace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V, Manjamalail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A</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Yasaswini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N</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Aiswarya</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H.</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2011</w:t>
      </w:r>
      <w:r>
        <w:rPr>
          <w:rStyle w:val="None"/>
          <w:rFonts w:ascii="Times New Roman" w:hAnsi="Times New Roman"/>
          <w:b w:val="1"/>
          <w:bCs w:val="1"/>
          <w:kern w:val="0"/>
          <w:sz w:val="24"/>
          <w:szCs w:val="24"/>
          <w:rtl w:val="0"/>
          <w:lang w:val="en-US"/>
        </w:rPr>
        <w:t>.</w:t>
      </w:r>
      <w:r>
        <w:rPr>
          <w:rStyle w:val="Hyperlink.1"/>
          <w:rtl w:val="0"/>
          <w:lang w:val="en-US"/>
        </w:rPr>
        <w:t xml:space="preserve"> ‘</w:t>
      </w:r>
      <w:r>
        <w:rPr>
          <w:rStyle w:val="Hyperlink.1"/>
          <w:rtl w:val="0"/>
          <w:lang w:val="en-US"/>
        </w:rPr>
        <w:t xml:space="preserve">Antifungal, Antiinflammatory and GC-MS Analysis of Methanolic Extract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PlectranthusAmboinicus</w:t>
      </w:r>
      <w:r>
        <w:rPr>
          <w:rStyle w:val="Hyperlink.1"/>
          <w:rtl w:val="0"/>
          <w:lang w:val="en-US"/>
        </w:rPr>
        <w:t xml:space="preserve"> leaf.</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 J Curr Pharm Res,Vol 3, Issue</w:t>
      </w:r>
      <w:r>
        <w:rPr>
          <w:rStyle w:val="Hyperlink.1"/>
          <w:rtl w:val="0"/>
          <w:lang w:val="en-US"/>
        </w:rPr>
        <w:t xml:space="preserve"> 2, 129136.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Hamalalen E.M, Jarvinen S., 2012</w:t>
      </w:r>
      <w:r>
        <w:rPr>
          <w:rStyle w:val="None"/>
          <w:rFonts w:ascii="Times New Roman" w:hAnsi="Times New Roman"/>
          <w:b w:val="1"/>
          <w:bCs w:val="1"/>
          <w:kern w:val="0"/>
          <w:sz w:val="24"/>
          <w:szCs w:val="24"/>
          <w:rtl w:val="0"/>
          <w:lang w:val="en-US"/>
        </w:rPr>
        <w:t>.</w:t>
      </w:r>
      <w:r>
        <w:rPr>
          <w:rStyle w:val="Hyperlink.1"/>
          <w:rtl w:val="0"/>
          <w:lang w:val="en-US"/>
        </w:rPr>
        <w:t xml:space="preserve"> ‘</w:t>
      </w:r>
      <w:r>
        <w:rPr>
          <w:rStyle w:val="Hyperlink.1"/>
          <w:rtl w:val="0"/>
          <w:lang w:val="en-US"/>
        </w:rPr>
        <w:t>Snails biology ecosystem and conservation</w:t>
      </w:r>
      <w:r>
        <w:rPr>
          <w:rStyle w:val="Hyperlink.1"/>
          <w:rtl w:val="0"/>
          <w:lang w:val="en-US"/>
        </w:rPr>
        <w: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Hauppauge, NY: Nova Science Publisher</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w:t>
      </w:r>
      <w:r>
        <w:rPr>
          <w:rStyle w:val="Hyperlink.1"/>
          <w:rtl w:val="0"/>
          <w:lang w:val="en-US"/>
        </w:rPr>
        <w:t>.</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Han ,T., Zhang ,Q., Huang B., Rahman ,K., 2009</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Hyperlink.1"/>
          <w:rtl w:val="0"/>
          <w:lang w:val="en-US"/>
        </w:rPr>
        <w:t>‘</w:t>
      </w:r>
      <w:r>
        <w:rPr>
          <w:rStyle w:val="Hyperlink.1"/>
          <w:rtl w:val="0"/>
          <w:lang w:val="en-US"/>
        </w:rPr>
        <w:t xml:space="preserve">Comparative research of chemical constituents, antifungal and antitumor properties of ether extracts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Panax ginseng</w:t>
      </w:r>
      <w:r>
        <w:rPr>
          <w:rStyle w:val="Hyperlink.1"/>
          <w:rtl w:val="0"/>
          <w:lang w:val="en-US"/>
        </w:rPr>
        <w:t xml:space="preserve"> and its endophytic fungas.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 J.Phytotherapy</w:t>
      </w:r>
      <w:r>
        <w:rPr>
          <w:rStyle w:val="Hyperlink.1"/>
          <w:rtl w:val="0"/>
          <w:lang w:val="en-US"/>
        </w:rPr>
        <w:t>, 16:6-7,609-616.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Jacob, A. S., Simon ,O.R, Wheatle, D., Ruddock ,P., McCook ,K., 2013.</w:t>
      </w:r>
      <w:r>
        <w:rPr>
          <w:rStyle w:val="Hyperlink.1"/>
          <w:rtl w:val="0"/>
          <w:lang w:val="en-US"/>
        </w:rPr>
        <w:t xml:space="preserve"> ‘</w:t>
      </w:r>
      <w:r>
        <w:rPr>
          <w:rStyle w:val="Hyperlink.1"/>
          <w:rtl w:val="0"/>
          <w:lang w:val="en-US"/>
        </w:rPr>
        <w:t>Antihistamine Effect of a Pure Bioactive Compound Isolated from Slug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Diplosolenodes occidentalis</w:t>
      </w:r>
      <w:r>
        <w:rPr>
          <w:rStyle w:val="Hyperlink.1"/>
          <w:rtl w:val="0"/>
          <w:lang w:val="en-US"/>
        </w:rPr>
        <w:t>) Material.</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West Indian Med J</w:t>
      </w:r>
      <w:r>
        <w:rPr>
          <w:rStyle w:val="Hyperlink.1"/>
          <w:rtl w:val="0"/>
          <w:lang w:val="en-US"/>
        </w:rPr>
        <w:t>., 63(5):401.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Kai Fan., Yinan Yu., Zheng Hu., Zhiqi Zhang., Dongxia Nie and Zheng Han.,</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2023</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Hyperlink.1"/>
          <w:rtl w:val="0"/>
          <w:lang w:val="en-US"/>
        </w:rPr>
        <w:t>‘</w:t>
      </w:r>
      <w:r>
        <w:rPr>
          <w:rStyle w:val="Hyperlink.1"/>
          <w:rtl w:val="0"/>
          <w:lang w:val="en-US"/>
        </w:rPr>
        <w:t xml:space="preserve">Antifungal Activity and Action Mechanisms of 2,4-Di-tert-butylphenol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Ustilaginoidea virens</w:t>
      </w:r>
      <w:r>
        <w:rPr>
          <w:rStyle w:val="Hyperlink.1"/>
          <w:rtl w:val="0"/>
          <w:lang w:val="en-US"/>
        </w:rPr>
        <w: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 Agri. Food Chem.</w:t>
      </w:r>
      <w:r>
        <w:rPr>
          <w:rStyle w:val="Hyperlink.1"/>
          <w:rtl w:val="0"/>
          <w:lang w:val="en-US"/>
        </w:rPr>
        <w:t>,71,46:17723-17732.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Mahima Sharma., Sharada Mallubhotla., 2022.</w:t>
      </w:r>
      <w:r>
        <w:rPr>
          <w:rStyle w:val="Hyperlink.1"/>
          <w:rtl w:val="0"/>
          <w:lang w:val="en-US"/>
        </w:rPr>
        <w:t xml:space="preserve"> ‘</w:t>
      </w:r>
      <w:r>
        <w:rPr>
          <w:rStyle w:val="Hyperlink.1"/>
          <w:rtl w:val="0"/>
          <w:lang w:val="en-US"/>
        </w:rPr>
        <w:t xml:space="preserve">Diversity, Antimicrobial Activity, and Antibiotic Susceptibility Pattern of Endophytic Bacteria Sourced From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Cordia dichotoma</w:t>
      </w:r>
      <w:r>
        <w:rPr>
          <w:rStyle w:val="Hyperlink.1"/>
          <w:rtl w:val="0"/>
          <w:lang w:val="en-US"/>
        </w:rPr>
        <w:t xml:space="preserve"> L.</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Front Microbial,</w:t>
      </w:r>
      <w:r>
        <w:rPr>
          <w:rStyle w:val="Hyperlink.1"/>
          <w:rtl w:val="0"/>
          <w:lang w:val="en-US"/>
        </w:rPr>
        <w:t>13:879386.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Naoko Togashi., Akiko Shiraishi., Miki Nishizaka., Keisuke Matsuoka., Kazutoyo Endo., Hajime Hamashima., Yoshihiro Inoue.,</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2007. </w:t>
      </w:r>
      <w:r>
        <w:rPr>
          <w:rStyle w:val="Hyperlink.1"/>
          <w:rtl w:val="0"/>
          <w:lang w:val="en-US"/>
        </w:rPr>
        <w:t>‘</w:t>
      </w:r>
      <w:r>
        <w:rPr>
          <w:rStyle w:val="Hyperlink.1"/>
          <w:rtl w:val="0"/>
          <w:lang w:val="en-US"/>
        </w:rPr>
        <w:t xml:space="preserve">Antibacterial activity of long-chain fatty alcohols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Staphylococcus aureus</w:t>
      </w:r>
      <w:r>
        <w:rPr>
          <w:rStyle w:val="Hyperlink.1"/>
          <w:rtl w:val="0"/>
          <w:lang w:val="en-US"/>
        </w:rPr>
        <w: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Molecules,</w:t>
      </w:r>
      <w:r>
        <w:rPr>
          <w:rStyle w:val="Hyperlink.1"/>
          <w:rtl w:val="0"/>
          <w:lang w:val="en-US"/>
        </w:rPr>
        <w:t xml:space="preserve"> 12(2):139-148.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Ogunlesi M., Wesley O., Ademoye M. And Osibote E. A., 2010</w:t>
      </w:r>
      <w:r>
        <w:rPr>
          <w:rStyle w:val="None"/>
          <w:rFonts w:ascii="Times New Roman" w:hAnsi="Times New Roman"/>
          <w:b w:val="1"/>
          <w:bCs w:val="1"/>
          <w:kern w:val="0"/>
          <w:sz w:val="24"/>
          <w:szCs w:val="24"/>
          <w:rtl w:val="0"/>
          <w:lang w:val="en-US"/>
        </w:rPr>
        <w:t>.</w:t>
      </w:r>
      <w:r>
        <w:rPr>
          <w:rStyle w:val="Hyperlink.1"/>
          <w:rtl w:val="0"/>
          <w:lang w:val="en-US"/>
        </w:rPr>
        <w:t xml:space="preserve"> ‘ </w:t>
      </w:r>
      <w:r>
        <w:rPr>
          <w:rStyle w:val="Hyperlink.1"/>
          <w:rtl w:val="0"/>
          <w:lang w:val="en-US"/>
        </w:rPr>
        <w:t>Analysis of Essential Oil from the Stem of Chasmatheradependens</w:t>
      </w:r>
      <w:r>
        <w:rPr>
          <w:rStyle w:val="Hyperlink.1"/>
          <w:rtl w:val="0"/>
          <w:lang w:val="en-US"/>
        </w:rPr>
        <w: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Natural Products (India)</w:t>
      </w:r>
      <w:r>
        <w:rPr>
          <w:rStyle w:val="Hyperlink.1"/>
          <w:rtl w:val="0"/>
          <w:lang w:val="en-US"/>
        </w:rPr>
        <w:t xml:space="preserve"> 3: 47-53.</w:t>
      </w:r>
      <w:r>
        <w:rPr>
          <w:rStyle w:val="Hyperlink.1"/>
          <w:rtl w:val="0"/>
          <w:lang w:val="en-US"/>
        </w:rPr>
        <w:t> </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Parismita Borgohain., Purnima Barua., Dhrubajyoti Das., and Jagadish Mahanta.,</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2022. </w:t>
      </w:r>
      <w:r>
        <w:rPr>
          <w:rStyle w:val="Hyperlink.1"/>
          <w:rtl w:val="0"/>
          <w:lang w:val="en-US"/>
        </w:rPr>
        <w:t>‘</w:t>
      </w:r>
      <w:r>
        <w:rPr>
          <w:rStyle w:val="Hyperlink.1"/>
          <w:rtl w:val="0"/>
          <w:lang w:val="en-US"/>
        </w:rPr>
        <w:t>Antifungal Activity of Selected Medicinal Plants Used by Indigenous People of Assam in India to Treat Onychomycosis.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Herbs Spices &amp; Medicinal Plants</w:t>
      </w:r>
      <w:r>
        <w:rPr>
          <w:rStyle w:val="Hyperlink.1"/>
          <w:rtl w:val="0"/>
          <w:lang w:val="en-US"/>
        </w:rPr>
        <w:t>, 28(2):1-19.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Rashmi Mishra., Jai Shanti Kushveer., Mohd Imran K Khan., 2020. </w:t>
      </w:r>
      <w:r>
        <w:rPr>
          <w:rStyle w:val="Hyperlink.1"/>
          <w:rtl w:val="0"/>
          <w:lang w:val="en-US"/>
        </w:rPr>
        <w:t>‘</w:t>
      </w:r>
      <w:r>
        <w:rPr>
          <w:rStyle w:val="Hyperlink.1"/>
          <w:rtl w:val="0"/>
          <w:lang w:val="en-US"/>
        </w:rPr>
        <w:t>2,4-Di-Tert-Butylphenol Isolated From an Endophytic Fungus,</w:t>
      </w:r>
      <w:r>
        <w:rPr>
          <w:rStyle w:val="Hyperlink.1"/>
          <w:rtl w:val="0"/>
          <w:lang w:val="en-US"/>
        </w:rPr>
        <w: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Daldiniaeschscholtzii</w:t>
      </w:r>
      <w:r>
        <w:rPr>
          <w:rStyle w:val="Hyperlink.1"/>
          <w:rtl w:val="0"/>
          <w:lang w:val="en-US"/>
        </w:rPr>
        <w:t>, Reduces Virulence and Quorum Sensing in</w:t>
      </w:r>
      <w:r>
        <w:rPr>
          <w:rStyle w:val="Hyperlink.1"/>
          <w:rtl w:val="0"/>
          <w:lang w:val="en-US"/>
        </w:rPr>
        <w: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Pseudomonas aeruginosa</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.Front Microbiol. 11:1668.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South A., 1992.</w:t>
      </w:r>
      <w:r>
        <w:rPr>
          <w:rStyle w:val="Hyperlink.1"/>
          <w:rtl w:val="0"/>
          <w:lang w:val="en-US"/>
        </w:rPr>
        <w:t xml:space="preserve"> ‘</w:t>
      </w:r>
      <w:r>
        <w:rPr>
          <w:rStyle w:val="Hyperlink.1"/>
          <w:rtl w:val="0"/>
          <w:lang w:val="en-US"/>
        </w:rPr>
        <w:t>Terrestrial slugs: Biology, Ecology and Control.</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Chapman and Hall, London</w:t>
      </w:r>
      <w:r>
        <w:rPr>
          <w:rStyle w:val="Hyperlink.1"/>
          <w:rtl w:val="0"/>
          <w:lang w:val="en-US"/>
        </w:rPr>
        <w:t>: 428pp.</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Ulagesan,S., and Kim, H. J., 2018.</w:t>
      </w:r>
      <w:r>
        <w:rPr>
          <w:rStyle w:val="Hyperlink.1"/>
          <w:rtl w:val="0"/>
          <w:lang w:val="en-US"/>
        </w:rPr>
        <w:t xml:space="preserve"> ‘</w:t>
      </w:r>
      <w:r>
        <w:rPr>
          <w:rStyle w:val="Hyperlink.1"/>
          <w:rtl w:val="0"/>
          <w:lang w:val="en-US"/>
        </w:rPr>
        <w:t>Antibacterial and antifungal activities of proteins extracted from seven different snails</w:t>
      </w:r>
      <w:r>
        <w:rPr>
          <w:rStyle w:val="Hyperlink.1"/>
          <w:rtl w:val="0"/>
          <w:lang w:val="en-US"/>
        </w:rPr>
        <w: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Applied Sciences</w:t>
      </w:r>
      <w:r>
        <w:rPr>
          <w:rStyle w:val="Hyperlink.1"/>
          <w:rtl w:val="0"/>
          <w:lang w:val="en-US"/>
        </w:rPr>
        <w:t>, vol. 8, p. 1362.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Yogeswari,S., Ramalakshmi, S., Neelavathy, R., and Muthumary, J., 2012</w:t>
      </w:r>
      <w:r>
        <w:rPr>
          <w:rStyle w:val="None"/>
          <w:rFonts w:ascii="Times New Roman" w:hAnsi="Times New Roman"/>
          <w:b w:val="1"/>
          <w:bCs w:val="1"/>
          <w:kern w:val="0"/>
          <w:sz w:val="24"/>
          <w:szCs w:val="24"/>
          <w:rtl w:val="0"/>
          <w:lang w:val="en-US"/>
        </w:rPr>
        <w:t>.</w:t>
      </w:r>
      <w:r>
        <w:rPr>
          <w:rStyle w:val="Hyperlink.1"/>
          <w:rtl w:val="0"/>
          <w:lang w:val="en-US"/>
        </w:rPr>
        <w:t xml:space="preserve"> ‘</w:t>
      </w:r>
      <w:r>
        <w:rPr>
          <w:rStyle w:val="Hyperlink.1"/>
          <w:rtl w:val="0"/>
          <w:lang w:val="en-US"/>
        </w:rPr>
        <w:t xml:space="preserve">Identification and Comparative Studies of Different Volatile Fraction from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Monochaetiakansensis</w:t>
      </w:r>
      <w:r>
        <w:rPr>
          <w:rStyle w:val="Hyperlink.1"/>
          <w:rtl w:val="0"/>
          <w:lang w:val="en-US"/>
        </w:rPr>
        <w:t xml:space="preserve"> by GC-MS.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Global Journal of Pharmacology</w:t>
      </w:r>
      <w:r>
        <w:rPr>
          <w:rStyle w:val="Hyperlink.1"/>
          <w:rtl w:val="0"/>
          <w:lang w:val="en-US"/>
        </w:rPr>
        <w:t>, 6(2):66-71.</w:t>
      </w:r>
    </w:p>
    <w:p>
      <w:pPr>
        <w:pStyle w:val="Normal.0"/>
        <w:spacing w:after="0" w:line="360" w:lineRule="auto"/>
        <w:ind w:left="720" w:hanging="720"/>
        <w:jc w:val="both"/>
        <w:rPr>
          <w:rStyle w:val="None"/>
          <w:rFonts w:ascii="Times New Roman" w:cs="Times New Roman" w:hAnsi="Times New Roman" w:eastAsia="Times New Roman"/>
          <w:sz w:val="24"/>
          <w:szCs w:val="24"/>
        </w:rPr>
      </w:pPr>
    </w:p>
    <w:p>
      <w:pPr>
        <w:pStyle w:val="Normal.0"/>
        <w:spacing w:after="0" w:line="360" w:lineRule="auto"/>
        <w:ind w:left="720" w:hanging="720"/>
        <w:jc w:val="both"/>
        <w:rPr>
          <w:rStyle w:val="None"/>
          <w:rFonts w:ascii="Times New Roman" w:cs="Times New Roman" w:hAnsi="Times New Roman" w:eastAsia="Times New Roman"/>
          <w:sz w:val="24"/>
          <w:szCs w:val="24"/>
        </w:rPr>
      </w:pPr>
    </w:p>
    <w:p>
      <w:pPr>
        <w:pStyle w:val="Normal.0"/>
        <w:spacing w:after="0" w:line="360" w:lineRule="auto"/>
        <w:ind w:left="720" w:hanging="720"/>
        <w:jc w:val="both"/>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COMPARATIVE EVOLUTIONARY ANALYSIS OF THE TP53                                         GENE ACROSS RODENTS AND HUMANS</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Joel Jas J</w:t>
      </w:r>
      <w:r>
        <w:rPr>
          <w:rStyle w:val="None"/>
          <w:rFonts w:ascii="Times New Roman" w:hAnsi="Times New Roman"/>
          <w:i w:val="1"/>
          <w:iCs w:val="1"/>
          <w:kern w:val="0"/>
          <w:sz w:val="24"/>
          <w:szCs w:val="24"/>
          <w:vertAlign w:val="superscript"/>
          <w:rtl w:val="0"/>
          <w:lang w:val="en-US"/>
        </w:rPr>
        <w:t>1</w:t>
      </w:r>
      <w:r>
        <w:rPr>
          <w:rStyle w:val="None"/>
          <w:rFonts w:ascii="Times New Roman" w:hAnsi="Times New Roman"/>
          <w:i w:val="1"/>
          <w:iCs w:val="1"/>
          <w:kern w:val="0"/>
          <w:sz w:val="24"/>
          <w:szCs w:val="24"/>
          <w:rtl w:val="0"/>
          <w:lang w:val="en-US"/>
        </w:rPr>
        <w:t>, Vijila Jasmin</w:t>
      </w:r>
      <w:r>
        <w:rPr>
          <w:rStyle w:val="None"/>
          <w:rFonts w:ascii="Times New Roman" w:hAnsi="Times New Roman"/>
          <w:i w:val="1"/>
          <w:iCs w:val="1"/>
          <w:kern w:val="0"/>
          <w:sz w:val="24"/>
          <w:szCs w:val="24"/>
          <w:rtl w:val="0"/>
          <w:lang w:val="en-US"/>
        </w:rPr>
        <w:t>,J</w:t>
      </w:r>
      <w:r>
        <w:rPr>
          <w:rStyle w:val="None"/>
          <w:rFonts w:ascii="Times New Roman" w:hAnsi="Times New Roman"/>
          <w:i w:val="1"/>
          <w:iCs w:val="1"/>
          <w:kern w:val="0"/>
          <w:sz w:val="24"/>
          <w:szCs w:val="24"/>
          <w:vertAlign w:val="superscript"/>
          <w:rtl w:val="0"/>
          <w:lang w:val="en-US"/>
        </w:rPr>
        <w:t>2</w:t>
      </w:r>
      <w:r>
        <w:rPr>
          <w:rStyle w:val="None"/>
          <w:rFonts w:ascii="Times New Roman" w:hAnsi="Times New Roman"/>
          <w:i w:val="1"/>
          <w:iCs w:val="1"/>
          <w:kern w:val="0"/>
          <w:sz w:val="24"/>
          <w:szCs w:val="24"/>
          <w:rtl w:val="0"/>
          <w:lang w:val="en-US"/>
        </w:rPr>
        <w:t>.,</w:t>
      </w:r>
      <w:r>
        <w:rPr>
          <w:rStyle w:val="None"/>
          <w:rFonts w:ascii="Times New Roman" w:hAnsi="Times New Roman"/>
          <w:i w:val="1"/>
          <w:iCs w:val="1"/>
          <w:kern w:val="0"/>
          <w:sz w:val="24"/>
          <w:szCs w:val="24"/>
          <w:rtl w:val="0"/>
          <w:lang w:val="en-US"/>
        </w:rPr>
        <w:t xml:space="preserve"> and Kumaran</w:t>
      </w:r>
      <w:r>
        <w:rPr>
          <w:rStyle w:val="None"/>
          <w:rFonts w:ascii="Times New Roman" w:hAnsi="Times New Roman"/>
          <w:i w:val="1"/>
          <w:iCs w:val="1"/>
          <w:kern w:val="0"/>
          <w:sz w:val="24"/>
          <w:szCs w:val="24"/>
          <w:rtl w:val="0"/>
          <w:lang w:val="en-US"/>
        </w:rPr>
        <w:t>,T.</w:t>
      </w:r>
      <w:r>
        <w:rPr>
          <w:rStyle w:val="None"/>
          <w:rFonts w:ascii="Times New Roman" w:hAnsi="Times New Roman"/>
          <w:i w:val="1"/>
          <w:iCs w:val="1"/>
          <w:kern w:val="0"/>
          <w:sz w:val="24"/>
          <w:szCs w:val="24"/>
          <w:vertAlign w:val="superscript"/>
          <w:rtl w:val="0"/>
          <w:lang w:val="en-US"/>
        </w:rPr>
        <w:t>2</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vertAlign w:val="superscript"/>
          <w:rtl w:val="0"/>
          <w:lang w:val="en-US"/>
        </w:rPr>
        <w:t xml:space="preserve">1 </w:t>
      </w:r>
      <w:r>
        <w:rPr>
          <w:rStyle w:val="None"/>
          <w:rFonts w:ascii="Times New Roman" w:hAnsi="Times New Roman"/>
          <w:i w:val="1"/>
          <w:iCs w:val="1"/>
          <w:kern w:val="0"/>
          <w:sz w:val="24"/>
          <w:szCs w:val="24"/>
          <w:rtl w:val="0"/>
          <w:lang w:val="en-US"/>
        </w:rPr>
        <w:t>Research Scholar Reg. No. 2521309221002, PG and Research Department of Zoology, Muslim Arts College, Thiruvithancode, Kanyakumari - 629174, Affiliated to ManonmaniamSundaranar University, Abishekapatti, Tirunelveli627012, Tamilnadu, India</w:t>
      </w:r>
      <w:r>
        <w:rPr>
          <w:rStyle w:val="None"/>
          <w:rFonts w:ascii="Times New Roman" w:hAnsi="Times New Roman" w:hint="default"/>
          <w:i w:val="1"/>
          <w:iCs w:val="1"/>
          <w:kern w:val="0"/>
          <w:sz w:val="24"/>
          <w:szCs w:val="24"/>
          <w:rtl w:val="0"/>
          <w:lang w:val="en-US"/>
        </w:rPr>
        <w:t> </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kern w:val="0"/>
          <w:sz w:val="24"/>
          <w:szCs w:val="24"/>
          <w:rtl w:val="0"/>
          <w:lang w:val="en-US"/>
        </w:rPr>
        <w:t>E-mail</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Hyperlink.2"/>
        </w:rPr>
        <w:fldChar w:fldCharType="begin" w:fldLock="0"/>
      </w:r>
      <w:r>
        <w:rPr>
          <w:rStyle w:val="Hyperlink.2"/>
        </w:rPr>
        <w:instrText xml:space="preserve"> HYPERLINK "mailto:joeljazz00@gmail.com"</w:instrText>
      </w:r>
      <w:r>
        <w:rPr>
          <w:rStyle w:val="Hyperlink.2"/>
        </w:rPr>
        <w:fldChar w:fldCharType="separate" w:fldLock="0"/>
      </w:r>
      <w:r>
        <w:rPr>
          <w:rStyle w:val="Hyperlink.2"/>
          <w:rtl w:val="0"/>
          <w:lang w:val="en-US"/>
        </w:rPr>
        <w:t>joeljazz00@gmail.com</w:t>
      </w:r>
      <w:r>
        <w:rPr/>
        <w:fldChar w:fldCharType="end" w:fldLock="0"/>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2</w:t>
      </w:r>
      <w:r>
        <w:rPr>
          <w:rStyle w:val="None"/>
          <w:rFonts w:ascii="Times New Roman" w:hAnsi="Times New Roman"/>
          <w:i w:val="1"/>
          <w:iCs w:val="1"/>
          <w:kern w:val="0"/>
          <w:sz w:val="24"/>
          <w:szCs w:val="24"/>
          <w:vertAlign w:val="superscript"/>
          <w:rtl w:val="0"/>
          <w:lang w:val="en-US"/>
        </w:rPr>
        <w:t xml:space="preserve"> </w:t>
      </w:r>
      <w:r>
        <w:rPr>
          <w:rStyle w:val="None"/>
          <w:rFonts w:ascii="Times New Roman" w:hAnsi="Times New Roman"/>
          <w:i w:val="1"/>
          <w:iCs w:val="1"/>
          <w:kern w:val="0"/>
          <w:sz w:val="24"/>
          <w:szCs w:val="24"/>
          <w:rtl w:val="0"/>
          <w:lang w:val="en-US"/>
        </w:rPr>
        <w:t>Research Supervisor, PG and Research Department of Zoology, Muslim Arts College, Thiruvithancode, Kanyakumari 629174, Affiliated to ManonmaniamSundaranarUniversity,Abishekapatti, Tirunelveli-627012,Tamilnadu,India</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naked mole-rat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is a distinct subterranean rodent species endemic to the Horn of Africa. It exhibits exceptional longevity and an extremely low incidence of spontaneous cancer despite sharing a common evolutionary ancestry with mice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and rats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xml:space="preserve">), which are widely used as preclinical models in cancer research. This contrast in cancer susceptibility raises an important evolutionary question about differences in key cancer-associated genes and their potential contribution to the exceptional cancer resistance of the naked mole-rat. To address this question, this study investigates the evolutionary conservation and divergence of the Tumour Protein p53 (TP53) gene across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Orthologous coding DNA and protein sequences were retrieved from public databases, verified, and subjected to multiple sequence alignment and Maximum Likelihood phylogenetic reconstruction using MEGA12.1. Comparative analyses, including conserved domain identification, pairwise protein sequence comparison, maximum-likelihood estimation of nonsynonymous-to-synonymous substitution rate ratios (dN/dS), and structural visualization, demonstrated that TP53 is highly conserved across the four mammalian species. This study establishes a comparative evolutionary framework for understanding TP53 evolution and provides a foundation for future comparative genomic and functional studies of genome maintenance genes associated with natural cancer resistance.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i w:val="1"/>
          <w:iCs w:val="1"/>
          <w:kern w:val="0"/>
          <w:sz w:val="24"/>
          <w:szCs w:val="24"/>
          <w:rtl w:val="0"/>
          <w:lang w:val="en-US"/>
        </w:rPr>
        <w:t>Keywords:</w:t>
      </w:r>
      <w:r>
        <w:rPr>
          <w:rStyle w:val="None"/>
          <w:rFonts w:ascii="Times New Roman" w:hAnsi="Times New Roman"/>
          <w:i w:val="1"/>
          <w:iCs w:val="1"/>
          <w:kern w:val="0"/>
          <w:sz w:val="24"/>
          <w:szCs w:val="24"/>
          <w:rtl w:val="0"/>
          <w:lang w:val="en-US"/>
        </w:rPr>
        <w:t xml:space="preserve"> Naked mole-rat, TP53, comparative genomics, phylogenetics, cancer resistance, mammalian evolution</w:t>
      </w:r>
      <w:r>
        <w:rPr>
          <w:rStyle w:val="Hyperlink.1"/>
          <w:rtl w:val="0"/>
          <w:lang w:val="en-US"/>
        </w:rPr>
        <w:t>.</w:t>
      </w:r>
    </w:p>
    <w:p>
      <w:pPr>
        <w:pStyle w:val="Normal.0"/>
        <w:spacing w:after="0" w:line="360" w:lineRule="auto"/>
        <w:rPr>
          <w:rStyle w:val="None"/>
          <w:rFonts w:ascii="Times New Roman" w:cs="Times New Roman" w:hAnsi="Times New Roman" w:eastAsia="Times New Roman"/>
          <w:kern w:val="0"/>
          <w:sz w:val="24"/>
          <w:szCs w:val="24"/>
        </w:rPr>
      </w:pPr>
    </w:p>
    <w:p>
      <w:pPr>
        <w:pStyle w:val="Normal.0"/>
        <w:numPr>
          <w:ilvl w:val="0"/>
          <w:numId w:val="20"/>
        </w:numPr>
        <w:bidi w:val="0"/>
        <w:spacing w:after="0" w:line="360" w:lineRule="auto"/>
        <w:ind w:right="0"/>
        <w:jc w:val="both"/>
        <w:rPr>
          <w:rFonts w:ascii="Times New Roman" w:hAnsi="Times New Roman"/>
          <w:b w:val="1"/>
          <w:bCs w:val="1"/>
          <w:sz w:val="24"/>
          <w:szCs w:val="24"/>
          <w:rtl w:val="0"/>
          <w:lang w:val="en-US"/>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INTRODUCTION</w:t>
      </w:r>
    </w:p>
    <w:p>
      <w:pPr>
        <w:pStyle w:val="Normal.0"/>
        <w:spacing w:after="0" w:line="360" w:lineRule="auto"/>
        <w:ind w:firstLine="360"/>
        <w:jc w:val="both"/>
        <w:rPr>
          <w:rStyle w:val="None"/>
          <w:rFonts w:ascii="Times New Roman" w:cs="Times New Roman" w:hAnsi="Times New Roman" w:eastAsia="Times New Roman"/>
          <w:kern w:val="0"/>
          <w:sz w:val="24"/>
          <w:szCs w:val="24"/>
        </w:rPr>
      </w:pPr>
      <w:r>
        <w:rPr>
          <w:rStyle w:val="Hyperlink.1"/>
          <w:rtl w:val="0"/>
          <w:lang w:val="en-US"/>
        </w:rPr>
        <w:t xml:space="preserve">The TP53 gene encodes the p53 protein, a sequence-specific transcription factor that plays a central role in maintaining genomic integrity (Park et al., 2016). It is commonly referred to as the </w:t>
      </w:r>
      <w:r>
        <w:rPr>
          <w:rStyle w:val="Hyperlink.1"/>
          <w:rtl w:val="0"/>
          <w:lang w:val="en-US"/>
        </w:rPr>
        <w:t>“</w:t>
      </w:r>
      <w:r>
        <w:rPr>
          <w:rStyle w:val="Hyperlink.1"/>
          <w:rtl w:val="0"/>
          <w:lang w:val="en-US"/>
        </w:rPr>
        <w:t>guardian of the genome,</w:t>
      </w:r>
      <w:r>
        <w:rPr>
          <w:rStyle w:val="Hyperlink.1"/>
          <w:rtl w:val="0"/>
          <w:lang w:val="en-US"/>
        </w:rPr>
        <w:t>“</w:t>
      </w:r>
      <w:r>
        <w:rPr>
          <w:rStyle w:val="Hyperlink.1"/>
          <w:rtl w:val="0"/>
          <w:lang w:val="en-US"/>
        </w:rPr>
        <w:t>and is activated in response to diverse cellular stresses, including DNA damage, oncogene activation, oxidative stress, hypoxia, and replication stress (Park et al., 2016). Upon activation, p53 regulates the expression of numerous target genes involved in cell-cycle arrest, DNA repair, apoptosis, senescence, autophagy, and other stress-response pathways, thereby preventing the propagation of genetically damaged cells and suppressing tumour development (Li et al., 2019). Disruption of the TP53 pathway is one of the most common molecular events in human cancer (Li et al., 2019). Loss of normal p53 activity compromises cellular responses to genomic damage, allowing genetically unstable cells to survive, proliferate, and accumulate additional oncogenic alterations (Li et al., 2019). Beyond its established roles in tumour suppression, p53 also contributes to the regulation of cellular metabolism, differentiation, immune responses, and organismal ageing, highlighting its broad biological significance (Li et al., 2019).</w:t>
      </w:r>
      <w:r>
        <w:rPr>
          <w:rStyle w:val="Hyperlink.1"/>
          <w:rtl w:val="0"/>
          <w:lang w:val="en-US"/>
        </w:rPr>
        <w:t> </w:t>
      </w:r>
    </w:p>
    <w:p>
      <w:pPr>
        <w:pStyle w:val="Normal.0"/>
        <w:spacing w:after="0" w:line="360" w:lineRule="auto"/>
        <w:ind w:firstLine="360"/>
        <w:jc w:val="both"/>
        <w:rPr>
          <w:rStyle w:val="None"/>
          <w:rFonts w:ascii="Times New Roman" w:cs="Times New Roman" w:hAnsi="Times New Roman" w:eastAsia="Times New Roman"/>
          <w:kern w:val="0"/>
          <w:sz w:val="24"/>
          <w:szCs w:val="24"/>
        </w:rPr>
      </w:pPr>
      <w:r>
        <w:rPr>
          <w:rStyle w:val="Hyperlink.1"/>
          <w:rtl w:val="0"/>
          <w:lang w:val="en-US"/>
        </w:rPr>
        <w:t xml:space="preserve">Despite the remarkable functional diversity of p53, the protein exhibits strong evolutionary conservation across vertebrates and many multicellular organisms (Voskarides&amp; Giannopoulou, 2023). This conservation reflects intense selective pressure to preserve the structural and functional integrity of domains responsible for DNA binding, transcriptional regulation, tetramerization, and interactions with regulatory proteins (Voskarides&amp; Giannopoulou, 2023). Comparative evolutionary analyses of TP53 therefore provide valuable insights into the extent to which natural selection has maintained essential functional regions while permitting species-specific sequence variation. Such analyses also help distinguish evolutionarily constrained residues from those that have diverged during mammalian evolution. The naked mole-rat is widely recognized for its exceptional longevity and remarkable resistance to spontaneous cancer (Seluanov et al., 2009; Tian et al., 2013). Unlike conventional laboratory rodents such as the mouse and rat, the naked mole-rat exhibits unique mechanisms of tumour suppression and genome maintenance (Seluanov et al., 2009; Tian et al., 2013). Whether these distinctive biological characteristics are accompanied by evolutionary divergence within the TP53 coding sequence remains an important question (Tian et al., 2013). Comparative analysis with humans and commonly used rodent models provides insight into the evolutionary conservation and sequence variation of this critical tumour suppressor gene in a species exhibiting exceptional cancer resistance. This study performed a comparative evolutionary analysis of the TP53 gene among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It provides a comparative assessment of TP53 conservation at the sequence, structural, and evolutionary levels and lays a foundation for future comparative analyses of additional genome maintenance genes.</w:t>
      </w:r>
    </w:p>
    <w:p>
      <w:pPr>
        <w:pStyle w:val="Normal.0"/>
        <w:spacing w:after="0" w:line="360" w:lineRule="auto"/>
        <w:jc w:val="both"/>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METHODOLOGY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Sequence Retrieval</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TP53 gene was selected as the target for comparative evolutionary analysis. Orthologous TP53 sequences from four mammalian species</w:t>
      </w:r>
      <w:r>
        <w:rPr>
          <w:rStyle w:val="Hyperlink.1"/>
          <w:rtl w:val="0"/>
          <w:lang w:val="en-US"/>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xml:space="preserve"> —</w:t>
      </w:r>
      <w:r>
        <w:rPr>
          <w:rStyle w:val="Hyperlink.1"/>
          <w:rtl w:val="0"/>
          <w:lang w:val="en-US"/>
        </w:rPr>
        <w:t>were retrieved from the NCBI Gene database (Brown et al., 2015). For each species, the corresponding coding DNA sequence (CDS) and protein sequence were obtained in FASTA format using NCBI RefSeq records (NM_ and NP_ accessions) (O'Leary et al., 2016). When multiple transcript variants were available, the canonical representative RefSeq transcript was selected.</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2.2 </w:t>
        <w:tab/>
        <w:t>Multiple Sequence Alignment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retrieved TP53 protein sequences were aligned using the MUSCLE (Multiple Sequence Comparison by Log-Expectation) algorithm (Edgar, 2004) implemented in MEGA12.1 (Kumar et al., 2024). Sequence alignment was performed using the default MUSCLE parameters to generate a multiple sequence alignment for subsequent analysis.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2.3 </w:t>
        <w:tab/>
        <w:t>Phylogenetic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evolutionary relationships among the retrieved TP53 protein sequences were inferred using the Maximum Likelihood (ML) method implemented in MEGA version 12.1. The phylogenetic tree was reconstructed using the Jones</w:t>
      </w:r>
      <w:r>
        <w:rPr>
          <w:rStyle w:val="Hyperlink.1"/>
          <w:rtl w:val="0"/>
          <w:lang w:val="en-US"/>
        </w:rPr>
        <w:t>–</w:t>
      </w:r>
      <w:r>
        <w:rPr>
          <w:rStyle w:val="Hyperlink.1"/>
          <w:rtl w:val="0"/>
          <w:lang w:val="en-US"/>
        </w:rPr>
        <w:t>Taylor</w:t>
      </w:r>
      <w:r>
        <w:rPr>
          <w:rStyle w:val="Hyperlink.1"/>
          <w:rtl w:val="0"/>
          <w:lang w:val="en-US"/>
        </w:rPr>
        <w:t>–</w:t>
      </w:r>
      <w:r>
        <w:rPr>
          <w:rStyle w:val="Hyperlink.1"/>
          <w:rtl w:val="0"/>
          <w:lang w:val="en-US"/>
        </w:rPr>
        <w:t xml:space="preserve">Thornton (JTT) amino acid substitution model (Jones et al., 1992) with uniform rates among sites. All alignment positions were retained using the </w:t>
      </w:r>
      <w:r>
        <w:rPr>
          <w:rStyle w:val="Hyperlink.1"/>
          <w:rtl w:val="0"/>
          <w:lang w:val="en-US"/>
        </w:rPr>
        <w:t>“</w:t>
      </w:r>
      <w:r>
        <w:rPr>
          <w:rStyle w:val="Hyperlink.1"/>
          <w:rtl w:val="0"/>
          <w:lang w:val="en-US"/>
        </w:rPr>
        <w:t>Use all sites</w:t>
      </w:r>
      <w:r>
        <w:rPr>
          <w:rStyle w:val="Hyperlink.1"/>
          <w:rtl w:val="0"/>
          <w:lang w:val="en-US"/>
        </w:rPr>
        <w:t xml:space="preserve">” </w:t>
      </w:r>
      <w:r>
        <w:rPr>
          <w:rStyle w:val="Hyperlink.1"/>
          <w:rtl w:val="0"/>
          <w:lang w:val="en-US"/>
        </w:rPr>
        <w:t>option. Tree searching was performed using the Nearest-Neighbor Interchange (NNI) heuristic method, with the initial tree generated automatically using the Neighbor-Joining/Maximum Parsimony (NJ/MP) approach. The robustness of the inferred phylogeny was assessed using the bootstrap method with 1,000 replicates (Felsenstein, 1985). The resulting phylogenetic tree was visualized and exported for comparative evolutionary interpretation.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2.4 </w:t>
        <w:tab/>
        <w:t>Conserved Domain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conserved domain architecture of the retrieved TP53 proteins was analyzed using the NCBI Conserved Domain Database (CDD) through the CD-Search interface (Lu et al., 2020). Each protein sequence was submitted individually using the default search parameters. Conserved protein domains, functional motifs, domain intervals, accession identifiers, and corresponding E-values were recorded for comparative analysis. Domain architectures identified across the four species were compared to assess the conservation of major functional regions of TP53.</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2.5 </w:t>
        <w:tab/>
        <w:t>Pairwise Protein Sequence Alignment and Amino Acid Substitution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Pairwise protein sequence comparisons were performed between the human TP53 protein and its orthologues from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using custom Python scripts developed for this study. Protein sequences retrieved from the NCBI RefSeq database were analysed independently for each species pair. The analyses were performed in Python version 3.9.6 using Biopython version 1.85 (Cock et al., 2009) and pandas version 2.3.3 (McKinney, 2010). Global pairwise sequence alignment was performed using Biopython</w:t>
      </w:r>
      <w:r>
        <w:rPr>
          <w:rStyle w:val="Hyperlink.1"/>
          <w:rtl w:val="0"/>
          <w:lang w:val="en-US"/>
        </w:rPr>
        <w:t>’</w:t>
      </w:r>
      <w:r>
        <w:rPr>
          <w:rStyle w:val="Hyperlink.1"/>
          <w:rtl w:val="0"/>
          <w:lang w:val="en-US"/>
        </w:rPr>
        <w:t>sPairwiseAligner module with the BLOSUM62 amino acid substitution matrix (Henikoff&amp; Henikoff, 1992). The aligner was configured in global alignment mode, enabling end-to-end alignment of the complete TP53 protein sequences.</w:t>
      </w:r>
    </w:p>
    <w:p>
      <w:pPr>
        <w:pStyle w:val="Normal.0"/>
        <w:spacing w:after="0" w:line="360" w:lineRule="auto"/>
        <w:ind w:firstLine="360"/>
        <w:jc w:val="both"/>
        <w:rPr>
          <w:rStyle w:val="None"/>
          <w:rFonts w:ascii="Times New Roman" w:cs="Times New Roman" w:hAnsi="Times New Roman" w:eastAsia="Times New Roman"/>
          <w:kern w:val="0"/>
          <w:sz w:val="24"/>
          <w:szCs w:val="24"/>
        </w:rPr>
      </w:pPr>
      <w:r>
        <w:rPr>
          <w:rStyle w:val="Hyperlink.1"/>
          <w:rtl w:val="0"/>
          <w:lang w:val="en-US"/>
        </w:rPr>
        <w:t>Following alignment, aligned residue pairs were examined sequentially. Alignment columns containing gaps in either sequence were excluded from residue comparison. For each non-gap position, amino acid pairs were classified as either conserved (identical residues) or substituted (non-identical residues). Substituted residues were further classified as conservative or non-conservative based on amino acid physicochemical groups. Amino acids were assigned to five categories:</w:t>
      </w:r>
    </w:p>
    <w:p>
      <w:pPr>
        <w:pStyle w:val="Normal.0"/>
        <w:numPr>
          <w:ilvl w:val="0"/>
          <w:numId w:val="2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Hydrophobic: A, V, L, I, M, F, W, Y</w:t>
      </w:r>
    </w:p>
    <w:p>
      <w:pPr>
        <w:pStyle w:val="Normal.0"/>
        <w:numPr>
          <w:ilvl w:val="0"/>
          <w:numId w:val="2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Polar: S, T, N, Q</w:t>
      </w:r>
    </w:p>
    <w:p>
      <w:pPr>
        <w:pStyle w:val="Normal.0"/>
        <w:numPr>
          <w:ilvl w:val="0"/>
          <w:numId w:val="2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Positively charged: K, R, H</w:t>
      </w:r>
    </w:p>
    <w:p>
      <w:pPr>
        <w:pStyle w:val="Normal.0"/>
        <w:numPr>
          <w:ilvl w:val="0"/>
          <w:numId w:val="2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Negatively charged: D, E</w:t>
      </w:r>
    </w:p>
    <w:p>
      <w:pPr>
        <w:pStyle w:val="Normal.0"/>
        <w:numPr>
          <w:ilvl w:val="0"/>
          <w:numId w:val="2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Special residues: C, G, P</w:t>
      </w:r>
    </w:p>
    <w:p>
      <w:pPr>
        <w:pStyle w:val="Normal.0"/>
        <w:spacing w:after="0" w:line="360" w:lineRule="auto"/>
        <w:ind w:firstLine="360"/>
        <w:jc w:val="both"/>
        <w:rPr>
          <w:rStyle w:val="None"/>
          <w:rFonts w:ascii="Times New Roman" w:cs="Times New Roman" w:hAnsi="Times New Roman" w:eastAsia="Times New Roman"/>
          <w:kern w:val="0"/>
          <w:sz w:val="24"/>
          <w:szCs w:val="24"/>
        </w:rPr>
      </w:pPr>
      <w:r>
        <w:rPr>
          <w:rStyle w:val="Hyperlink.1"/>
          <w:rtl w:val="0"/>
          <w:lang w:val="en-US"/>
        </w:rPr>
        <w:t>Substitutions between amino acids belonging to the same physicochemical group were classified as conservative substitutions, whereas substitutions between amino acids belonging to different groups were classified as non-conservative substitutions.</w:t>
      </w:r>
    </w:p>
    <w:p>
      <w:pPr>
        <w:pStyle w:val="Normal.0"/>
        <w:spacing w:after="0" w:line="360" w:lineRule="auto"/>
        <w:ind w:firstLine="360"/>
        <w:jc w:val="both"/>
        <w:rPr>
          <w:rStyle w:val="None"/>
          <w:rFonts w:ascii="Times New Roman" w:cs="Times New Roman" w:hAnsi="Times New Roman" w:eastAsia="Times New Roman"/>
          <w:kern w:val="0"/>
          <w:sz w:val="24"/>
          <w:szCs w:val="24"/>
        </w:rPr>
      </w:pPr>
      <w:r>
        <w:rPr>
          <w:rStyle w:val="Hyperlink.1"/>
          <w:rtl w:val="0"/>
          <w:lang w:val="en-US"/>
        </w:rPr>
        <w:t>For each species pair comparison, the alignment position, residue positions in both proteins, amino acid identities, and substitution category were recorded. Comprehensive output tables containing all aligned residues and substitution-only residues were generated in Microsoft Excel format using the pandas library (McKinney, 2010), while complete pairwise alignments were exported as plain-text files. The percentage sequence identity was calculated as:</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xml:space="preserve">Sequence Identity (%) = Number of conserved residuesTotal aligned residues excluding gap columns </w:t>
      </w:r>
      <w:r>
        <w:rPr>
          <w:rStyle w:val="Hyperlink.1"/>
          <w:rtl w:val="0"/>
          <w:lang w:val="en-US"/>
        </w:rPr>
        <w:t xml:space="preserve">× </w:t>
      </w:r>
      <w:r>
        <w:rPr>
          <w:rStyle w:val="Hyperlink.1"/>
          <w:rtl w:val="0"/>
          <w:lang w:val="en-US"/>
        </w:rPr>
        <w:t>100</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where Total Aligned Residues represents the number of aligned positions after excluding alignment columns containing gaps in either sequence. For each pairwise comparison, summary statistics including protein length, total aligned residues, excluded gap-containing columns, conserved residues, total amino acid substitutions, conservative substitutions, non-conservative substitutions, and sequence identity (%) were calculated automatically by the custom Python scripts.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2.6 </w:t>
        <w:tab/>
        <w:t>Pairwise dN/dS Analysis of TP53 Coding Sequences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coding sequences (CDS) of the TP53 gene obtained from the NCBI RefSeq database for four mammalian species were used for dN/dS analysis. For each species, a single annotated RefSeq coding sequence was used. Protein sequences were generated from the CDS using a custom Python script written in Python 3.9 with Biopython version 1.85. Translation was performed using the standard genetic code (table = 1) with translation terminated at the first in-frame stop codon (Seq.translate(table=1, to_stop=True)). The translated protein sequences were aligned using MUSCLE version 5.3 (Edgar, 2022) to produce amino acid alignments. Protein-guided codon alignments were then generated using PAL2NAL (Suyama et al., 2006), which converts protein alignments together with their corresponding nucleotide coding sequences into codon-based nucleotide alignments suitable for evolutionary analyses. The codon alignments were exported in PAML format using the -output paml option.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Maximum-likelihood estimates of synonymous substitution rate (dS), nonsynonymous substitution rate (dN), and their ratio (</w:t>
      </w:r>
      <w:r>
        <w:rPr>
          <w:rStyle w:val="Hyperlink.1"/>
          <w:rtl w:val="0"/>
          <w:lang w:val="en-US"/>
        </w:rPr>
        <w:t xml:space="preserve">ω </w:t>
      </w:r>
      <w:r>
        <w:rPr>
          <w:rStyle w:val="Hyperlink.1"/>
          <w:rtl w:val="0"/>
          <w:lang w:val="en-US"/>
        </w:rPr>
        <w:t>= dN/dS) were calculated using CODEML from the PAML version 4.10.10 package (Yang, 2007). Pairwise comparisons were performed using runmode = -2, which estimates dN and dS directly between two coding sequences under a maximum-likelihood codon substitution model. Codon frequencies were estimated using the F3</w:t>
      </w:r>
      <w:r>
        <w:rPr>
          <w:rStyle w:val="Hyperlink.1"/>
          <w:rtl w:val="0"/>
          <w:lang w:val="en-US"/>
        </w:rPr>
        <w:t>×</w:t>
      </w:r>
      <w:r>
        <w:rPr>
          <w:rStyle w:val="Hyperlink.1"/>
          <w:rtl w:val="0"/>
          <w:lang w:val="en-US"/>
        </w:rPr>
        <w:t xml:space="preserve">4 model (CodonFreq = 2), while the universal genetic code (icode = 0) was specified. A single </w:t>
      </w:r>
      <w:r>
        <w:rPr>
          <w:rStyle w:val="Hyperlink.1"/>
          <w:rtl w:val="0"/>
          <w:lang w:val="en-US"/>
        </w:rPr>
        <w:t xml:space="preserve">ω </w:t>
      </w:r>
      <w:r>
        <w:rPr>
          <w:rStyle w:val="Hyperlink.1"/>
          <w:rtl w:val="0"/>
          <w:lang w:val="en-US"/>
        </w:rPr>
        <w:t>ratio model (model = 0, NSsites = 0) was applied, with both the transition/transversion rate ratio (</w:t>
      </w:r>
      <w:r>
        <w:rPr>
          <w:rStyle w:val="Hyperlink.1"/>
          <w:rtl w:val="0"/>
          <w:lang w:val="en-US"/>
        </w:rPr>
        <w:t>κ</w:t>
      </w:r>
      <w:r>
        <w:rPr>
          <w:rStyle w:val="Hyperlink.1"/>
          <w:rtl w:val="0"/>
          <w:lang w:val="en-US"/>
        </w:rPr>
        <w:t xml:space="preserve">) and </w:t>
      </w:r>
      <w:r>
        <w:rPr>
          <w:rStyle w:val="Hyperlink.1"/>
          <w:rtl w:val="0"/>
          <w:lang w:val="en-US"/>
        </w:rPr>
        <w:t xml:space="preserve">ω </w:t>
      </w:r>
      <w:r>
        <w:rPr>
          <w:rStyle w:val="Hyperlink.1"/>
          <w:rtl w:val="0"/>
          <w:lang w:val="en-US"/>
        </w:rPr>
        <w:t xml:space="preserve">estimated from the data (fix_kappa = 0, kappa = 2; fix_omega = 0, omega = 0.4). The principal output file (mlc) was used to extract the log-likelihood (lnL), evolutionary distance (t), dN, dS, and </w:t>
      </w:r>
      <w:r>
        <w:rPr>
          <w:rStyle w:val="Hyperlink.1"/>
          <w:rtl w:val="0"/>
          <w:lang w:val="en-US"/>
        </w:rPr>
        <w:t xml:space="preserve">ω </w:t>
      </w:r>
      <w:r>
        <w:rPr>
          <w:rStyle w:val="Hyperlink.1"/>
          <w:rtl w:val="0"/>
          <w:lang w:val="en-US"/>
        </w:rPr>
        <w:t>values for each species pair. The use of runmode = -2 with CodonFreq = 2 follows the PAML documentation</w:t>
      </w:r>
      <w:r>
        <w:rPr>
          <w:rStyle w:val="Hyperlink.1"/>
          <w:rtl w:val="0"/>
          <w:lang w:val="en-US"/>
        </w:rPr>
        <w:t>’</w:t>
      </w:r>
      <w:r>
        <w:rPr>
          <w:rStyle w:val="Hyperlink.1"/>
          <w:rtl w:val="0"/>
          <w:lang w:val="en-US"/>
        </w:rPr>
        <w:t>s recommendation for maximum-likelihood estimation of pairwise dN and dS. All analyses were performed on a MacBook Air (Apple Silicon) running macOS Tahoe 26.3 (Build 25D125) using Python 3.9, Biopython version 1.85, MUSCLE version 5.3, PAL2NAL, and PAML/CODEML version 4.10.10.</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2.7 </w:t>
        <w:tab/>
        <w:t>Structural Visualization of the TP53</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DNA Complex</w:t>
      </w:r>
    </w:p>
    <w:p>
      <w:pPr>
        <w:pStyle w:val="Normal.0"/>
        <w:spacing w:after="0" w:line="360" w:lineRule="auto"/>
        <w:ind w:firstLine="720"/>
        <w:jc w:val="both"/>
        <w:rPr>
          <w:rStyle w:val="Hyperlink.1"/>
        </w:rPr>
      </w:pPr>
      <w:r>
        <w:rPr>
          <w:rStyle w:val="Hyperlink.1"/>
          <w:rtl w:val="0"/>
          <w:lang w:val="en-US"/>
        </w:rPr>
        <w:t xml:space="preserve">The crystal structure of the human TP53 DNA-binding domain complexed with DNA (PDB ID: 1TUP) was retrieved from the Protein Data Bank (PDB) (Berman et al., 2000). The X-ray crystal structure, determined at 2.20 </w:t>
      </w:r>
      <w:r>
        <w:rPr>
          <w:rStyle w:val="Hyperlink.1"/>
          <w:rtl w:val="0"/>
          <w:lang w:val="en-US"/>
        </w:rPr>
        <w:t xml:space="preserve">Å </w:t>
      </w:r>
      <w:r>
        <w:rPr>
          <w:rStyle w:val="Hyperlink.1"/>
          <w:rtl w:val="0"/>
          <w:lang w:val="en-US"/>
        </w:rPr>
        <w:t>resolution, comprises three TP53 DNA-binding domain monomers bound to double-stranded DNA with coordinated zinc ions (Cho et al., 1994). Structural visualization was performed using PyMOL (Schr</w:t>
      </w:r>
      <w:r>
        <w:rPr>
          <w:rStyle w:val="Hyperlink.1"/>
          <w:rtl w:val="0"/>
          <w:lang w:val="en-US"/>
        </w:rPr>
        <w:t>ö</w:t>
      </w:r>
      <w:r>
        <w:rPr>
          <w:rStyle w:val="Hyperlink.1"/>
          <w:rtl w:val="0"/>
          <w:lang w:val="en-US"/>
        </w:rPr>
        <w:t xml:space="preserve">dinger, LLC, 2015). TP53 monomers were displayed as cartoon representations and coloured cyan (Chain A), green (Chain B), and magenta (Chain C). The DNA duplex was displayed in orange, while zinc ions were represented as red spheres. DNA-contacting residues were identified using the PyMOL command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select dna_contacts, byres (polymer.protein within 4 of polymer.nucleic)</w:t>
      </w:r>
      <w:r>
        <w:rPr>
          <w:rStyle w:val="Hyperlink.1"/>
          <w:rtl w:val="0"/>
          <w:lang w:val="en-US"/>
        </w:rPr>
        <w:t xml:space="preserve">, which selected protein residues with atoms located within 4 </w:t>
      </w:r>
      <w:r>
        <w:rPr>
          <w:rStyle w:val="Hyperlink.1"/>
          <w:rtl w:val="0"/>
          <w:lang w:val="en-US"/>
        </w:rPr>
        <w:t xml:space="preserve">Å </w:t>
      </w:r>
      <w:r>
        <w:rPr>
          <w:rStyle w:val="Hyperlink.1"/>
          <w:rtl w:val="0"/>
          <w:lang w:val="en-US"/>
        </w:rPr>
        <w:t>of the DNA molecule. These residues were displayed as yellow sticks. Representative amino acid substitutions identified between the human and naked mole-rat TP53 proteins were mapped onto the structure using the PyMOL command select NMR_substitutions, resi 133+145+148+165+221 and displayed as magenta sticks.</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numPr>
          <w:ilvl w:val="0"/>
          <w:numId w:val="25"/>
        </w:numPr>
        <w:bidi w:val="0"/>
        <w:spacing w:after="0" w:line="360" w:lineRule="auto"/>
        <w:ind w:right="0"/>
        <w:jc w:val="both"/>
        <w:rPr>
          <w:rFonts w:ascii="Times New Roman" w:hAnsi="Times New Roman"/>
          <w:b w:val="1"/>
          <w:bCs w:val="1"/>
          <w:sz w:val="24"/>
          <w:szCs w:val="24"/>
          <w:rtl w:val="0"/>
          <w:lang w:val="en-US"/>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RESULTS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3.1 </w:t>
        <w:tab/>
        <w:t>Sequence Retrieval</w:t>
      </w:r>
    </w:p>
    <w:p>
      <w:pPr>
        <w:pStyle w:val="Normal.0"/>
        <w:spacing w:after="0" w:line="360" w:lineRule="auto"/>
        <w:ind w:firstLine="720"/>
        <w:jc w:val="both"/>
        <w:rPr>
          <w:rStyle w:val="Hyperlink.1"/>
        </w:rPr>
      </w:pPr>
      <w:r>
        <w:rPr>
          <w:rStyle w:val="Hyperlink.1"/>
          <w:rtl w:val="0"/>
          <w:lang w:val="en-US"/>
        </w:rPr>
        <w:t>Canonical TP53 coding DNA (CDS) and protein sequences were successfully retrieved from the NCBI RefSeq database. Both mRNA (NM_) and protein (NP_) RefSeq records were obtained for each species and used in subsequent comparative analyses. The human TP53 protein consisted of 393 amino acids, whereas the TP53 proteins of the naked mole-rat, mouse, and rat each comprised 391 amino acids. The RefSeq accession numbers and protein lengths of the TP53 sequences retrieved from NCBI are summarised in Table 1.</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TP53 RefSeq sequences retrieved from the NCBI                                                       database for comparative evolutionary analysis.</w:t>
      </w:r>
    </w:p>
    <w:tbl>
      <w:tblPr>
        <w:tblW w:w="924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63"/>
        <w:gridCol w:w="1320"/>
        <w:gridCol w:w="1983"/>
        <w:gridCol w:w="1902"/>
        <w:gridCol w:w="1674"/>
      </w:tblGrid>
      <w:tr>
        <w:tblPrEx>
          <w:shd w:val="clear" w:color="auto" w:fill="ced7e7"/>
        </w:tblPrEx>
        <w:trPr>
          <w:trHeight w:val="755" w:hRule="atLeast"/>
        </w:trPr>
        <w:tc>
          <w:tcPr>
            <w:tcW w:type="dxa" w:w="2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Species</w:t>
            </w:r>
          </w:p>
        </w:tc>
        <w:tc>
          <w:tcPr>
            <w:tcW w:type="dxa" w:w="1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Gene Symbol</w:t>
            </w:r>
          </w:p>
        </w:tc>
        <w:tc>
          <w:tcPr>
            <w:tcW w:type="dxa" w:w="1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RefSeq mRNA</w:t>
            </w:r>
          </w:p>
        </w:tc>
        <w:tc>
          <w:tcPr>
            <w:tcW w:type="dxa" w:w="1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RefSeq Protein</w:t>
            </w:r>
          </w:p>
        </w:tc>
        <w:tc>
          <w:tcPr>
            <w:tcW w:type="dxa" w:w="1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Protein Length (aa)</w:t>
            </w:r>
          </w:p>
        </w:tc>
      </w:tr>
      <w:tr>
        <w:tblPrEx>
          <w:shd w:val="clear" w:color="auto" w:fill="ced7e7"/>
        </w:tblPrEx>
        <w:trPr>
          <w:trHeight w:val="310" w:hRule="atLeast"/>
        </w:trPr>
        <w:tc>
          <w:tcPr>
            <w:tcW w:type="dxa" w:w="2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Homo sapiens</w:t>
            </w:r>
          </w:p>
        </w:tc>
        <w:tc>
          <w:tcPr>
            <w:tcW w:type="dxa" w:w="1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TP53</w:t>
            </w:r>
          </w:p>
        </w:tc>
        <w:tc>
          <w:tcPr>
            <w:tcW w:type="dxa" w:w="1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NM_000546.6</w:t>
            </w:r>
          </w:p>
        </w:tc>
        <w:tc>
          <w:tcPr>
            <w:tcW w:type="dxa" w:w="1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NP_000537.3</w:t>
            </w:r>
          </w:p>
        </w:tc>
        <w:tc>
          <w:tcPr>
            <w:tcW w:type="dxa" w:w="1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393</w:t>
            </w:r>
          </w:p>
        </w:tc>
      </w:tr>
      <w:tr>
        <w:tblPrEx>
          <w:shd w:val="clear" w:color="auto" w:fill="ced7e7"/>
        </w:tblPrEx>
        <w:trPr>
          <w:trHeight w:val="310" w:hRule="atLeast"/>
        </w:trPr>
        <w:tc>
          <w:tcPr>
            <w:tcW w:type="dxa" w:w="2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Heterocephalusglaber</w:t>
            </w:r>
          </w:p>
        </w:tc>
        <w:tc>
          <w:tcPr>
            <w:tcW w:type="dxa" w:w="1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Tp53</w:t>
            </w:r>
          </w:p>
        </w:tc>
        <w:tc>
          <w:tcPr>
            <w:tcW w:type="dxa" w:w="1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NM_001310270.1</w:t>
            </w:r>
          </w:p>
        </w:tc>
        <w:tc>
          <w:tcPr>
            <w:tcW w:type="dxa" w:w="1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NP_001297199.1</w:t>
            </w:r>
          </w:p>
        </w:tc>
        <w:tc>
          <w:tcPr>
            <w:tcW w:type="dxa" w:w="1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391</w:t>
            </w:r>
          </w:p>
        </w:tc>
      </w:tr>
      <w:tr>
        <w:tblPrEx>
          <w:shd w:val="clear" w:color="auto" w:fill="ced7e7"/>
        </w:tblPrEx>
        <w:trPr>
          <w:trHeight w:val="310" w:hRule="atLeast"/>
        </w:trPr>
        <w:tc>
          <w:tcPr>
            <w:tcW w:type="dxa" w:w="2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Mus musculus</w:t>
            </w:r>
          </w:p>
        </w:tc>
        <w:tc>
          <w:tcPr>
            <w:tcW w:type="dxa" w:w="1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Trp53</w:t>
            </w:r>
          </w:p>
        </w:tc>
        <w:tc>
          <w:tcPr>
            <w:tcW w:type="dxa" w:w="1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NM_011640.4</w:t>
            </w:r>
          </w:p>
        </w:tc>
        <w:tc>
          <w:tcPr>
            <w:tcW w:type="dxa" w:w="1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NP_035770.2</w:t>
            </w:r>
          </w:p>
        </w:tc>
        <w:tc>
          <w:tcPr>
            <w:tcW w:type="dxa" w:w="1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391</w:t>
            </w:r>
          </w:p>
        </w:tc>
      </w:tr>
      <w:tr>
        <w:tblPrEx>
          <w:shd w:val="clear" w:color="auto" w:fill="ced7e7"/>
        </w:tblPrEx>
        <w:trPr>
          <w:trHeight w:val="310" w:hRule="atLeast"/>
        </w:trPr>
        <w:tc>
          <w:tcPr>
            <w:tcW w:type="dxa" w:w="2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Rattus norvegicus</w:t>
            </w:r>
          </w:p>
        </w:tc>
        <w:tc>
          <w:tcPr>
            <w:tcW w:type="dxa" w:w="1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Tp53</w:t>
            </w:r>
          </w:p>
        </w:tc>
        <w:tc>
          <w:tcPr>
            <w:tcW w:type="dxa" w:w="1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NM_030989.4</w:t>
            </w:r>
          </w:p>
        </w:tc>
        <w:tc>
          <w:tcPr>
            <w:tcW w:type="dxa" w:w="1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NP_001416922.1</w:t>
            </w:r>
          </w:p>
        </w:tc>
        <w:tc>
          <w:tcPr>
            <w:tcW w:type="dxa" w:w="1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391</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3.2 </w:t>
        <w:tab/>
        <w:t>Multiple Sequence Alignment and Phylogenetic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Multiple sequence alignment of the retrieved TP53 protein sequences revealed a high degree of amino acid conservation across all four mammalian species (Figure 1). The aligned sequences were subsequently used to construct a Maximum Likelihood phylogenetic tree using the JTT substitution model with 1,000 bootstrap replicates.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5727573" cy="582707"/>
            <wp:effectExtent l="0" t="0" r="0" b="0"/>
            <wp:docPr id="1073741881" name="officeArt object" descr="TP53_Conservation"/>
            <wp:cNvGraphicFramePr/>
            <a:graphic xmlns:a="http://schemas.openxmlformats.org/drawingml/2006/main">
              <a:graphicData uri="http://schemas.openxmlformats.org/drawingml/2006/picture">
                <pic:pic xmlns:pic="http://schemas.openxmlformats.org/drawingml/2006/picture">
                  <pic:nvPicPr>
                    <pic:cNvPr id="1073741881" name="TP53_Conservation" descr="TP53_Conservation"/>
                    <pic:cNvPicPr>
                      <a:picLocks noChangeAspect="1"/>
                    </pic:cNvPicPr>
                  </pic:nvPicPr>
                  <pic:blipFill>
                    <a:blip r:embed="rId52">
                      <a:extLst/>
                    </a:blip>
                    <a:stretch>
                      <a:fillRect/>
                    </a:stretch>
                  </pic:blipFill>
                  <pic:spPr>
                    <a:xfrm>
                      <a:off x="0" y="0"/>
                      <a:ext cx="5727573" cy="582707"/>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Figure 1. Multiple sequence alignment of TP53 protein sequences from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Homo sapiens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Heterocephalusglaber</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Mus musculus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and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Rattus norvegicus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phylogenetic analysis resolved two major clades (Figure 2).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xml:space="preserve"> clustered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whereas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clustered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The mouse</w:t>
      </w:r>
      <w:r>
        <w:rPr>
          <w:rStyle w:val="Hyperlink.1"/>
          <w:rtl w:val="0"/>
          <w:lang w:val="en-US"/>
        </w:rPr>
        <w:t>–</w:t>
      </w:r>
      <w:r>
        <w:rPr>
          <w:rStyle w:val="Hyperlink.1"/>
          <w:rtl w:val="0"/>
          <w:lang w:val="en-US"/>
        </w:rPr>
        <w:t>rat clade received strong bootstrap support (100%), indicating high confidence in their evolutionary relationship. The TP53 protein-based phylogenetic tree showed clustering patterns consistent with the known evolutionary relationships among the four mammalian species.</w:t>
      </w:r>
    </w:p>
    <w:p>
      <w:pPr>
        <w:pStyle w:val="Normal.0"/>
        <w:spacing w:after="0" w:line="360" w:lineRule="auto"/>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5606301" cy="2163414"/>
            <wp:effectExtent l="0" t="0" r="0" b="0"/>
            <wp:docPr id="1073741882" name="officeArt object" descr="TP53_ML_Bootstrap"/>
            <wp:cNvGraphicFramePr/>
            <a:graphic xmlns:a="http://schemas.openxmlformats.org/drawingml/2006/main">
              <a:graphicData uri="http://schemas.openxmlformats.org/drawingml/2006/picture">
                <pic:pic xmlns:pic="http://schemas.openxmlformats.org/drawingml/2006/picture">
                  <pic:nvPicPr>
                    <pic:cNvPr id="1073741882" name="TP53_ML_Bootstrap" descr="TP53_ML_Bootstrap"/>
                    <pic:cNvPicPr>
                      <a:picLocks noChangeAspect="1"/>
                    </pic:cNvPicPr>
                  </pic:nvPicPr>
                  <pic:blipFill>
                    <a:blip r:embed="rId53">
                      <a:extLst/>
                    </a:blip>
                    <a:stretch>
                      <a:fillRect/>
                    </a:stretch>
                  </pic:blipFill>
                  <pic:spPr>
                    <a:xfrm>
                      <a:off x="0" y="0"/>
                      <a:ext cx="5606301" cy="2163414"/>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Figure 2. Maximum Likelihood phylogenetic tree of TP53 protein sequences from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Homo sapiens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Heterocephalusglaber</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Mus musculus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and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Rattus norvegicus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The tree was constructed using the JTT amino acid substitution model in MEGA12.1 with 1,000 bootstrap replicates. Bootstrap values are shown at supported nodes, and branch lengths represent the estimated number of amino acid substitutions per site.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3.3 </w:t>
        <w:tab/>
        <w:t>Conserved Domain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Conserved domain analysis of the retrieved TP53 proteins revealed a highly conserved domain architecture across all four species (Figure 3).Three major functional regions were consistently identified: the P53 transactivation motif (P53_TAD; pfam08563), the P53 DNA-binding domain (cd08367), and the P53 tetramerization motif (pfam07710).</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i w:val="1"/>
          <w:i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5727573" cy="706195"/>
            <wp:effectExtent l="0" t="0" r="0" b="0"/>
            <wp:docPr id="1073741883" name="officeArt object" descr="lcl_1_lcl_Human_TP53-domain-annotations-rep"/>
            <wp:cNvGraphicFramePr/>
            <a:graphic xmlns:a="http://schemas.openxmlformats.org/drawingml/2006/main">
              <a:graphicData uri="http://schemas.openxmlformats.org/drawingml/2006/picture">
                <pic:pic xmlns:pic="http://schemas.openxmlformats.org/drawingml/2006/picture">
                  <pic:nvPicPr>
                    <pic:cNvPr id="1073741883" name="lcl_1_lcl_Human_TP53-domain-annotations-rep" descr="lcl_1_lcl_Human_TP53-domain-annotations-rep"/>
                    <pic:cNvPicPr>
                      <a:picLocks noChangeAspect="1"/>
                    </pic:cNvPicPr>
                  </pic:nvPicPr>
                  <pic:blipFill>
                    <a:blip r:embed="rId54">
                      <a:extLst/>
                    </a:blip>
                    <a:stretch>
                      <a:fillRect/>
                    </a:stretch>
                  </pic:blipFill>
                  <pic:spPr>
                    <a:xfrm>
                      <a:off x="0" y="0"/>
                      <a:ext cx="5727573" cy="706195"/>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i w:val="1"/>
          <w:i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5727573" cy="706542"/>
            <wp:effectExtent l="0" t="0" r="0" b="0"/>
            <wp:docPr id="1073741884" name="officeArt object" descr="lcl_1_lcl_NakedMoleRat_TP53-domain-annotations-rep"/>
            <wp:cNvGraphicFramePr/>
            <a:graphic xmlns:a="http://schemas.openxmlformats.org/drawingml/2006/main">
              <a:graphicData uri="http://schemas.openxmlformats.org/drawingml/2006/picture">
                <pic:pic xmlns:pic="http://schemas.openxmlformats.org/drawingml/2006/picture">
                  <pic:nvPicPr>
                    <pic:cNvPr id="1073741884" name="lcl_1_lcl_NakedMoleRat_TP53-domain-annotations-rep" descr="lcl_1_lcl_NakedMoleRat_TP53-domain-annotations-rep"/>
                    <pic:cNvPicPr>
                      <a:picLocks noChangeAspect="1"/>
                    </pic:cNvPicPr>
                  </pic:nvPicPr>
                  <pic:blipFill>
                    <a:blip r:embed="rId55">
                      <a:extLst/>
                    </a:blip>
                    <a:stretch>
                      <a:fillRect/>
                    </a:stretch>
                  </pic:blipFill>
                  <pic:spPr>
                    <a:xfrm>
                      <a:off x="0" y="0"/>
                      <a:ext cx="5727573" cy="706542"/>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i w:val="1"/>
          <w:i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5727573" cy="706801"/>
            <wp:effectExtent l="0" t="0" r="0" b="0"/>
            <wp:docPr id="1073741885" name="officeArt object" descr="lcl_1_lcl_Mouse_TP53-domain-annotations-rep"/>
            <wp:cNvGraphicFramePr/>
            <a:graphic xmlns:a="http://schemas.openxmlformats.org/drawingml/2006/main">
              <a:graphicData uri="http://schemas.openxmlformats.org/drawingml/2006/picture">
                <pic:pic xmlns:pic="http://schemas.openxmlformats.org/drawingml/2006/picture">
                  <pic:nvPicPr>
                    <pic:cNvPr id="1073741885" name="lcl_1_lcl_Mouse_TP53-domain-annotations-rep" descr="lcl_1_lcl_Mouse_TP53-domain-annotations-rep"/>
                    <pic:cNvPicPr>
                      <a:picLocks noChangeAspect="1"/>
                    </pic:cNvPicPr>
                  </pic:nvPicPr>
                  <pic:blipFill>
                    <a:blip r:embed="rId56">
                      <a:extLst/>
                    </a:blip>
                    <a:stretch>
                      <a:fillRect/>
                    </a:stretch>
                  </pic:blipFill>
                  <pic:spPr>
                    <a:xfrm>
                      <a:off x="0" y="0"/>
                      <a:ext cx="5727573" cy="706801"/>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i w:val="1"/>
          <w:i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5686425" cy="700907"/>
            <wp:effectExtent l="0" t="0" r="0" b="0"/>
            <wp:docPr id="1073741886" name="officeArt object" descr="lcl_1_lcl_Rat_TP53-domain-annotations-rep"/>
            <wp:cNvGraphicFramePr/>
            <a:graphic xmlns:a="http://schemas.openxmlformats.org/drawingml/2006/main">
              <a:graphicData uri="http://schemas.openxmlformats.org/drawingml/2006/picture">
                <pic:pic xmlns:pic="http://schemas.openxmlformats.org/drawingml/2006/picture">
                  <pic:nvPicPr>
                    <pic:cNvPr id="1073741886" name="lcl_1_lcl_Rat_TP53-domain-annotations-rep" descr="lcl_1_lcl_Rat_TP53-domain-annotations-rep"/>
                    <pic:cNvPicPr>
                      <a:picLocks noChangeAspect="1"/>
                    </pic:cNvPicPr>
                  </pic:nvPicPr>
                  <pic:blipFill>
                    <a:blip r:embed="rId57">
                      <a:extLst/>
                    </a:blip>
                    <a:stretch>
                      <a:fillRect/>
                    </a:stretch>
                  </pic:blipFill>
                  <pic:spPr>
                    <a:xfrm>
                      <a:off x="0" y="0"/>
                      <a:ext cx="5686425" cy="700907"/>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 3. Comparative conserved domain architecture of TP53 proteins from human, naked mole-rat, mouse, and rat generated using the NCBI Conserved Domain Database (CDD). Major functional domains, including the transactivation motif (P53_TAD), DNA-binding domain, tetramerization motif, and TAD2 (human only),                                      are shown with their corresponding positions.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DNA-binding domain was detected in all four species with highly significant E-values (10</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97 </w:t>
      </w:r>
      <w:r>
        <w:rPr>
          <w:rStyle w:val="Hyperlink.1"/>
          <w:rtl w:val="0"/>
          <w:lang w:val="en-US"/>
        </w:rPr>
        <w:t>–</w:t>
      </w:r>
      <w:r>
        <w:rPr>
          <w:rStyle w:val="Hyperlink.1"/>
          <w:rtl w:val="0"/>
          <w:lang w:val="en-US"/>
        </w:rPr>
        <w:t>10</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99</w:t>
      </w:r>
      <w:r>
        <w:rPr>
          <w:rStyle w:val="Hyperlink.1"/>
          <w:rtl w:val="0"/>
          <w:lang w:val="en-US"/>
        </w:rPr>
        <w:t>), spanning amino acid residues 109</w:t>
      </w:r>
      <w:r>
        <w:rPr>
          <w:rStyle w:val="Hyperlink.1"/>
          <w:rtl w:val="0"/>
          <w:lang w:val="en-US"/>
        </w:rPr>
        <w:t>–</w:t>
      </w:r>
      <w:r>
        <w:rPr>
          <w:rStyle w:val="Hyperlink.1"/>
          <w:rtl w:val="0"/>
          <w:lang w:val="en-US"/>
        </w:rPr>
        <w:t>288 in human, 107</w:t>
      </w:r>
      <w:r>
        <w:rPr>
          <w:rStyle w:val="Hyperlink.1"/>
          <w:rtl w:val="0"/>
          <w:lang w:val="en-US"/>
        </w:rPr>
        <w:t>–</w:t>
      </w:r>
      <w:r>
        <w:rPr>
          <w:rStyle w:val="Hyperlink.1"/>
          <w:rtl w:val="0"/>
          <w:lang w:val="en-US"/>
        </w:rPr>
        <w:t>287 in naked mole-rat and rat, and 106</w:t>
      </w:r>
      <w:r>
        <w:rPr>
          <w:rStyle w:val="Hyperlink.1"/>
          <w:rtl w:val="0"/>
          <w:lang w:val="en-US"/>
        </w:rPr>
        <w:t>–</w:t>
      </w:r>
      <w:r>
        <w:rPr>
          <w:rStyle w:val="Hyperlink.1"/>
          <w:rtl w:val="0"/>
          <w:lang w:val="en-US"/>
        </w:rPr>
        <w:t>286 in mouse (Table 2). The tetramerization motif was present in all species, occupying residues 319</w:t>
      </w:r>
      <w:r>
        <w:rPr>
          <w:rStyle w:val="Hyperlink.1"/>
          <w:rtl w:val="0"/>
          <w:lang w:val="en-US"/>
        </w:rPr>
        <w:t>–</w:t>
      </w:r>
      <w:r>
        <w:rPr>
          <w:rStyle w:val="Hyperlink.1"/>
          <w:rtl w:val="0"/>
          <w:lang w:val="en-US"/>
        </w:rPr>
        <w:t>358 in human, 317</w:t>
      </w:r>
      <w:r>
        <w:rPr>
          <w:rStyle w:val="Hyperlink.1"/>
          <w:rtl w:val="0"/>
          <w:lang w:val="en-US"/>
        </w:rPr>
        <w:t>–</w:t>
      </w:r>
      <w:r>
        <w:rPr>
          <w:rStyle w:val="Hyperlink.1"/>
          <w:rtl w:val="0"/>
          <w:lang w:val="en-US"/>
        </w:rPr>
        <w:t>356 in naked mole-rat and rat, and 316</w:t>
      </w:r>
      <w:r>
        <w:rPr>
          <w:rStyle w:val="Hyperlink.1"/>
          <w:rtl w:val="0"/>
          <w:lang w:val="en-US"/>
        </w:rPr>
        <w:t>–</w:t>
      </w:r>
      <w:r>
        <w:rPr>
          <w:rStyle w:val="Hyperlink.1"/>
          <w:rtl w:val="0"/>
          <w:lang w:val="en-US"/>
        </w:rPr>
        <w:t>350 in mouse. The transactivation motif (P53_TAD) was also identified in all four TP53 proteins, with only minor differences in residue boundaries. Human, naked mole-rat, and rat exhibited the motif between residues 6</w:t>
      </w:r>
      <w:r>
        <w:rPr>
          <w:rStyle w:val="Hyperlink.1"/>
          <w:rtl w:val="0"/>
          <w:lang w:val="en-US"/>
        </w:rPr>
        <w:t>–</w:t>
      </w:r>
      <w:r>
        <w:rPr>
          <w:rStyle w:val="Hyperlink.1"/>
          <w:rtl w:val="0"/>
          <w:lang w:val="en-US"/>
        </w:rPr>
        <w:t>30, whereas the mouse TP53 protein showed the corresponding motif at residues 9</w:t>
      </w:r>
      <w:r>
        <w:rPr>
          <w:rStyle w:val="Hyperlink.1"/>
          <w:rtl w:val="0"/>
          <w:lang w:val="en-US"/>
        </w:rPr>
        <w:t>–</w:t>
      </w:r>
      <w:r>
        <w:rPr>
          <w:rStyle w:val="Hyperlink.1"/>
          <w:rtl w:val="0"/>
          <w:lang w:val="en-US"/>
        </w:rPr>
        <w:t>31. An additional Transactivation Domain 2 (TAD2; pfam18521) was detected only in the human TP53 sequence, spanning residues 35</w:t>
      </w:r>
      <w:r>
        <w:rPr>
          <w:rStyle w:val="Hyperlink.1"/>
          <w:rtl w:val="0"/>
          <w:lang w:val="en-US"/>
        </w:rPr>
        <w:t>–</w:t>
      </w:r>
      <w:r>
        <w:rPr>
          <w:rStyle w:val="Hyperlink.1"/>
          <w:rtl w:val="0"/>
          <w:lang w:val="en-US"/>
        </w:rPr>
        <w:t xml:space="preserve">59 with an E-value of 2.86 </w:t>
      </w:r>
      <w:r>
        <w:rPr>
          <w:rStyle w:val="Hyperlink.1"/>
          <w:rtl w:val="0"/>
          <w:lang w:val="en-US"/>
        </w:rPr>
        <w:t xml:space="preserve">× </w:t>
      </w:r>
      <w:r>
        <w:rPr>
          <w:rStyle w:val="Hyperlink.1"/>
          <w:rtl w:val="0"/>
          <w:lang w:val="en-US"/>
        </w:rPr>
        <w:t>10</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¹¹</w:t>
      </w:r>
      <w:r>
        <w:rPr>
          <w:rStyle w:val="Hyperlink.1"/>
          <w:rtl w:val="0"/>
          <w:lang w:val="en-US"/>
        </w:rPr>
        <w:t>. This domain was not identified in the corresponding CDD analyses of naked mole-rat, mouse, or rat under the search conditions used.</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6"/>
        <w:gridCol w:w="1733"/>
        <w:gridCol w:w="2232"/>
        <w:gridCol w:w="2749"/>
      </w:tblGrid>
      <w:tr>
        <w:tblPrEx>
          <w:shd w:val="clear" w:color="auto" w:fill="ced7e7"/>
        </w:tblPrEx>
        <w:trPr>
          <w:trHeight w:val="620" w:hRule="atLeast"/>
        </w:trPr>
        <w:tc>
          <w:tcPr>
            <w:tcW w:type="dxa" w:w="230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Species</w:t>
            </w:r>
          </w:p>
        </w:tc>
        <w:tc>
          <w:tcPr>
            <w:tcW w:type="dxa" w:w="173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TAD (pfam08563)</w:t>
            </w:r>
          </w:p>
        </w:tc>
        <w:tc>
          <w:tcPr>
            <w:tcW w:type="dxa" w:w="22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DNA-binding domain (cd08367)</w:t>
            </w:r>
          </w:p>
        </w:tc>
        <w:tc>
          <w:tcPr>
            <w:tcW w:type="dxa" w:w="27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Tetramerization motif (pfam07710)</w:t>
            </w:r>
          </w:p>
        </w:tc>
      </w:tr>
      <w:tr>
        <w:tblPrEx>
          <w:shd w:val="clear" w:color="auto" w:fill="ced7e7"/>
        </w:tblPrEx>
        <w:trPr>
          <w:trHeight w:val="320" w:hRule="atLeast"/>
        </w:trPr>
        <w:tc>
          <w:tcPr>
            <w:tcW w:type="dxa" w:w="230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i w:val="1"/>
                <w:iCs w:val="1"/>
                <w:kern w:val="0"/>
                <w:sz w:val="24"/>
                <w:szCs w:val="24"/>
                <w:shd w:val="nil" w:color="auto" w:fill="auto"/>
                <w:rtl w:val="0"/>
                <w:lang w:val="en-US"/>
              </w:rPr>
              <w:t>Homo sapiens</w:t>
            </w:r>
          </w:p>
        </w:tc>
        <w:tc>
          <w:tcPr>
            <w:tcW w:type="dxa" w:w="173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6</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30</w:t>
            </w:r>
          </w:p>
        </w:tc>
        <w:tc>
          <w:tcPr>
            <w:tcW w:type="dxa" w:w="22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109</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288</w:t>
            </w:r>
          </w:p>
        </w:tc>
        <w:tc>
          <w:tcPr>
            <w:tcW w:type="dxa" w:w="27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319</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358</w:t>
            </w:r>
          </w:p>
        </w:tc>
      </w:tr>
      <w:tr>
        <w:tblPrEx>
          <w:shd w:val="clear" w:color="auto" w:fill="ced7e7"/>
        </w:tblPrEx>
        <w:trPr>
          <w:trHeight w:val="605" w:hRule="atLeast"/>
        </w:trPr>
        <w:tc>
          <w:tcPr>
            <w:tcW w:type="dxa" w:w="230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i w:val="1"/>
                <w:iCs w:val="1"/>
                <w:kern w:val="0"/>
                <w:sz w:val="24"/>
                <w:szCs w:val="24"/>
                <w:shd w:val="nil" w:color="auto" w:fill="auto"/>
                <w:rtl w:val="0"/>
                <w:lang w:val="en-US"/>
              </w:rPr>
              <w:t>Heterocephalusglaber</w:t>
            </w:r>
          </w:p>
        </w:tc>
        <w:tc>
          <w:tcPr>
            <w:tcW w:type="dxa" w:w="173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6</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30</w:t>
            </w:r>
          </w:p>
        </w:tc>
        <w:tc>
          <w:tcPr>
            <w:tcW w:type="dxa" w:w="22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107</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287</w:t>
            </w:r>
          </w:p>
        </w:tc>
        <w:tc>
          <w:tcPr>
            <w:tcW w:type="dxa" w:w="27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317</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356</w:t>
            </w:r>
          </w:p>
        </w:tc>
      </w:tr>
      <w:tr>
        <w:tblPrEx>
          <w:shd w:val="clear" w:color="auto" w:fill="ced7e7"/>
        </w:tblPrEx>
        <w:trPr>
          <w:trHeight w:val="320" w:hRule="atLeast"/>
        </w:trPr>
        <w:tc>
          <w:tcPr>
            <w:tcW w:type="dxa" w:w="230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i w:val="1"/>
                <w:iCs w:val="1"/>
                <w:kern w:val="0"/>
                <w:sz w:val="24"/>
                <w:szCs w:val="24"/>
                <w:shd w:val="nil" w:color="auto" w:fill="auto"/>
                <w:rtl w:val="0"/>
                <w:lang w:val="en-US"/>
              </w:rPr>
              <w:t>Mus musculus</w:t>
            </w:r>
          </w:p>
        </w:tc>
        <w:tc>
          <w:tcPr>
            <w:tcW w:type="dxa" w:w="173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9</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31</w:t>
            </w:r>
          </w:p>
        </w:tc>
        <w:tc>
          <w:tcPr>
            <w:tcW w:type="dxa" w:w="22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106</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286</w:t>
            </w:r>
          </w:p>
        </w:tc>
        <w:tc>
          <w:tcPr>
            <w:tcW w:type="dxa" w:w="27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316</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350</w:t>
            </w:r>
          </w:p>
        </w:tc>
      </w:tr>
      <w:tr>
        <w:tblPrEx>
          <w:shd w:val="clear" w:color="auto" w:fill="ced7e7"/>
        </w:tblPrEx>
        <w:trPr>
          <w:trHeight w:val="320" w:hRule="atLeast"/>
        </w:trPr>
        <w:tc>
          <w:tcPr>
            <w:tcW w:type="dxa" w:w="230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i w:val="1"/>
                <w:iCs w:val="1"/>
                <w:kern w:val="0"/>
                <w:sz w:val="24"/>
                <w:szCs w:val="24"/>
                <w:shd w:val="nil" w:color="auto" w:fill="auto"/>
                <w:rtl w:val="0"/>
                <w:lang w:val="en-US"/>
              </w:rPr>
              <w:t>Rattus norvegicus</w:t>
            </w:r>
          </w:p>
        </w:tc>
        <w:tc>
          <w:tcPr>
            <w:tcW w:type="dxa" w:w="173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6</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30</w:t>
            </w:r>
          </w:p>
        </w:tc>
        <w:tc>
          <w:tcPr>
            <w:tcW w:type="dxa" w:w="22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107</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287</w:t>
            </w:r>
          </w:p>
        </w:tc>
        <w:tc>
          <w:tcPr>
            <w:tcW w:type="dxa" w:w="27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317</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356</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xml:space="preserve">Table 2. Conserved functional domains identified in TP53 proteins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xml:space="preserve"> using the NCBI Conserved Domain Database (CDD).</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3.4 </w:t>
        <w:tab/>
        <w:t>Pairwise Comparative Analysis of TP53 Protein Sequences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Pairwise global alignment of TP53 protein sequences revealed a high degree of evolutionary conservation among the four mammalian species. Among the three comparisons, the human</w:t>
      </w:r>
      <w:r>
        <w:rPr>
          <w:rStyle w:val="Hyperlink.1"/>
          <w:rtl w:val="0"/>
          <w:lang w:val="en-US"/>
        </w:rPr>
        <w:t>–</w:t>
      </w:r>
      <w:r>
        <w:rPr>
          <w:rStyle w:val="Hyperlink.1"/>
          <w:rtl w:val="0"/>
          <w:lang w:val="en-US"/>
        </w:rPr>
        <w:t>naked mole-rat pair exhibited the highest level of conservation. Of the 348 comparable amino acid positions, 335 residues were identical, corresponding to a sequence identity of 96.26%. Only 13 amino acid substitutions were detected, comprising 10 conservative substitutions (76.9%) and 3 non-conservative substitutions (23.1%), indicating that most amino acid replacements preserved similar physicochemical properties. A total of 88 alignment columns containing gaps were excluded from residue comparison. The human</w:t>
      </w:r>
      <w:r>
        <w:rPr>
          <w:rStyle w:val="Hyperlink.1"/>
          <w:rtl w:val="0"/>
          <w:lang w:val="en-US"/>
        </w:rPr>
        <w:t>–</w:t>
      </w:r>
      <w:r>
        <w:rPr>
          <w:rStyle w:val="Hyperlink.1"/>
          <w:rtl w:val="0"/>
          <w:lang w:val="en-US"/>
        </w:rPr>
        <w:t>mouse alignment retained 337 comparable residues after excluding 109 gap-containing alignment columns, of which 315 residues were conserved, resulting in a sequence identity of 93.47%. Twenty-two amino acid substitutions were identified, including 12 conservative substitutions (54.5%) and 10 non-conservative substitutions (45.5%).</w:t>
      </w:r>
    </w:p>
    <w:p>
      <w:pPr>
        <w:pStyle w:val="Normal.0"/>
        <w:spacing w:after="0" w:line="360" w:lineRule="auto"/>
        <w:ind w:firstLine="720"/>
        <w:jc w:val="both"/>
        <w:rPr>
          <w:rStyle w:val="Hyperlink.1"/>
        </w:rPr>
      </w:pPr>
      <w:r>
        <w:rPr>
          <w:rStyle w:val="Hyperlink.1"/>
          <w:rtl w:val="0"/>
          <w:lang w:val="en-US"/>
        </w:rPr>
        <w:t>The human</w:t>
      </w:r>
      <w:r>
        <w:rPr>
          <w:rStyle w:val="Hyperlink.1"/>
          <w:rtl w:val="0"/>
          <w:lang w:val="en-US"/>
        </w:rPr>
        <w:t>–</w:t>
      </w:r>
      <w:r>
        <w:rPr>
          <w:rStyle w:val="Hyperlink.1"/>
          <w:rtl w:val="0"/>
          <w:lang w:val="en-US"/>
        </w:rPr>
        <w:t>rat comparison yielded 339 aligned residues after removal of 106 gap-containing alignment columns. Of these, 316 residues were identical, corresponding to a sequence identity of 93.22%. A total of 23 amino acid substitutions were observed, including 12 conservative substitutions (52.2%) and 11 non-conservative substitutions (47.8%). The comparable proportions of conservative and non-conservative substitutions indicate a slightly greater degree of amino acid divergence relative to the naked mole-rat comparison while maintaining substantial overall conservation of TP53. All three species exhibited greater than 93% amino acid sequence identity with human TP53, confirming the strong evolutionary conservation of this tumour suppressor protein. Among the species examined, the naked mole-rat displayed the highest sequence identity, the fewest amino acid substitutions, and the lowest proportion of non-conservative substitutions, whereas the mouse and rat exhibited comparable levels of sequence conservation and substitution patterns (Table 3).</w:t>
      </w:r>
    </w:p>
    <w:p>
      <w:pPr>
        <w:pStyle w:val="Normal.0"/>
        <w:spacing w:after="0" w:line="360" w:lineRule="auto"/>
        <w:ind w:firstLine="720"/>
        <w:jc w:val="both"/>
        <w:rPr>
          <w:rStyle w:val="Hyperlink.1"/>
        </w:rPr>
      </w:pPr>
    </w:p>
    <w:p>
      <w:pPr>
        <w:pStyle w:val="Normal.0"/>
        <w:spacing w:after="0" w:line="360" w:lineRule="auto"/>
        <w:ind w:firstLine="720"/>
        <w:jc w:val="both"/>
        <w:rPr>
          <w:rStyle w:val="None"/>
          <w:rFonts w:ascii="Times New Roman" w:cs="Times New Roman" w:hAnsi="Times New Roman" w:eastAsia="Times New Roman"/>
          <w:kern w:val="0"/>
          <w:sz w:val="24"/>
          <w:szCs w:val="24"/>
        </w:rPr>
      </w:pPr>
    </w:p>
    <w:tbl>
      <w:tblPr>
        <w:tblW w:w="869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36"/>
        <w:gridCol w:w="2182"/>
        <w:gridCol w:w="1790"/>
        <w:gridCol w:w="1483"/>
      </w:tblGrid>
      <w:tr>
        <w:tblPrEx>
          <w:shd w:val="clear" w:color="auto" w:fill="ced7e7"/>
        </w:tblPrEx>
        <w:trPr>
          <w:trHeight w:val="6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Parameter</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Human</w:t>
            </w:r>
            <w:r>
              <w:rPr>
                <w:rStyle w:val="None"/>
                <w:rFonts w:ascii="Times New Roman" w:hAnsi="Times New Roman" w:hint="default"/>
                <w:b w:val="1"/>
                <w:bCs w:val="1"/>
                <w:kern w:val="0"/>
                <w:sz w:val="24"/>
                <w:szCs w:val="24"/>
                <w:shd w:val="nil" w:color="auto" w:fill="auto"/>
                <w:rtl w:val="0"/>
                <w:lang w:val="en-US"/>
              </w:rPr>
              <w:t>–</w:t>
            </w:r>
            <w:r>
              <w:rPr>
                <w:rStyle w:val="None"/>
                <w:rFonts w:ascii="Times New Roman" w:hAnsi="Times New Roman"/>
                <w:b w:val="1"/>
                <w:bCs w:val="1"/>
                <w:kern w:val="0"/>
                <w:sz w:val="24"/>
                <w:szCs w:val="24"/>
                <w:shd w:val="nil" w:color="auto" w:fill="auto"/>
                <w:rtl w:val="0"/>
                <w:lang w:val="en-US"/>
              </w:rPr>
              <w:t>Naked                                   Mole-Rat</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Human</w:t>
            </w:r>
            <w:r>
              <w:rPr>
                <w:rStyle w:val="None"/>
                <w:rFonts w:ascii="Times New Roman" w:hAnsi="Times New Roman" w:hint="default"/>
                <w:b w:val="1"/>
                <w:bCs w:val="1"/>
                <w:kern w:val="0"/>
                <w:sz w:val="24"/>
                <w:szCs w:val="24"/>
                <w:shd w:val="nil" w:color="auto" w:fill="auto"/>
                <w:rtl w:val="0"/>
                <w:lang w:val="en-US"/>
              </w:rPr>
              <w:t>–</w:t>
            </w:r>
            <w:r>
              <w:rPr>
                <w:rStyle w:val="None"/>
                <w:rFonts w:ascii="Times New Roman" w:hAnsi="Times New Roman"/>
                <w:b w:val="1"/>
                <w:bCs w:val="1"/>
                <w:kern w:val="0"/>
                <w:sz w:val="24"/>
                <w:szCs w:val="24"/>
                <w:shd w:val="nil" w:color="auto" w:fill="auto"/>
                <w:rtl w:val="0"/>
                <w:lang w:val="en-US"/>
              </w:rPr>
              <w:t>Mouse</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Human</w:t>
            </w:r>
            <w:r>
              <w:rPr>
                <w:rStyle w:val="None"/>
                <w:rFonts w:ascii="Times New Roman" w:hAnsi="Times New Roman" w:hint="default"/>
                <w:b w:val="1"/>
                <w:bCs w:val="1"/>
                <w:kern w:val="0"/>
                <w:sz w:val="24"/>
                <w:szCs w:val="24"/>
                <w:shd w:val="nil" w:color="auto" w:fill="auto"/>
                <w:rtl w:val="0"/>
                <w:lang w:val="en-US"/>
              </w:rPr>
              <w:t>–</w:t>
            </w:r>
            <w:r>
              <w:rPr>
                <w:rStyle w:val="None"/>
                <w:rFonts w:ascii="Times New Roman" w:hAnsi="Times New Roman"/>
                <w:b w:val="1"/>
                <w:bCs w:val="1"/>
                <w:kern w:val="0"/>
                <w:sz w:val="24"/>
                <w:szCs w:val="24"/>
                <w:shd w:val="nil" w:color="auto" w:fill="auto"/>
                <w:rtl w:val="0"/>
                <w:lang w:val="en-US"/>
              </w:rPr>
              <w:t>Rat</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Human TP53 length (aa)</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393</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393</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393</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Comparison species length (aa)</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391</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390</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391</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Aligned residues</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348</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337</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339</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Gap columns excluded</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88</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109</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106</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Conserved residues</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335</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315</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316</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Total substitutions</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13</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22</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23</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Conservative substitutions</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12</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12</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Non-conservative substitutions</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11</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Sequence identity (%)</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96.26</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93.47</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93.22</w:t>
            </w:r>
          </w:p>
        </w:tc>
      </w:tr>
    </w:tbl>
    <w:p>
      <w:pPr>
        <w:pStyle w:val="Normal.0"/>
        <w:widowControl w:val="0"/>
        <w:spacing w:after="0" w:line="240" w:lineRule="auto"/>
        <w:ind w:left="108" w:hanging="108"/>
        <w:rPr>
          <w:rStyle w:val="None"/>
          <w:rFonts w:ascii="Times New Roman" w:cs="Times New Roman" w:hAnsi="Times New Roman" w:eastAsia="Times New Roman"/>
          <w:kern w:val="0"/>
          <w:sz w:val="24"/>
          <w:szCs w:val="24"/>
        </w:rPr>
      </w:pPr>
    </w:p>
    <w:p>
      <w:pPr>
        <w:pStyle w:val="Normal.0"/>
        <w:widowControl w:val="0"/>
        <w:spacing w:after="0" w:line="240" w:lineRule="auto"/>
        <w:jc w:val="both"/>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3. Summary of pairwise global alignment statistics for TP53                                           protein sequences between human and three rodent species.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3.5 </w:t>
        <w:tab/>
        <w:t>Pairwise dN/dS Analysis of TP53 Coding Sequences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Pairwise evolutionary analyses of TP53 coding sequences were performed between the naked mole-rat and three mammalian species using the maximum-likelihood implementation of CODEML in the PAML package. Following protein-guided codon alignment and removal of gap-containing positions, the final alignments comprised 388 codons (1164 nucleotide sites) for the naked mole-rat</w:t>
      </w:r>
      <w:r>
        <w:rPr>
          <w:rStyle w:val="Hyperlink.1"/>
          <w:rtl w:val="0"/>
          <w:lang w:val="en-US"/>
        </w:rPr>
        <w:t>–</w:t>
      </w:r>
      <w:r>
        <w:rPr>
          <w:rStyle w:val="Hyperlink.1"/>
          <w:rtl w:val="0"/>
          <w:lang w:val="en-US"/>
        </w:rPr>
        <w:t>rat comparison, 387 codons (1161 nucleotide sites) for the naked mole-rat</w:t>
      </w:r>
      <w:r>
        <w:rPr>
          <w:rStyle w:val="Hyperlink.1"/>
          <w:rtl w:val="0"/>
          <w:lang w:val="en-US"/>
        </w:rPr>
        <w:t>–</w:t>
      </w:r>
      <w:r>
        <w:rPr>
          <w:rStyle w:val="Hyperlink.1"/>
          <w:rtl w:val="0"/>
          <w:lang w:val="en-US"/>
        </w:rPr>
        <w:t>mouse comparison, and 391 codons (1173 nucleotide sites) for the naked mole-rat</w:t>
      </w:r>
      <w:r>
        <w:rPr>
          <w:rStyle w:val="Hyperlink.1"/>
          <w:rtl w:val="0"/>
          <w:lang w:val="en-US"/>
        </w:rPr>
        <w:t>–</w:t>
      </w:r>
      <w:r>
        <w:rPr>
          <w:rStyle w:val="Hyperlink.1"/>
          <w:rtl w:val="0"/>
          <w:lang w:val="en-US"/>
        </w:rPr>
        <w:t>human comparison. The estimated synonymous substitution rates (dS) exceeded the corresponding nonsynonymous substitution rates (dN) in all three comparisons (Table 4). The naked mole-rat</w:t>
      </w:r>
      <w:r>
        <w:rPr>
          <w:rStyle w:val="Hyperlink.1"/>
          <w:rtl w:val="0"/>
          <w:lang w:val="en-US"/>
        </w:rPr>
        <w:t>–</w:t>
      </w:r>
      <w:r>
        <w:rPr>
          <w:rStyle w:val="Hyperlink.1"/>
          <w:rtl w:val="0"/>
          <w:lang w:val="en-US"/>
        </w:rPr>
        <w:t xml:space="preserve">rat comparison produced a dN of 0.1104, a dS of 0.5983, and an </w:t>
      </w:r>
      <w:r>
        <w:rPr>
          <w:rStyle w:val="Hyperlink.1"/>
          <w:rtl w:val="0"/>
          <w:lang w:val="en-US"/>
        </w:rPr>
        <w:t xml:space="preserve">ω </w:t>
      </w:r>
      <w:r>
        <w:rPr>
          <w:rStyle w:val="Hyperlink.1"/>
          <w:rtl w:val="0"/>
          <w:lang w:val="en-US"/>
        </w:rPr>
        <w:t>value of 0.1846. The naked mole-rat</w:t>
      </w:r>
      <w:r>
        <w:rPr>
          <w:rStyle w:val="Hyperlink.1"/>
          <w:rtl w:val="0"/>
          <w:lang w:val="en-US"/>
        </w:rPr>
        <w:t>–</w:t>
      </w:r>
      <w:r>
        <w:rPr>
          <w:rStyle w:val="Hyperlink.1"/>
          <w:rtl w:val="0"/>
          <w:lang w:val="en-US"/>
        </w:rPr>
        <w:t xml:space="preserve">mouse comparison yielded a dN of 0.1355, a dS of 0.6183, and an </w:t>
      </w:r>
      <w:r>
        <w:rPr>
          <w:rStyle w:val="Hyperlink.1"/>
          <w:rtl w:val="0"/>
          <w:lang w:val="en-US"/>
        </w:rPr>
        <w:t xml:space="preserve">ω </w:t>
      </w:r>
      <w:r>
        <w:rPr>
          <w:rStyle w:val="Hyperlink.1"/>
          <w:rtl w:val="0"/>
          <w:lang w:val="en-US"/>
        </w:rPr>
        <w:t>value of 0.2191. The naked mole-rat</w:t>
      </w:r>
      <w:r>
        <w:rPr>
          <w:rStyle w:val="Hyperlink.1"/>
          <w:rtl w:val="0"/>
          <w:lang w:val="en-US"/>
        </w:rPr>
        <w:t>–</w:t>
      </w:r>
      <w:r>
        <w:rPr>
          <w:rStyle w:val="Hyperlink.1"/>
          <w:rtl w:val="0"/>
          <w:lang w:val="en-US"/>
        </w:rPr>
        <w:t xml:space="preserve">human comparison showed a dN of 0.0933, a dS of 0.3738, and an </w:t>
      </w:r>
      <w:r>
        <w:rPr>
          <w:rStyle w:val="Hyperlink.1"/>
          <w:rtl w:val="0"/>
          <w:lang w:val="en-US"/>
        </w:rPr>
        <w:t xml:space="preserve">ω </w:t>
      </w:r>
      <w:r>
        <w:rPr>
          <w:rStyle w:val="Hyperlink.1"/>
          <w:rtl w:val="0"/>
          <w:lang w:val="en-US"/>
        </w:rPr>
        <w:t>value of 0.2497 (Table 4).</w:t>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Across all pairwise analyses, </w:t>
      </w:r>
      <w:r>
        <w:rPr>
          <w:rStyle w:val="Hyperlink.1"/>
          <w:rtl w:val="0"/>
          <w:lang w:val="en-US"/>
        </w:rPr>
        <w:t xml:space="preserve">ω </w:t>
      </w:r>
      <w:r>
        <w:rPr>
          <w:rStyle w:val="Hyperlink.1"/>
          <w:rtl w:val="0"/>
          <w:lang w:val="en-US"/>
        </w:rPr>
        <w:t>values remained substantially below 1.0, ranging from 0.1846 to 0.2497 (Table 4). Among the three comparisons, the naked mole-rat</w:t>
      </w:r>
      <w:r>
        <w:rPr>
          <w:rStyle w:val="Hyperlink.1"/>
          <w:rtl w:val="0"/>
          <w:lang w:val="en-US"/>
        </w:rPr>
        <w:t>–</w:t>
      </w:r>
      <w:r>
        <w:rPr>
          <w:rStyle w:val="Hyperlink.1"/>
          <w:rtl w:val="0"/>
          <w:lang w:val="en-US"/>
        </w:rPr>
        <w:t xml:space="preserve">rat pair exhibited the lowest </w:t>
      </w:r>
      <w:r>
        <w:rPr>
          <w:rStyle w:val="Hyperlink.1"/>
          <w:rtl w:val="0"/>
          <w:lang w:val="en-US"/>
        </w:rPr>
        <w:t xml:space="preserve">ω </w:t>
      </w:r>
      <w:r>
        <w:rPr>
          <w:rStyle w:val="Hyperlink.1"/>
          <w:rtl w:val="0"/>
          <w:lang w:val="en-US"/>
        </w:rPr>
        <w:t>value, whereas the naked mole-rat</w:t>
      </w:r>
      <w:r>
        <w:rPr>
          <w:rStyle w:val="Hyperlink.1"/>
          <w:rtl w:val="0"/>
          <w:lang w:val="en-US"/>
        </w:rPr>
        <w:t>–</w:t>
      </w:r>
      <w:r>
        <w:rPr>
          <w:rStyle w:val="Hyperlink.1"/>
          <w:rtl w:val="0"/>
          <w:lang w:val="en-US"/>
        </w:rPr>
        <w:t xml:space="preserve">human comparison showed the highest </w:t>
      </w:r>
      <w:r>
        <w:rPr>
          <w:rStyle w:val="Hyperlink.1"/>
          <w:rtl w:val="0"/>
          <w:lang w:val="en-US"/>
        </w:rPr>
        <w:t xml:space="preserve">ω </w:t>
      </w:r>
      <w:r>
        <w:rPr>
          <w:rStyle w:val="Hyperlink.1"/>
          <w:rtl w:val="0"/>
          <w:lang w:val="en-US"/>
        </w:rPr>
        <w:t>estimate. These maximum-likelihood estimates indicate that nonsynonymous substitutions accumulated at a lower rate than synonymous substitutions in every species pair. Detailed pairwise estimates are presented in Table 4.</w:t>
      </w:r>
    </w:p>
    <w:tbl>
      <w:tblPr>
        <w:tblW w:w="924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19"/>
        <w:gridCol w:w="1408"/>
        <w:gridCol w:w="1503"/>
        <w:gridCol w:w="1563"/>
        <w:gridCol w:w="875"/>
        <w:gridCol w:w="875"/>
        <w:gridCol w:w="1099"/>
      </w:tblGrid>
      <w:tr>
        <w:tblPrEx>
          <w:shd w:val="clear" w:color="auto" w:fill="ced7e7"/>
        </w:tblPrEx>
        <w:trPr>
          <w:trHeight w:val="610" w:hRule="atLeast"/>
        </w:trPr>
        <w:tc>
          <w:tcPr>
            <w:tcW w:type="dxa" w:w="19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Comparison</w:t>
            </w:r>
          </w:p>
        </w:tc>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Codons analyzed</w:t>
            </w:r>
          </w:p>
        </w:tc>
        <w:tc>
          <w:tcPr>
            <w:tcW w:type="dxa" w:w="15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lnL</w:t>
            </w:r>
          </w:p>
        </w:tc>
        <w:tc>
          <w:tcPr>
            <w:tcW w:type="dxa" w:w="15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Evolutionary distance (t)</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dN</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dS</w:t>
            </w:r>
          </w:p>
        </w:tc>
        <w:tc>
          <w:tcPr>
            <w:tcW w:type="dxa" w:w="10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hint="default"/>
                <w:b w:val="1"/>
                <w:bCs w:val="1"/>
                <w:kern w:val="0"/>
                <w:sz w:val="24"/>
                <w:szCs w:val="24"/>
                <w:shd w:val="nil" w:color="auto" w:fill="auto"/>
                <w:rtl w:val="0"/>
                <w:lang w:val="en-US"/>
              </w:rPr>
              <w:t xml:space="preserve">ω </w:t>
            </w:r>
            <w:r>
              <w:rPr>
                <w:rStyle w:val="None"/>
                <w:rFonts w:ascii="Times New Roman" w:hAnsi="Times New Roman"/>
                <w:b w:val="1"/>
                <w:bCs w:val="1"/>
                <w:kern w:val="0"/>
                <w:sz w:val="24"/>
                <w:szCs w:val="24"/>
                <w:shd w:val="nil" w:color="auto" w:fill="auto"/>
                <w:rtl w:val="0"/>
                <w:lang w:val="en-US"/>
              </w:rPr>
              <w:t>(dN/dS)</w:t>
            </w:r>
          </w:p>
        </w:tc>
      </w:tr>
      <w:tr>
        <w:tblPrEx>
          <w:shd w:val="clear" w:color="auto" w:fill="ced7e7"/>
        </w:tblPrEx>
        <w:trPr>
          <w:trHeight w:val="610" w:hRule="atLeast"/>
        </w:trPr>
        <w:tc>
          <w:tcPr>
            <w:tcW w:type="dxa" w:w="19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Naked mole-rat vs Rat</w:t>
            </w:r>
          </w:p>
        </w:tc>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388</w:t>
            </w:r>
          </w:p>
        </w:tc>
        <w:tc>
          <w:tcPr>
            <w:tcW w:type="dxa" w:w="15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-2271.940101</w:t>
            </w:r>
          </w:p>
        </w:tc>
        <w:tc>
          <w:tcPr>
            <w:tcW w:type="dxa" w:w="15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0.7455</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0.1104</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0.5983</w:t>
            </w:r>
          </w:p>
        </w:tc>
        <w:tc>
          <w:tcPr>
            <w:tcW w:type="dxa" w:w="10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0.1846</w:t>
            </w:r>
          </w:p>
        </w:tc>
      </w:tr>
      <w:tr>
        <w:tblPrEx>
          <w:shd w:val="clear" w:color="auto" w:fill="ced7e7"/>
        </w:tblPrEx>
        <w:trPr>
          <w:trHeight w:val="610" w:hRule="atLeast"/>
        </w:trPr>
        <w:tc>
          <w:tcPr>
            <w:tcW w:type="dxa" w:w="19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Naked mole-rat vs Mouse</w:t>
            </w:r>
          </w:p>
        </w:tc>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387</w:t>
            </w:r>
          </w:p>
        </w:tc>
        <w:tc>
          <w:tcPr>
            <w:tcW w:type="dxa" w:w="15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-2318.674055</w:t>
            </w:r>
          </w:p>
        </w:tc>
        <w:tc>
          <w:tcPr>
            <w:tcW w:type="dxa" w:w="15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0.8181</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0.1355</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0.6183</w:t>
            </w:r>
          </w:p>
        </w:tc>
        <w:tc>
          <w:tcPr>
            <w:tcW w:type="dxa" w:w="10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0.2191</w:t>
            </w:r>
          </w:p>
        </w:tc>
      </w:tr>
      <w:tr>
        <w:tblPrEx>
          <w:shd w:val="clear" w:color="auto" w:fill="ced7e7"/>
        </w:tblPrEx>
        <w:trPr>
          <w:trHeight w:val="610" w:hRule="atLeast"/>
        </w:trPr>
        <w:tc>
          <w:tcPr>
            <w:tcW w:type="dxa" w:w="19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Naked mole-rat vs Human</w:t>
            </w:r>
          </w:p>
        </w:tc>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391</w:t>
            </w:r>
          </w:p>
        </w:tc>
        <w:tc>
          <w:tcPr>
            <w:tcW w:type="dxa" w:w="15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-2182.700146</w:t>
            </w:r>
          </w:p>
        </w:tc>
        <w:tc>
          <w:tcPr>
            <w:tcW w:type="dxa" w:w="15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0.5209</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0.0933</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0.3738</w:t>
            </w:r>
          </w:p>
        </w:tc>
        <w:tc>
          <w:tcPr>
            <w:tcW w:type="dxa" w:w="10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0.2497</w:t>
            </w:r>
          </w:p>
        </w:tc>
      </w:tr>
    </w:tbl>
    <w:p>
      <w:pPr>
        <w:pStyle w:val="Normal.0"/>
        <w:widowControl w:val="0"/>
        <w:spacing w:after="0" w:line="240" w:lineRule="auto"/>
        <w:ind w:left="108" w:hanging="108"/>
        <w:rPr>
          <w:rStyle w:val="None"/>
          <w:rFonts w:ascii="Times New Roman" w:cs="Times New Roman" w:hAnsi="Times New Roman" w:eastAsia="Times New Roman"/>
          <w:kern w:val="0"/>
          <w:sz w:val="24"/>
          <w:szCs w:val="24"/>
        </w:rPr>
      </w:pPr>
    </w:p>
    <w:p>
      <w:pPr>
        <w:pStyle w:val="Normal.0"/>
        <w:widowControl w:val="0"/>
        <w:spacing w:after="0" w:line="24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Table 4. Pairwise nonsynonymous-to-synonymous substitution rate ratios (</w:t>
      </w:r>
      <w:r>
        <w:rPr>
          <w:rStyle w:val="Hyperlink.1"/>
          <w:rtl w:val="0"/>
          <w:lang w:val="en-US"/>
        </w:rPr>
        <w:t xml:space="preserve">ω </w:t>
      </w:r>
      <w:r>
        <w:rPr>
          <w:rStyle w:val="Hyperlink.1"/>
          <w:rtl w:val="0"/>
          <w:lang w:val="en-US"/>
        </w:rPr>
        <w:t>= dN/dS) estimated for TP53 using the maximum-likelihood implementation of CODEML (PAML v4.10.10).</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3.6 </w:t>
        <w:tab/>
        <w:t>Structural Visualization of the TP53</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DNA Complex</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Structural visualization of the human TP53 DNA-binding domain complex (PDB ID: 1TUP) illustrated the overall architecture of the TP53</w:t>
      </w:r>
      <w:r>
        <w:rPr>
          <w:rStyle w:val="Hyperlink.1"/>
          <w:rtl w:val="0"/>
          <w:lang w:val="en-US"/>
        </w:rPr>
        <w:t>–</w:t>
      </w:r>
      <w:r>
        <w:rPr>
          <w:rStyle w:val="Hyperlink.1"/>
          <w:rtl w:val="0"/>
          <w:lang w:val="en-US"/>
        </w:rPr>
        <w:t xml:space="preserve">DNA complex, consisting of three DNA-binding domain monomers interacting with a double-stranded DNA molecule (Figure 4A). The experimentally determined crystal structure shows zinc ions located within the TP53 DNA-binding domain (Figure 4A). Protein residues located within 4 </w:t>
      </w:r>
      <w:r>
        <w:rPr>
          <w:rStyle w:val="Hyperlink.1"/>
          <w:rtl w:val="0"/>
          <w:lang w:val="en-US"/>
        </w:rPr>
        <w:t xml:space="preserve">Å </w:t>
      </w:r>
      <w:r>
        <w:rPr>
          <w:rStyle w:val="Hyperlink.1"/>
          <w:rtl w:val="0"/>
          <w:lang w:val="en-US"/>
        </w:rPr>
        <w:t>of the bound DNA were mapped onto the TP53 structure (Figure 4B). These DNA-contacting residues were concentrated at the protein</w:t>
      </w:r>
      <w:r>
        <w:rPr>
          <w:rStyle w:val="Hyperlink.1"/>
          <w:rtl w:val="0"/>
          <w:lang w:val="en-US"/>
        </w:rPr>
        <w:t>–</w:t>
      </w:r>
      <w:r>
        <w:rPr>
          <w:rStyle w:val="Hyperlink.1"/>
          <w:rtl w:val="0"/>
          <w:lang w:val="en-US"/>
        </w:rPr>
        <w:t>DNA interface. The zinc ions occupied structural positions within the core domain and were displayed to illustrate the experimentally observed structural organization of TP53 (Figure 4C). Representative amino acid substitution sites identified from the pairwise protein sequence comparison between human and naked mole-rat TP53 were mapped onto the human TP53 crystal structure (Figure 4D). Five substitution sites (residues 133, 145, 148, 165, and 221) were visualized to illustrate their spatial distribution within the protein structure. These mapped residues represent a subset of the amino acid substitutions identified during sequence comparison and provide structural context for the observed sequence variation.</w:t>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3085606" cy="2313166"/>
            <wp:effectExtent l="0" t="0" r="0" b="0"/>
            <wp:docPr id="1073741887" name="officeArt object" descr="Figure_9A_TP53_Overall_Structure"/>
            <wp:cNvGraphicFramePr/>
            <a:graphic xmlns:a="http://schemas.openxmlformats.org/drawingml/2006/main">
              <a:graphicData uri="http://schemas.openxmlformats.org/drawingml/2006/picture">
                <pic:pic xmlns:pic="http://schemas.openxmlformats.org/drawingml/2006/picture">
                  <pic:nvPicPr>
                    <pic:cNvPr id="1073741887" name="Figure_9A_TP53_Overall_Structure" descr="Figure_9A_TP53_Overall_Structure"/>
                    <pic:cNvPicPr>
                      <a:picLocks noChangeAspect="1"/>
                    </pic:cNvPicPr>
                  </pic:nvPicPr>
                  <pic:blipFill>
                    <a:blip r:embed="rId58">
                      <a:extLst/>
                    </a:blip>
                    <a:stretch>
                      <a:fillRect/>
                    </a:stretch>
                  </pic:blipFill>
                  <pic:spPr>
                    <a:xfrm>
                      <a:off x="0" y="0"/>
                      <a:ext cx="3085606" cy="2313166"/>
                    </a:xfrm>
                    <a:prstGeom prst="rect">
                      <a:avLst/>
                    </a:prstGeom>
                    <a:ln w="12700" cap="flat">
                      <a:noFill/>
                      <a:miter lim="400000"/>
                    </a:ln>
                    <a:effectLst/>
                  </pic:spPr>
                </pic:pic>
              </a:graphicData>
            </a:graphic>
          </wp:inline>
        </w:drawing>
      </w:r>
      <w:r>
        <w:rPr>
          <w:rStyle w:val="Hyperlink.1"/>
        </w:rPr>
        <w:drawing xmlns:a="http://schemas.openxmlformats.org/drawingml/2006/main">
          <wp:inline distT="0" distB="0" distL="0" distR="0">
            <wp:extent cx="2599628" cy="1951942"/>
            <wp:effectExtent l="0" t="0" r="0" b="0"/>
            <wp:docPr id="1073741888" name="officeArt object" descr="Figure_9B_TP53_DNA_Binding_Interface"/>
            <wp:cNvGraphicFramePr/>
            <a:graphic xmlns:a="http://schemas.openxmlformats.org/drawingml/2006/main">
              <a:graphicData uri="http://schemas.openxmlformats.org/drawingml/2006/picture">
                <pic:pic xmlns:pic="http://schemas.openxmlformats.org/drawingml/2006/picture">
                  <pic:nvPicPr>
                    <pic:cNvPr id="1073741888" name="Figure_9B_TP53_DNA_Binding_Interface" descr="Figure_9B_TP53_DNA_Binding_Interface"/>
                    <pic:cNvPicPr>
                      <a:picLocks noChangeAspect="1"/>
                    </pic:cNvPicPr>
                  </pic:nvPicPr>
                  <pic:blipFill>
                    <a:blip r:embed="rId59">
                      <a:extLst/>
                    </a:blip>
                    <a:stretch>
                      <a:fillRect/>
                    </a:stretch>
                  </pic:blipFill>
                  <pic:spPr>
                    <a:xfrm>
                      <a:off x="0" y="0"/>
                      <a:ext cx="2599628" cy="1951942"/>
                    </a:xfrm>
                    <a:prstGeom prst="rect">
                      <a:avLst/>
                    </a:prstGeom>
                    <a:ln w="12700" cap="flat">
                      <a:noFill/>
                      <a:miter lim="400000"/>
                    </a:ln>
                    <a:effectLst/>
                  </pic:spPr>
                </pic:pic>
              </a:graphicData>
            </a:graphic>
          </wp:inline>
        </w:drawing>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2631776" cy="1972725"/>
            <wp:effectExtent l="0" t="0" r="0" b="0"/>
            <wp:docPr id="1073741889" name="officeArt object" descr="Figure_9C_TP53_Zinc_Coordination_Site"/>
            <wp:cNvGraphicFramePr/>
            <a:graphic xmlns:a="http://schemas.openxmlformats.org/drawingml/2006/main">
              <a:graphicData uri="http://schemas.openxmlformats.org/drawingml/2006/picture">
                <pic:pic xmlns:pic="http://schemas.openxmlformats.org/drawingml/2006/picture">
                  <pic:nvPicPr>
                    <pic:cNvPr id="1073741889" name="Figure_9C_TP53_Zinc_Coordination_Site" descr="Figure_9C_TP53_Zinc_Coordination_Site"/>
                    <pic:cNvPicPr>
                      <a:picLocks noChangeAspect="1"/>
                    </pic:cNvPicPr>
                  </pic:nvPicPr>
                  <pic:blipFill>
                    <a:blip r:embed="rId60">
                      <a:extLst/>
                    </a:blip>
                    <a:stretch>
                      <a:fillRect/>
                    </a:stretch>
                  </pic:blipFill>
                  <pic:spPr>
                    <a:xfrm>
                      <a:off x="0" y="0"/>
                      <a:ext cx="2631776" cy="1972725"/>
                    </a:xfrm>
                    <a:prstGeom prst="rect">
                      <a:avLst/>
                    </a:prstGeom>
                    <a:ln w="12700" cap="flat">
                      <a:noFill/>
                      <a:miter lim="400000"/>
                    </a:ln>
                    <a:effectLst/>
                  </pic:spPr>
                </pic:pic>
              </a:graphicData>
            </a:graphic>
          </wp:inline>
        </w:drawing>
      </w:r>
      <w:r>
        <w:rPr>
          <w:rStyle w:val="Hyperlink.1"/>
        </w:rPr>
        <w:drawing xmlns:a="http://schemas.openxmlformats.org/drawingml/2006/main">
          <wp:inline distT="0" distB="0" distL="0" distR="0">
            <wp:extent cx="2831807" cy="2119630"/>
            <wp:effectExtent l="0" t="0" r="0" b="0"/>
            <wp:docPr id="1073741890" name="officeArt object" descr="Figure_9D_TP53_Human_NMR_Substitutions"/>
            <wp:cNvGraphicFramePr/>
            <a:graphic xmlns:a="http://schemas.openxmlformats.org/drawingml/2006/main">
              <a:graphicData uri="http://schemas.openxmlformats.org/drawingml/2006/picture">
                <pic:pic xmlns:pic="http://schemas.openxmlformats.org/drawingml/2006/picture">
                  <pic:nvPicPr>
                    <pic:cNvPr id="1073741890" name="Figure_9D_TP53_Human_NMR_Substitutions" descr="Figure_9D_TP53_Human_NMR_Substitutions"/>
                    <pic:cNvPicPr>
                      <a:picLocks noChangeAspect="1"/>
                    </pic:cNvPicPr>
                  </pic:nvPicPr>
                  <pic:blipFill>
                    <a:blip r:embed="rId61">
                      <a:extLst/>
                    </a:blip>
                    <a:stretch>
                      <a:fillRect/>
                    </a:stretch>
                  </pic:blipFill>
                  <pic:spPr>
                    <a:xfrm>
                      <a:off x="0" y="0"/>
                      <a:ext cx="2831807" cy="2119630"/>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 4. Structural visualization of the human TP53</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DNA complex (PDB ID: 1TUP).</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 Overall structure of the TP53 DNA-binding domain complex bound to double-stranded DNA. The three TP53 monomers are shown in cartoon representation and coloured cyan (Chain A), green (Chain B), and magenta (Chain C).                                            The DNA molecule is displayed in orange cartoon representation, and                                                              coordinated zinc ions are shown as red spheres.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xml:space="preserve">(B) DNA-contacting residues identified within 4 </w:t>
      </w:r>
      <w:r>
        <w:rPr>
          <w:rStyle w:val="Hyperlink.1"/>
          <w:rtl w:val="0"/>
          <w:lang w:val="en-US"/>
        </w:rPr>
        <w:t xml:space="preserve">Å </w:t>
      </w:r>
      <w:r>
        <w:rPr>
          <w:rStyle w:val="Hyperlink.1"/>
          <w:rtl w:val="0"/>
          <w:lang w:val="en-US"/>
        </w:rPr>
        <w:t>of the DNA molecule are highlighted as yellow stick representations. These residues define the protein</w:t>
      </w:r>
      <w:r>
        <w:rPr>
          <w:rStyle w:val="Hyperlink.1"/>
          <w:rtl w:val="0"/>
          <w:lang w:val="en-US"/>
        </w:rPr>
        <w:t>–</w:t>
      </w:r>
      <w:r>
        <w:rPr>
          <w:rStyle w:val="Hyperlink.1"/>
          <w:rtl w:val="0"/>
          <w:lang w:val="en-US"/>
        </w:rPr>
        <w:t>DNA interaction interface.</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(C) Enlarged view of the zinc coordination sites within the TP53 DNA-binding domains. Zinc ions are shown as red spheres, while coordinating residues are displayed as yellow sticks. The zinc ions correspond to those present in the experimentally determined crystal structure and are included for structural visualization only.</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(D) Structural mapping of representative amino acid substitution sites identified between human and naked mole-rat TP53. Five substitution positions (Human residues 133, 145, 148, 165, and 221) are shown as magenta stick representations on the human TP53 crystal structure to illustrate their spatial distribution within the DNA-binding domain.</w:t>
      </w:r>
    </w:p>
    <w:p>
      <w:pPr>
        <w:pStyle w:val="Normal.0"/>
        <w:numPr>
          <w:ilvl w:val="0"/>
          <w:numId w:val="28"/>
        </w:numPr>
        <w:bidi w:val="0"/>
        <w:spacing w:after="0" w:line="360" w:lineRule="auto"/>
        <w:ind w:right="0"/>
        <w:jc w:val="both"/>
        <w:rPr>
          <w:rFonts w:ascii="Times New Roman" w:hAnsi="Times New Roman"/>
          <w:b w:val="1"/>
          <w:bCs w:val="1"/>
          <w:sz w:val="24"/>
          <w:szCs w:val="24"/>
          <w:rtl w:val="0"/>
          <w:lang w:val="en-US"/>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DISCUSSION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present study provides a comparative evolutionary assessment of the TP53 tumour suppressor gene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Across all analyses, TP53 exhibited a high degree of conservation, supporting its fundamental role in maintaining genome stability and coordinating cellular responses to DNA damage, consistent with previous evolutionary analyses of mammalian TP53 (Khan et al., 2011). Conserved domain analysis further demonstrated preservation of the transactivation, DNA-binding, and tetramerization domains across all species, indicating maintenance of the structural architecture required for transcriptional regulation and DNA binding. Although the Conserved Domain Database identified Transactivation Domain 2 (TAD2) only in the human sequence, further comparative sequence analyses and experimental validation are required to clarify this observation.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Pairwise protein sequence comparisons demonstrated extensive conservation, with the naked mole-rat showing the highest amino acid identity to human TP53 (96.26%), compared with mouse (93.47%) and rat (93.22%). Most amino acid substitutions were conservative, suggesting preservation of physicochemical properties despite sequence divergence. Structural visualization of the TP53</w:t>
      </w:r>
      <w:r>
        <w:rPr>
          <w:rStyle w:val="Hyperlink.1"/>
          <w:rtl w:val="0"/>
          <w:lang w:val="en-US"/>
        </w:rPr>
        <w:t>–</w:t>
      </w:r>
      <w:r>
        <w:rPr>
          <w:rStyle w:val="Hyperlink.1"/>
          <w:rtl w:val="0"/>
          <w:lang w:val="en-US"/>
        </w:rPr>
        <w:t xml:space="preserve">DNA complex showed that the amino acid substitutions identified between human and naked mole-rat TP53 were located within an otherwise highly conserved three-dimensional structure. These observations indicate that the overall molecular architecture of TP53 has been maintained throughout mammalian evolution, in agreement with previous comparative studies of mammalian p53 evolution (Khan et al., 2011). The evolutionary selection analysis further demonstrated that TP53 has been maintained under strong purifying selection. All pairwise comparisons produced </w:t>
      </w:r>
      <w:r>
        <w:rPr>
          <w:rStyle w:val="Hyperlink.1"/>
          <w:rtl w:val="0"/>
          <w:lang w:val="en-US"/>
        </w:rPr>
        <w:t xml:space="preserve">ω </w:t>
      </w:r>
      <w:r>
        <w:rPr>
          <w:rStyle w:val="Hyperlink.1"/>
          <w:rtl w:val="0"/>
          <w:lang w:val="en-US"/>
        </w:rPr>
        <w:t>(dN/dS) values substantially below one (0.1846</w:t>
      </w:r>
      <w:r>
        <w:rPr>
          <w:rStyle w:val="Hyperlink.1"/>
          <w:rtl w:val="0"/>
          <w:lang w:val="en-US"/>
        </w:rPr>
        <w:t>–</w:t>
      </w:r>
      <w:r>
        <w:rPr>
          <w:rStyle w:val="Hyperlink.1"/>
          <w:rtl w:val="0"/>
          <w:lang w:val="en-US"/>
        </w:rPr>
        <w:t>0.2497), indicating that nonsynonymous substitutions accumulated more slowly than synonymous substitutions. This pattern is characteristic of purifying selection acting on protein-coding genes with essential biological functions and is consistent with previous evolutionary analyses showing that the functional regions of TP53 are predominantly maintained by purifying selection (Khan et al., 2011; Ostrow et al., 2014).</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Despite the exceptional cancer resistance of the naked mole-rat, the present findings suggest that this phenotype is unlikely to result from extensive divergence within the TP53 coding sequence alone. Instead, the strong conservation of sequence, domain architecture, and evidence of purifying selection indicate that species-specific adaptations are more likely to arise from differences in gene regulation, downstream signalling pathways, protein activity, or broader genome maintenance mechanisms, as proposed by comparative genomic and multi-omics studies of the naked mole-rat (Du et al., 2024; Keane et al., 2014; Lewis et al., 2016). A limitation of the present study is that it focused exclusively on comparative analyses of TP53 coding sequences and protein conservation. Regulatory regions, alternative transcripts, post-translational modifications, and functional differences in p53 signalling were not investigated. Future studies integrating comparative genomics, transcriptomics, structural modelling, and experimental functional analyses will provide a more comprehensive understanding of how the highly conserved TP53 pathway contributes to the remarkable cancer resistance of the naked mole-rat (Lewis et al., 2016). Overall, the present study demonstrates that TP53 is highly conserved across humans and rodents at the sequence, structural, and evolutionary levels. Conserved functional domains, high amino acid sequence identity, and consistently low dN/dS ratios collectively indicate that TP53 has remained under strong purifying selection throughout mammalian evolution, preserving its essential biological functions (Khan et al., 2011).</w:t>
      </w:r>
    </w:p>
    <w:p>
      <w:pPr>
        <w:pStyle w:val="Normal.0"/>
        <w:spacing w:after="0" w:line="360" w:lineRule="auto"/>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present study demonstrates that the TP53 tumour suppressor gene is highly conserved across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xml:space="preserve"> at the sequence, structural, and evolutionary levels. Conserved functional domains, high amino acid sequence identity, low nonsynonymous-to-synonymous substitution rate ratios (</w:t>
      </w:r>
      <w:r>
        <w:rPr>
          <w:rStyle w:val="Hyperlink.1"/>
          <w:rtl w:val="0"/>
          <w:lang w:val="en-US"/>
        </w:rPr>
        <w:t xml:space="preserve">ω </w:t>
      </w:r>
      <w:r>
        <w:rPr>
          <w:rStyle w:val="Hyperlink.1"/>
          <w:rtl w:val="0"/>
          <w:lang w:val="en-US"/>
        </w:rPr>
        <w:t>&lt; 1), and preservation of the three-dimensional protein architecture collectively indicate that TP53 has remained under strong purifying selection throughout mammalian evolution, reflecting its essential role in maintaining genome integrity and coordinating cellular responses to stress. Despite the exceptional cancer resistance of the naked mole-rat, the high conservation of TP53 suggests that this phenotype is unlikely to result from major coding-sequence divergence alone but is more likely associated with differences in gene regulation, protein function, interacting signalling pathways, or broader genome maintenance mechanisms. These findings provide a comparative evolutionary framework for understanding TP53 conservation and establish a foundation for future integrative genomic and functional studies investigating the molecular basis of cancer resistance in the naked mole-rat.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Berman, H. M., Westbrook, J., Feng, Z., Gilliland, G., Bhat, T. N., Weissig, H., Shindyalov, I. N., &amp; Bourne, P. E.</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2000.</w:t>
      </w:r>
      <w:r>
        <w:rPr>
          <w:rStyle w:val="Hyperlink.1"/>
          <w:rtl w:val="0"/>
          <w:lang w:val="en-US"/>
        </w:rPr>
        <w:t xml:space="preserve"> The Protein Data Bank. </w:t>
      </w:r>
      <w:r>
        <w:rPr>
          <w:rStyle w:val="None"/>
          <w:rFonts w:ascii="Times New Roman" w:hAnsi="Times New Roman"/>
          <w:i w:val="1"/>
          <w:iCs w:val="1"/>
          <w:kern w:val="0"/>
          <w:sz w:val="24"/>
          <w:szCs w:val="24"/>
          <w:rtl w:val="0"/>
          <w:lang w:val="en-US"/>
        </w:rPr>
        <w:t xml:space="preserve">Nucleic Acids Research, </w:t>
      </w:r>
      <w:r>
        <w:rPr>
          <w:rStyle w:val="Hyperlink.1"/>
          <w:rtl w:val="0"/>
          <w:lang w:val="en-US"/>
        </w:rPr>
        <w:t>28(1), 235</w:t>
      </w:r>
      <w:r>
        <w:rPr>
          <w:rStyle w:val="Hyperlink.1"/>
          <w:rtl w:val="0"/>
          <w:lang w:val="en-US"/>
        </w:rPr>
        <w:t>–</w:t>
      </w:r>
      <w:r>
        <w:rPr>
          <w:rStyle w:val="Hyperlink.1"/>
          <w:rtl w:val="0"/>
          <w:lang w:val="en-US"/>
        </w:rPr>
        <w:t>242. https://doi.org/10.1093/nar/28.1.235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Brown, G. R., Hem, V., Katz, K. S., Ovetsky, M., Wallin, C., Ermolaeva, O., Tolstoy, I., Tatusova, T., Pruitt, K. D., Maglott, D. R., &amp; Murphy, T. D., 2015. </w:t>
      </w:r>
      <w:r>
        <w:rPr>
          <w:rStyle w:val="Hyperlink.1"/>
          <w:rtl w:val="0"/>
          <w:lang w:val="en-US"/>
        </w:rPr>
        <w:t xml:space="preserve">Gene: A gene-centered information resource at NCBI. </w:t>
      </w:r>
      <w:r>
        <w:rPr>
          <w:rStyle w:val="None"/>
          <w:rFonts w:ascii="Times New Roman" w:hAnsi="Times New Roman"/>
          <w:i w:val="1"/>
          <w:iCs w:val="1"/>
          <w:kern w:val="0"/>
          <w:sz w:val="24"/>
          <w:szCs w:val="24"/>
          <w:rtl w:val="0"/>
          <w:lang w:val="en-US"/>
        </w:rPr>
        <w:t>Nucleic Acids Research,</w:t>
      </w:r>
      <w:r>
        <w:rPr>
          <w:rStyle w:val="Hyperlink.1"/>
          <w:rtl w:val="0"/>
          <w:lang w:val="en-US"/>
        </w:rPr>
        <w:t xml:space="preserve"> 43(D1), D36</w:t>
      </w:r>
      <w:r>
        <w:rPr>
          <w:rStyle w:val="Hyperlink.1"/>
          <w:rtl w:val="0"/>
          <w:lang w:val="en-US"/>
        </w:rPr>
        <w:t>–</w:t>
      </w:r>
      <w:r>
        <w:rPr>
          <w:rStyle w:val="Hyperlink.1"/>
          <w:rtl w:val="0"/>
          <w:lang w:val="en-US"/>
        </w:rPr>
        <w:t>D42. https://doi.org/10.1093/nar/gku1055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Cho, Y., Gorina, S., Jeffrey, P. D., &amp; Pavletich, N. P., 1994.</w:t>
      </w:r>
      <w:r>
        <w:rPr>
          <w:rStyle w:val="Hyperlink.1"/>
          <w:rtl w:val="0"/>
          <w:lang w:val="en-US"/>
        </w:rPr>
        <w:t xml:space="preserve"> Crystal structure of a p53 tumor suppressor-DNA complex: </w:t>
      </w:r>
      <w:r>
        <w:rPr>
          <w:rStyle w:val="None"/>
          <w:rFonts w:ascii="Times New Roman" w:hAnsi="Times New Roman"/>
          <w:i w:val="1"/>
          <w:iCs w:val="1"/>
          <w:kern w:val="0"/>
          <w:sz w:val="24"/>
          <w:szCs w:val="24"/>
          <w:rtl w:val="0"/>
          <w:lang w:val="en-US"/>
        </w:rPr>
        <w:t xml:space="preserve">Understanding tumorigenic mutations. Science, </w:t>
      </w:r>
      <w:r>
        <w:rPr>
          <w:rStyle w:val="Hyperlink.1"/>
          <w:rtl w:val="0"/>
          <w:lang w:val="en-US"/>
        </w:rPr>
        <w:t>265(5170), 346</w:t>
      </w:r>
      <w:r>
        <w:rPr>
          <w:rStyle w:val="Hyperlink.1"/>
          <w:rtl w:val="0"/>
          <w:lang w:val="en-US"/>
        </w:rPr>
        <w:t>–</w:t>
      </w:r>
      <w:r>
        <w:rPr>
          <w:rStyle w:val="Hyperlink.1"/>
          <w:rtl w:val="0"/>
          <w:lang w:val="en-US"/>
        </w:rPr>
        <w:t>355. https://doi.org/10.1126/science.8023157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Cock, P. J. A., Antao, T., Chang, J. T., Chapman, B. A., Cox, C. J., Dalke, A., Friedberg, I., Hamelryck, T., Kauff, F., Wilczynski, B., &amp; de Hoon, M. J. L., 2009</w:t>
      </w:r>
      <w:r>
        <w:rPr>
          <w:rStyle w:val="Hyperlink.1"/>
          <w:rtl w:val="0"/>
          <w:lang w:val="en-US"/>
        </w:rPr>
        <w:t xml:space="preserve">. Biopython: Freely available Python tools for computational molecular biology and bioinformatics. </w:t>
      </w:r>
      <w:r>
        <w:rPr>
          <w:rStyle w:val="None"/>
          <w:rFonts w:ascii="Times New Roman" w:hAnsi="Times New Roman"/>
          <w:i w:val="1"/>
          <w:iCs w:val="1"/>
          <w:kern w:val="0"/>
          <w:sz w:val="24"/>
          <w:szCs w:val="24"/>
          <w:rtl w:val="0"/>
          <w:lang w:val="en-US"/>
        </w:rPr>
        <w:t xml:space="preserve">Bioinformatics, </w:t>
      </w:r>
      <w:r>
        <w:rPr>
          <w:rStyle w:val="Hyperlink.1"/>
          <w:rtl w:val="0"/>
          <w:lang w:val="en-US"/>
        </w:rPr>
        <w:t>25(11), 1422</w:t>
      </w:r>
      <w:r>
        <w:rPr>
          <w:rStyle w:val="Hyperlink.1"/>
          <w:rtl w:val="0"/>
          <w:lang w:val="en-US"/>
        </w:rPr>
        <w:t>–</w:t>
      </w:r>
      <w:r>
        <w:rPr>
          <w:rStyle w:val="Hyperlink.1"/>
          <w:rtl w:val="0"/>
          <w:lang w:val="en-US"/>
        </w:rPr>
        <w:t>1423. https://doi.org/10.1093/bioinformatics/btp163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Du, J., Liu, W., Li, M., Li, Z., Li, X., Dai, Y., Liu, G., Wang, X., Zhu, P., Gladyshev, V. N., &amp; Zhou, X., 2024.</w:t>
      </w:r>
      <w:r>
        <w:rPr>
          <w:rStyle w:val="Hyperlink.1"/>
          <w:rtl w:val="0"/>
          <w:lang w:val="en-US"/>
        </w:rPr>
        <w:t xml:space="preserve"> Comparative time-series multi-omics analyses suggest H1.2 involvement in anoxic adaptation and cancer resistance. </w:t>
      </w:r>
      <w:r>
        <w:rPr>
          <w:rStyle w:val="None"/>
          <w:rFonts w:ascii="Times New Roman" w:hAnsi="Times New Roman"/>
          <w:i w:val="1"/>
          <w:iCs w:val="1"/>
          <w:kern w:val="0"/>
          <w:sz w:val="24"/>
          <w:szCs w:val="24"/>
          <w:rtl w:val="0"/>
          <w:lang w:val="en-US"/>
        </w:rPr>
        <w:t>PLOS Biology</w:t>
      </w:r>
      <w:r>
        <w:rPr>
          <w:rStyle w:val="Hyperlink.1"/>
          <w:rtl w:val="0"/>
          <w:lang w:val="en-US"/>
        </w:rPr>
        <w:t>, 22(9), e3002778. https://doi.org/10.1371/journal.pbio.3002778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Edgar, R. C., 2004</w:t>
      </w:r>
      <w:r>
        <w:rPr>
          <w:rStyle w:val="Hyperlink.1"/>
          <w:rtl w:val="0"/>
          <w:lang w:val="en-US"/>
        </w:rPr>
        <w:t xml:space="preserve">. MUSCLE: Multiple sequence alignment with high accuracy and high throughput. </w:t>
      </w:r>
      <w:r>
        <w:rPr>
          <w:rStyle w:val="None"/>
          <w:rFonts w:ascii="Times New Roman" w:hAnsi="Times New Roman"/>
          <w:i w:val="1"/>
          <w:iCs w:val="1"/>
          <w:kern w:val="0"/>
          <w:sz w:val="24"/>
          <w:szCs w:val="24"/>
          <w:rtl w:val="0"/>
          <w:lang w:val="en-US"/>
        </w:rPr>
        <w:t>Nucleic Acids Research,</w:t>
      </w:r>
      <w:r>
        <w:rPr>
          <w:rStyle w:val="Hyperlink.1"/>
          <w:rtl w:val="0"/>
          <w:lang w:val="en-US"/>
        </w:rPr>
        <w:t xml:space="preserve"> 32(5), 1792</w:t>
      </w:r>
      <w:r>
        <w:rPr>
          <w:rStyle w:val="Hyperlink.1"/>
          <w:rtl w:val="0"/>
          <w:lang w:val="en-US"/>
        </w:rPr>
        <w:t>–</w:t>
      </w:r>
      <w:r>
        <w:rPr>
          <w:rStyle w:val="Hyperlink.1"/>
          <w:rtl w:val="0"/>
          <w:lang w:val="en-US"/>
        </w:rPr>
        <w:t>1797. https://doi.org/10.1093/nar/gkh340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Edgar, R. C., 2022.</w:t>
      </w:r>
      <w:r>
        <w:rPr>
          <w:rStyle w:val="Hyperlink.1"/>
          <w:rtl w:val="0"/>
          <w:lang w:val="en-US"/>
        </w:rPr>
        <w:t xml:space="preserve"> Muscle5: High-accuracy alignment ensembles enable unbiased assessments of sequence homology and phylogeny.</w:t>
      </w:r>
      <w:r>
        <w:rPr>
          <w:rStyle w:val="None"/>
          <w:rFonts w:ascii="Times New Roman" w:hAnsi="Times New Roman"/>
          <w:i w:val="1"/>
          <w:iCs w:val="1"/>
          <w:kern w:val="0"/>
          <w:sz w:val="24"/>
          <w:szCs w:val="24"/>
          <w:rtl w:val="0"/>
          <w:lang w:val="en-US"/>
        </w:rPr>
        <w:t xml:space="preserve"> Nature Communications, </w:t>
      </w:r>
      <w:r>
        <w:rPr>
          <w:rStyle w:val="Hyperlink.1"/>
          <w:rtl w:val="0"/>
          <w:lang w:val="en-US"/>
        </w:rPr>
        <w:t>13(1), Article 6968. https://doi.org/10.1038/s41467-022-34630-w</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Felsenstein, J., 1985</w:t>
      </w:r>
      <w:r>
        <w:rPr>
          <w:rStyle w:val="Hyperlink.1"/>
          <w:rtl w:val="0"/>
          <w:lang w:val="en-US"/>
        </w:rPr>
        <w:t>. Confidence limits on phylogenies: An approach using the bootstrap. Evolution, 39(4), 783</w:t>
      </w:r>
      <w:r>
        <w:rPr>
          <w:rStyle w:val="Hyperlink.1"/>
          <w:rtl w:val="0"/>
          <w:lang w:val="en-US"/>
        </w:rPr>
        <w:t>–</w:t>
      </w:r>
      <w:r>
        <w:rPr>
          <w:rStyle w:val="Hyperlink.1"/>
          <w:rtl w:val="0"/>
          <w:lang w:val="en-US"/>
        </w:rPr>
        <w:t>791. https://doi.org/10.1111/j.1558-5646.1985.tb00420.x</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Henikoff, S., &amp; Henikoff, J. G., 1992 </w:t>
      </w:r>
      <w:r>
        <w:rPr>
          <w:rStyle w:val="Hyperlink.1"/>
          <w:rtl w:val="0"/>
          <w:lang w:val="en-US"/>
        </w:rPr>
        <w:t xml:space="preserve">. Amino acid substitution matrices from protein blocks. </w:t>
      </w:r>
      <w:r>
        <w:rPr>
          <w:rStyle w:val="None"/>
          <w:rFonts w:ascii="Times New Roman" w:hAnsi="Times New Roman"/>
          <w:i w:val="1"/>
          <w:iCs w:val="1"/>
          <w:kern w:val="0"/>
          <w:sz w:val="24"/>
          <w:szCs w:val="24"/>
          <w:rtl w:val="0"/>
          <w:lang w:val="en-US"/>
        </w:rPr>
        <w:t>Proceedings of the National Academy of Sciences,</w:t>
      </w:r>
      <w:r>
        <w:rPr>
          <w:rStyle w:val="Hyperlink.1"/>
          <w:rtl w:val="0"/>
          <w:lang w:val="en-US"/>
        </w:rPr>
        <w:t xml:space="preserve"> 89(22), 10915</w:t>
      </w:r>
      <w:r>
        <w:rPr>
          <w:rStyle w:val="Hyperlink.1"/>
          <w:rtl w:val="0"/>
          <w:lang w:val="en-US"/>
        </w:rPr>
        <w:t>–</w:t>
      </w:r>
      <w:r>
        <w:rPr>
          <w:rStyle w:val="Hyperlink.1"/>
          <w:rtl w:val="0"/>
          <w:lang w:val="en-US"/>
        </w:rPr>
        <w:t>10919. https://doi.org/10.1073/pnas.89.22.10915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Jones, D. T., Taylor, W. R., &amp; Thornton, J. M., 1992. </w:t>
      </w:r>
      <w:r>
        <w:rPr>
          <w:rStyle w:val="Hyperlink.1"/>
          <w:rtl w:val="0"/>
          <w:lang w:val="en-US"/>
        </w:rPr>
        <w:t xml:space="preserve">The rapid generation of mutation data matrices from protein sequences. </w:t>
      </w:r>
      <w:r>
        <w:rPr>
          <w:rStyle w:val="None"/>
          <w:rFonts w:ascii="Times New Roman" w:hAnsi="Times New Roman"/>
          <w:i w:val="1"/>
          <w:iCs w:val="1"/>
          <w:kern w:val="0"/>
          <w:sz w:val="24"/>
          <w:szCs w:val="24"/>
          <w:rtl w:val="0"/>
          <w:lang w:val="en-US"/>
        </w:rPr>
        <w:t xml:space="preserve">Computer Applications in the Biosciences, </w:t>
      </w:r>
      <w:r>
        <w:rPr>
          <w:rStyle w:val="Hyperlink.1"/>
          <w:rtl w:val="0"/>
          <w:lang w:val="en-US"/>
        </w:rPr>
        <w:t>8(3), 275</w:t>
      </w:r>
      <w:r>
        <w:rPr>
          <w:rStyle w:val="Hyperlink.1"/>
          <w:rtl w:val="0"/>
          <w:lang w:val="en-US"/>
        </w:rPr>
        <w:t>–</w:t>
      </w:r>
      <w:r>
        <w:rPr>
          <w:rStyle w:val="Hyperlink.1"/>
          <w:rtl w:val="0"/>
          <w:lang w:val="en-US"/>
        </w:rPr>
        <w:t>282. https://doi.org/10.1093/bioinformatics/8.3.275</w:t>
      </w: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Keane, M., Craig, T., Alf</w:t>
      </w:r>
      <w:r>
        <w:rPr>
          <w:rStyle w:val="None"/>
          <w:rFonts w:ascii="Times New Roman" w:hAnsi="Times New Roman" w:hint="default"/>
          <w:b w:val="1"/>
          <w:bCs w:val="1"/>
          <w:kern w:val="0"/>
          <w:sz w:val="24"/>
          <w:szCs w:val="24"/>
          <w:rtl w:val="0"/>
          <w:lang w:val="en-US"/>
        </w:rPr>
        <w:t>ö</w:t>
      </w:r>
      <w:r>
        <w:rPr>
          <w:rStyle w:val="None"/>
          <w:rFonts w:ascii="Times New Roman" w:hAnsi="Times New Roman"/>
          <w:b w:val="1"/>
          <w:bCs w:val="1"/>
          <w:kern w:val="0"/>
          <w:sz w:val="24"/>
          <w:szCs w:val="24"/>
          <w:rtl w:val="0"/>
          <w:lang w:val="en-US"/>
        </w:rPr>
        <w:t>ldi, J., Berlin, A. M., Johnson, J., Seluanov, A., Gorbunova, V., Di Palma, F., Lindblad-Toh, K., Church, G. M., &amp; de Magalh</w:t>
      </w:r>
      <w:r>
        <w:rPr>
          <w:rStyle w:val="None"/>
          <w:rFonts w:ascii="Times New Roman" w:hAnsi="Times New Roman" w:hint="default"/>
          <w:b w:val="1"/>
          <w:bCs w:val="1"/>
          <w:kern w:val="0"/>
          <w:sz w:val="24"/>
          <w:szCs w:val="24"/>
          <w:rtl w:val="0"/>
          <w:lang w:val="en-US"/>
        </w:rPr>
        <w:t>ã</w:t>
      </w:r>
      <w:r>
        <w:rPr>
          <w:rStyle w:val="None"/>
          <w:rFonts w:ascii="Times New Roman" w:hAnsi="Times New Roman"/>
          <w:b w:val="1"/>
          <w:bCs w:val="1"/>
          <w:kern w:val="0"/>
          <w:sz w:val="24"/>
          <w:szCs w:val="24"/>
          <w:rtl w:val="0"/>
          <w:lang w:val="en-US"/>
        </w:rPr>
        <w:t>es, J. P.,</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2014. </w:t>
      </w:r>
      <w:r>
        <w:rPr>
          <w:rStyle w:val="Hyperlink.1"/>
          <w:rtl w:val="0"/>
          <w:lang w:val="en-US"/>
        </w:rPr>
        <w:t>The Naked Mole Rat Genome Resource: Facilitating analyses of cancer and longevity-related adaptations. Bioinformatics, 30(24), 3558</w:t>
      </w:r>
      <w:r>
        <w:rPr>
          <w:rStyle w:val="Hyperlink.1"/>
          <w:rtl w:val="0"/>
          <w:lang w:val="en-US"/>
        </w:rPr>
        <w:t>–</w:t>
      </w:r>
      <w:r>
        <w:rPr>
          <w:rStyle w:val="Hyperlink.1"/>
          <w:rtl w:val="0"/>
          <w:lang w:val="en-US"/>
        </w:rPr>
        <w:t>3560. https://doi.org/10.1093/bioinformatics/btu579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Khan, M. M. G., Ryd</w:t>
      </w:r>
      <w:r>
        <w:rPr>
          <w:rStyle w:val="None"/>
          <w:rFonts w:ascii="Times New Roman" w:hAnsi="Times New Roman" w:hint="default"/>
          <w:b w:val="1"/>
          <w:bCs w:val="1"/>
          <w:kern w:val="0"/>
          <w:sz w:val="24"/>
          <w:szCs w:val="24"/>
          <w:rtl w:val="0"/>
          <w:lang w:val="en-US"/>
        </w:rPr>
        <w:t>é</w:t>
      </w:r>
      <w:r>
        <w:rPr>
          <w:rStyle w:val="None"/>
          <w:rFonts w:ascii="Times New Roman" w:hAnsi="Times New Roman"/>
          <w:b w:val="1"/>
          <w:bCs w:val="1"/>
          <w:kern w:val="0"/>
          <w:sz w:val="24"/>
          <w:szCs w:val="24"/>
          <w:rtl w:val="0"/>
          <w:lang w:val="en-US"/>
        </w:rPr>
        <w:t xml:space="preserve">n, A. M., Chowdhury, M. S., Hasan, M. A., &amp; Kazi, J. U., 2011. </w:t>
      </w:r>
      <w:r>
        <w:rPr>
          <w:rStyle w:val="Hyperlink.1"/>
          <w:rtl w:val="0"/>
          <w:lang w:val="en-US"/>
        </w:rPr>
        <w:t xml:space="preserve">Maximum likelihood analysis of mammalian p53 indicates the presence of positively selected sites and higher tumorigenic mutations in purifying sites. </w:t>
      </w:r>
      <w:r>
        <w:rPr>
          <w:rStyle w:val="None"/>
          <w:rFonts w:ascii="Times New Roman" w:hAnsi="Times New Roman"/>
          <w:i w:val="1"/>
          <w:iCs w:val="1"/>
          <w:kern w:val="0"/>
          <w:sz w:val="24"/>
          <w:szCs w:val="24"/>
          <w:rtl w:val="0"/>
          <w:lang w:val="en-US"/>
        </w:rPr>
        <w:t>Gene,</w:t>
      </w:r>
      <w:r>
        <w:rPr>
          <w:rStyle w:val="Hyperlink.1"/>
          <w:rtl w:val="0"/>
          <w:lang w:val="en-US"/>
        </w:rPr>
        <w:t xml:space="preserve"> 483(1</w:t>
      </w:r>
      <w:r>
        <w:rPr>
          <w:rStyle w:val="Hyperlink.1"/>
          <w:rtl w:val="0"/>
          <w:lang w:val="en-US"/>
        </w:rPr>
        <w:t>–</w:t>
      </w:r>
      <w:r>
        <w:rPr>
          <w:rStyle w:val="Hyperlink.1"/>
          <w:rtl w:val="0"/>
          <w:lang w:val="en-US"/>
        </w:rPr>
        <w:t>2), 29</w:t>
      </w:r>
      <w:r>
        <w:rPr>
          <w:rStyle w:val="Hyperlink.1"/>
          <w:rtl w:val="0"/>
          <w:lang w:val="en-US"/>
        </w:rPr>
        <w:t>–</w:t>
      </w:r>
      <w:r>
        <w:rPr>
          <w:rStyle w:val="Hyperlink.1"/>
          <w:rtl w:val="0"/>
          <w:lang w:val="en-US"/>
        </w:rPr>
        <w:t>35. https://doi.org/10.1016/j.gene.2011.05.011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Kumar, S., Stecher, G., Suleski, M., Sanderford, M., Sharma, S., &amp; Tamura, K., (2024). </w:t>
      </w:r>
      <w:r>
        <w:rPr>
          <w:rStyle w:val="Hyperlink.1"/>
          <w:rtl w:val="0"/>
          <w:lang w:val="en-US"/>
        </w:rPr>
        <w:t xml:space="preserve">MEGA12: Molecular evolutionary genetic analysis version 12 for adaptive and green computing. </w:t>
      </w:r>
      <w:r>
        <w:rPr>
          <w:rStyle w:val="None"/>
          <w:rFonts w:ascii="Times New Roman" w:hAnsi="Times New Roman"/>
          <w:i w:val="1"/>
          <w:iCs w:val="1"/>
          <w:kern w:val="0"/>
          <w:sz w:val="24"/>
          <w:szCs w:val="24"/>
          <w:rtl w:val="0"/>
          <w:lang w:val="en-US"/>
        </w:rPr>
        <w:t>Molecular Biology and Evolution,</w:t>
      </w:r>
      <w:r>
        <w:rPr>
          <w:rStyle w:val="Hyperlink.1"/>
          <w:rtl w:val="0"/>
          <w:lang w:val="en-US"/>
        </w:rPr>
        <w:t xml:space="preserve"> 41(12), msae263. https://doi.org/10.1093/molbev/msae263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Lewis, K. N., Soifer, I., Melamud, E., Roy, M., McIsaac, R. S., Hibbs, M., &amp; Buffenstein, R.,</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2016. </w:t>
      </w:r>
      <w:r>
        <w:rPr>
          <w:rStyle w:val="Hyperlink.1"/>
          <w:rtl w:val="0"/>
          <w:lang w:val="en-US"/>
        </w:rPr>
        <w:t xml:space="preserve">Unraveling the message: Insights into comparative genomics of the naked mole-rat. </w:t>
      </w:r>
      <w:r>
        <w:rPr>
          <w:rStyle w:val="None"/>
          <w:rFonts w:ascii="Times New Roman" w:hAnsi="Times New Roman"/>
          <w:i w:val="1"/>
          <w:iCs w:val="1"/>
          <w:kern w:val="0"/>
          <w:sz w:val="24"/>
          <w:szCs w:val="24"/>
          <w:rtl w:val="0"/>
          <w:lang w:val="en-US"/>
        </w:rPr>
        <w:t>Mammalian Genome,</w:t>
      </w:r>
      <w:r>
        <w:rPr>
          <w:rStyle w:val="Hyperlink.1"/>
          <w:rtl w:val="0"/>
          <w:lang w:val="en-US"/>
        </w:rPr>
        <w:t xml:space="preserve"> 27(7</w:t>
      </w:r>
      <w:r>
        <w:rPr>
          <w:rStyle w:val="Hyperlink.1"/>
          <w:rtl w:val="0"/>
          <w:lang w:val="en-US"/>
        </w:rPr>
        <w:t>–</w:t>
      </w:r>
      <w:r>
        <w:rPr>
          <w:rStyle w:val="Hyperlink.1"/>
          <w:rtl w:val="0"/>
          <w:lang w:val="en-US"/>
        </w:rPr>
        <w:t>8), 259</w:t>
      </w:r>
      <w:r>
        <w:rPr>
          <w:rStyle w:val="Hyperlink.1"/>
          <w:rtl w:val="0"/>
          <w:lang w:val="en-US"/>
        </w:rPr>
        <w:t>–</w:t>
      </w:r>
      <w:r>
        <w:rPr>
          <w:rStyle w:val="Hyperlink.1"/>
          <w:rtl w:val="0"/>
          <w:lang w:val="en-US"/>
        </w:rPr>
        <w:t>278. https://doi.org/10.1007/s00335-016-9648-5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Li, Y., Zhang, M. C., Xu, X. K., et al., 2019.</w:t>
      </w:r>
      <w:r>
        <w:rPr>
          <w:rStyle w:val="Hyperlink.1"/>
          <w:rtl w:val="0"/>
          <w:lang w:val="en-US"/>
        </w:rPr>
        <w:t xml:space="preserve"> Functional diversity of p53 in human and wild animals. </w:t>
      </w:r>
      <w:r>
        <w:rPr>
          <w:rStyle w:val="None"/>
          <w:rFonts w:ascii="Times New Roman" w:hAnsi="Times New Roman"/>
          <w:i w:val="1"/>
          <w:iCs w:val="1"/>
          <w:kern w:val="0"/>
          <w:sz w:val="24"/>
          <w:szCs w:val="24"/>
          <w:rtl w:val="0"/>
          <w:lang w:val="en-US"/>
        </w:rPr>
        <w:t>Frontiers in Endocrinology</w:t>
      </w:r>
      <w:r>
        <w:rPr>
          <w:rStyle w:val="Hyperlink.1"/>
          <w:rtl w:val="0"/>
          <w:lang w:val="en-US"/>
        </w:rPr>
        <w:t>, 10, 152. https://doi.org/10.3389/fendo.2019.00152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Lu, S., Wang, J., Chitsaz, F., Derbyshire, M. K., Geer, R. C., Gonzales, N. R., Gwadz, M., Hurwitz, D. I., Marchler, G. H., Song, J. S., Thanki, N., Yamashita, R. A., Yang, M., Zhang, D., Zheng, C., Lanczycki, C. J., &amp;Marchler-Bauer, A.,</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2020</w:t>
      </w:r>
      <w:r>
        <w:rPr>
          <w:rStyle w:val="Hyperlink.1"/>
          <w:rtl w:val="0"/>
          <w:lang w:val="en-US"/>
        </w:rPr>
        <w:t xml:space="preserve">. CDD/SPARCLE: The conserved domain database in 2020. </w:t>
      </w:r>
      <w:r>
        <w:rPr>
          <w:rStyle w:val="None"/>
          <w:rFonts w:ascii="Times New Roman" w:hAnsi="Times New Roman"/>
          <w:i w:val="1"/>
          <w:iCs w:val="1"/>
          <w:kern w:val="0"/>
          <w:sz w:val="24"/>
          <w:szCs w:val="24"/>
          <w:rtl w:val="0"/>
          <w:lang w:val="en-US"/>
        </w:rPr>
        <w:t xml:space="preserve">Nucleic Acids Research, </w:t>
      </w:r>
      <w:r>
        <w:rPr>
          <w:rStyle w:val="Hyperlink.1"/>
          <w:rtl w:val="0"/>
          <w:lang w:val="en-US"/>
        </w:rPr>
        <w:t>48(D1), D265</w:t>
      </w:r>
      <w:r>
        <w:rPr>
          <w:rStyle w:val="Hyperlink.1"/>
          <w:rtl w:val="0"/>
          <w:lang w:val="en-US"/>
        </w:rPr>
        <w:t>–</w:t>
      </w:r>
      <w:r>
        <w:rPr>
          <w:rStyle w:val="Hyperlink.1"/>
          <w:rtl w:val="0"/>
          <w:lang w:val="en-US"/>
        </w:rPr>
        <w:t>D268. https://doi.org/10.1093/nar/gkz991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McKinney, W.,2010</w:t>
      </w:r>
      <w:r>
        <w:rPr>
          <w:rStyle w:val="Hyperlink.1"/>
          <w:rtl w:val="0"/>
          <w:lang w:val="en-US"/>
        </w:rPr>
        <w:t>. Data structures for statistical computing in Python. In S. van der Walt &amp; J. Millman (Eds.), P</w:t>
      </w:r>
      <w:r>
        <w:rPr>
          <w:rStyle w:val="None"/>
          <w:rFonts w:ascii="Times New Roman" w:hAnsi="Times New Roman"/>
          <w:i w:val="1"/>
          <w:iCs w:val="1"/>
          <w:kern w:val="0"/>
          <w:sz w:val="24"/>
          <w:szCs w:val="24"/>
          <w:rtl w:val="0"/>
          <w:lang w:val="en-US"/>
        </w:rPr>
        <w:t>roceedings of the 9th Python in Science Conference (</w:t>
      </w:r>
      <w:r>
        <w:rPr>
          <w:rStyle w:val="Hyperlink.1"/>
          <w:rtl w:val="0"/>
          <w:lang w:val="en-US"/>
        </w:rPr>
        <w:t>pp. 56</w:t>
      </w:r>
      <w:r>
        <w:rPr>
          <w:rStyle w:val="Hyperlink.1"/>
          <w:rtl w:val="0"/>
          <w:lang w:val="en-US"/>
        </w:rPr>
        <w:t>–</w:t>
      </w:r>
      <w:r>
        <w:rPr>
          <w:rStyle w:val="Hyperlink.1"/>
          <w:rtl w:val="0"/>
          <w:lang w:val="en-US"/>
        </w:rPr>
        <w:t>61). https://doi.org/10.25080/Majora-92bf1922-00a</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O</w:t>
      </w:r>
      <w:r>
        <w:rPr>
          <w:rStyle w:val="None"/>
          <w:rFonts w:ascii="Times New Roman" w:hAnsi="Times New Roman" w:hint="default"/>
          <w:b w:val="1"/>
          <w:bCs w:val="1"/>
          <w:kern w:val="0"/>
          <w:sz w:val="24"/>
          <w:szCs w:val="24"/>
          <w:rtl w:val="0"/>
          <w:lang w:val="en-US"/>
        </w:rPr>
        <w:t>’</w:t>
      </w:r>
      <w:r>
        <w:rPr>
          <w:rStyle w:val="None"/>
          <w:rFonts w:ascii="Times New Roman" w:hAnsi="Times New Roman"/>
          <w:b w:val="1"/>
          <w:bCs w:val="1"/>
          <w:kern w:val="0"/>
          <w:sz w:val="24"/>
          <w:szCs w:val="24"/>
          <w:rtl w:val="0"/>
          <w:lang w:val="en-US"/>
        </w:rPr>
        <w:t xml:space="preserve">Leary, N. A., Wright, M. W., Brister, J. R., Ciufo, S., Haddad, D., McVeigh, R., Rajput, B., Robbertse, B., Smith-White, B., Ako-Adjei, D., Astashyn, A., Badretdin, A., Bao, Y., Blinkova, O., Brover, V., Chetvernin, V., Choi, J., Cox, E., Ermolaeva, O., </w:t>
      </w:r>
      <w:r>
        <w:rPr>
          <w:rStyle w:val="None"/>
          <w:rFonts w:ascii="Times New Roman" w:hAnsi="Times New Roman" w:hint="default"/>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Pruitt, K. D., 2016. </w:t>
      </w:r>
      <w:r>
        <w:rPr>
          <w:rStyle w:val="Hyperlink.1"/>
          <w:rtl w:val="0"/>
          <w:lang w:val="en-US"/>
        </w:rPr>
        <w:t>Reference sequence (RefSeq) database at NCBI: Current status, taxonomic expansion, and heuristic analysis.</w:t>
      </w:r>
      <w:r>
        <w:rPr>
          <w:rStyle w:val="None"/>
          <w:rFonts w:ascii="Times New Roman" w:hAnsi="Times New Roman"/>
          <w:i w:val="1"/>
          <w:iCs w:val="1"/>
          <w:kern w:val="0"/>
          <w:sz w:val="24"/>
          <w:szCs w:val="24"/>
          <w:rtl w:val="0"/>
          <w:lang w:val="en-US"/>
        </w:rPr>
        <w:t xml:space="preserve"> Nucleic Acids Research,</w:t>
      </w:r>
      <w:r>
        <w:rPr>
          <w:rStyle w:val="Hyperlink.1"/>
          <w:rtl w:val="0"/>
          <w:lang w:val="en-US"/>
        </w:rPr>
        <w:t xml:space="preserve"> 44(D1), D733</w:t>
      </w:r>
      <w:r>
        <w:rPr>
          <w:rStyle w:val="Hyperlink.1"/>
          <w:rtl w:val="0"/>
          <w:lang w:val="en-US"/>
        </w:rPr>
        <w:t>–</w:t>
      </w:r>
      <w:r>
        <w:rPr>
          <w:rStyle w:val="Hyperlink.1"/>
          <w:rtl w:val="0"/>
          <w:lang w:val="en-US"/>
        </w:rPr>
        <w:t>D745. https://doi.org/10.1093/nar/gkv1189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Ostrow, S. L., Barshir, R., DeGregori, J., Yeger-Lotem, E., &amp; Hershberg, R., 2014.</w:t>
      </w:r>
      <w:r>
        <w:rPr>
          <w:rStyle w:val="Hyperlink.1"/>
          <w:rtl w:val="0"/>
          <w:lang w:val="en-US"/>
        </w:rPr>
        <w:t xml:space="preserve"> Cancer evolution is associated with pervasive positive selection on globally expressed genes.</w:t>
      </w:r>
      <w:r>
        <w:rPr>
          <w:rStyle w:val="None"/>
          <w:rFonts w:ascii="Times New Roman" w:hAnsi="Times New Roman"/>
          <w:i w:val="1"/>
          <w:iCs w:val="1"/>
          <w:kern w:val="0"/>
          <w:sz w:val="24"/>
          <w:szCs w:val="24"/>
          <w:rtl w:val="0"/>
          <w:lang w:val="en-US"/>
        </w:rPr>
        <w:t xml:space="preserve"> PLoS Genetics,</w:t>
      </w:r>
      <w:r>
        <w:rPr>
          <w:rStyle w:val="Hyperlink.1"/>
          <w:rtl w:val="0"/>
          <w:lang w:val="en-US"/>
        </w:rPr>
        <w:t xml:space="preserve"> 10(3), e1004239. https://doi.org/10.1371/journal.pgen.1004239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Park, J. H., Zhuang, J., Li, J., &amp; Hwang, P. M., 2016</w:t>
      </w:r>
      <w:r>
        <w:rPr>
          <w:rStyle w:val="Hyperlink.1"/>
          <w:rtl w:val="0"/>
          <w:lang w:val="en-US"/>
        </w:rPr>
        <w:t xml:space="preserve">. p53 as guardian of the mitochondrial genome. </w:t>
      </w:r>
      <w:r>
        <w:rPr>
          <w:rStyle w:val="None"/>
          <w:rFonts w:ascii="Times New Roman" w:hAnsi="Times New Roman"/>
          <w:i w:val="1"/>
          <w:iCs w:val="1"/>
          <w:kern w:val="0"/>
          <w:sz w:val="24"/>
          <w:szCs w:val="24"/>
          <w:rtl w:val="0"/>
          <w:lang w:val="en-US"/>
        </w:rPr>
        <w:t>FEBS Letters,</w:t>
      </w:r>
      <w:r>
        <w:rPr>
          <w:rStyle w:val="Hyperlink.1"/>
          <w:rtl w:val="0"/>
          <w:lang w:val="en-US"/>
        </w:rPr>
        <w:t xml:space="preserve"> 590(7), 924</w:t>
      </w:r>
      <w:r>
        <w:rPr>
          <w:rStyle w:val="Hyperlink.1"/>
          <w:rtl w:val="0"/>
          <w:lang w:val="en-US"/>
        </w:rPr>
        <w:t>–</w:t>
      </w:r>
      <w:r>
        <w:rPr>
          <w:rStyle w:val="Hyperlink.1"/>
          <w:rtl w:val="0"/>
          <w:lang w:val="en-US"/>
        </w:rPr>
        <w:t>934. https://doi.org/10.1002/1873-3468.12061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Schr</w:t>
      </w:r>
      <w:r>
        <w:rPr>
          <w:rStyle w:val="None"/>
          <w:rFonts w:ascii="Times New Roman" w:hAnsi="Times New Roman" w:hint="default"/>
          <w:b w:val="1"/>
          <w:bCs w:val="1"/>
          <w:kern w:val="0"/>
          <w:sz w:val="24"/>
          <w:szCs w:val="24"/>
          <w:rtl w:val="0"/>
          <w:lang w:val="en-US"/>
        </w:rPr>
        <w:t>ö</w:t>
      </w:r>
      <w:r>
        <w:rPr>
          <w:rStyle w:val="None"/>
          <w:rFonts w:ascii="Times New Roman" w:hAnsi="Times New Roman"/>
          <w:b w:val="1"/>
          <w:bCs w:val="1"/>
          <w:kern w:val="0"/>
          <w:sz w:val="24"/>
          <w:szCs w:val="24"/>
          <w:rtl w:val="0"/>
          <w:lang w:val="en-US"/>
        </w:rPr>
        <w:t>dinger, LLC., 2015</w:t>
      </w:r>
      <w:r>
        <w:rPr>
          <w:rStyle w:val="Hyperlink.1"/>
          <w:rtl w:val="0"/>
          <w:lang w:val="en-US"/>
        </w:rPr>
        <w:t xml:space="preserve">. The PyMOL Molecular Graphics System (Version 1.8) [Computer software]. </w:t>
      </w:r>
      <w:r>
        <w:rPr>
          <w:rStyle w:val="None"/>
          <w:rFonts w:ascii="Times New Roman" w:hAnsi="Times New Roman"/>
          <w:i w:val="1"/>
          <w:iCs w:val="1"/>
          <w:kern w:val="0"/>
          <w:sz w:val="24"/>
          <w:szCs w:val="24"/>
          <w:rtl w:val="0"/>
          <w:lang w:val="en-US"/>
        </w:rPr>
        <w:t>Schr</w:t>
      </w:r>
      <w:r>
        <w:rPr>
          <w:rStyle w:val="None"/>
          <w:rFonts w:ascii="Times New Roman" w:hAnsi="Times New Roman" w:hint="default"/>
          <w:i w:val="1"/>
          <w:iCs w:val="1"/>
          <w:kern w:val="0"/>
          <w:sz w:val="24"/>
          <w:szCs w:val="24"/>
          <w:rtl w:val="0"/>
          <w:lang w:val="en-US"/>
        </w:rPr>
        <w:t>ö</w:t>
      </w:r>
      <w:r>
        <w:rPr>
          <w:rStyle w:val="None"/>
          <w:rFonts w:ascii="Times New Roman" w:hAnsi="Times New Roman"/>
          <w:i w:val="1"/>
          <w:iCs w:val="1"/>
          <w:kern w:val="0"/>
          <w:sz w:val="24"/>
          <w:szCs w:val="24"/>
          <w:rtl w:val="0"/>
          <w:lang w:val="en-US"/>
        </w:rPr>
        <w:t>dinger</w:t>
      </w:r>
      <w:r>
        <w:rPr>
          <w:rStyle w:val="Hyperlink.1"/>
          <w:rtl w:val="0"/>
          <w:lang w:val="en-US"/>
        </w:rPr>
        <w:t>, LLC.</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Seluanov, A., Hine, C., Azpurua, J., et al., 2009.</w:t>
      </w:r>
      <w:r>
        <w:rPr>
          <w:rStyle w:val="Hyperlink.1"/>
          <w:rtl w:val="0"/>
          <w:lang w:val="en-US"/>
        </w:rPr>
        <w:t xml:space="preserve"> Hypersensitivity to contact inhibition provides a clue to cancer resistance of naked mole rat. </w:t>
      </w:r>
      <w:r>
        <w:rPr>
          <w:rStyle w:val="None"/>
          <w:rFonts w:ascii="Times New Roman" w:hAnsi="Times New Roman"/>
          <w:i w:val="1"/>
          <w:iCs w:val="1"/>
          <w:kern w:val="0"/>
          <w:sz w:val="24"/>
          <w:szCs w:val="24"/>
          <w:rtl w:val="0"/>
          <w:lang w:val="en-US"/>
        </w:rPr>
        <w:t xml:space="preserve">Proceedings of the National Academy of Sciences, </w:t>
      </w:r>
      <w:r>
        <w:rPr>
          <w:rStyle w:val="Hyperlink.1"/>
          <w:rtl w:val="0"/>
          <w:lang w:val="en-US"/>
        </w:rPr>
        <w:t>106(46), 19352</w:t>
      </w:r>
      <w:r>
        <w:rPr>
          <w:rStyle w:val="Hyperlink.1"/>
          <w:rtl w:val="0"/>
          <w:lang w:val="en-US"/>
        </w:rPr>
        <w:t>–</w:t>
      </w:r>
      <w:r>
        <w:rPr>
          <w:rStyle w:val="Hyperlink.1"/>
          <w:rtl w:val="0"/>
          <w:lang w:val="en-US"/>
        </w:rPr>
        <w:t>19357. https :// doi. org /10. 1073/pnas.0905252106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Suyama, M., Torrents, D., &amp; Bork, P.,</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2006.</w:t>
      </w:r>
      <w:r>
        <w:rPr>
          <w:rStyle w:val="Hyperlink.1"/>
          <w:rtl w:val="0"/>
          <w:lang w:val="en-US"/>
        </w:rPr>
        <w:t xml:space="preserve"> PAL2NAL: Robust conversion of protein sequence alignments into the corresponding codon alignments. </w:t>
      </w:r>
      <w:r>
        <w:rPr>
          <w:rStyle w:val="None"/>
          <w:rFonts w:ascii="Times New Roman" w:hAnsi="Times New Roman"/>
          <w:i w:val="1"/>
          <w:iCs w:val="1"/>
          <w:kern w:val="0"/>
          <w:sz w:val="24"/>
          <w:szCs w:val="24"/>
          <w:rtl w:val="0"/>
          <w:lang w:val="en-US"/>
        </w:rPr>
        <w:t>Nucleic Acids Research</w:t>
      </w:r>
      <w:r>
        <w:rPr>
          <w:rStyle w:val="Hyperlink.1"/>
          <w:rtl w:val="0"/>
          <w:lang w:val="en-US"/>
        </w:rPr>
        <w:t>, 34(Web Server issue), W609</w:t>
      </w:r>
      <w:r>
        <w:rPr>
          <w:rStyle w:val="Hyperlink.1"/>
          <w:rtl w:val="0"/>
          <w:lang w:val="en-US"/>
        </w:rPr>
        <w:t>–</w:t>
      </w:r>
      <w:r>
        <w:rPr>
          <w:rStyle w:val="Hyperlink.1"/>
          <w:rtl w:val="0"/>
          <w:lang w:val="en-US"/>
        </w:rPr>
        <w:t>W612. https://doi.org/10.1093/nar/gkl315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Tian, X., Azpurua, J., Hine, C., et al., 2013</w:t>
      </w:r>
      <w:r>
        <w:rPr>
          <w:rStyle w:val="Hyperlink.1"/>
          <w:rtl w:val="0"/>
          <w:lang w:val="en-US"/>
        </w:rPr>
        <w:t xml:space="preserve">. High-molecular-mass hyaluronan mediates the cancer resistance of the naked mole rat. </w:t>
      </w:r>
      <w:r>
        <w:rPr>
          <w:rStyle w:val="None"/>
          <w:rFonts w:ascii="Times New Roman" w:hAnsi="Times New Roman"/>
          <w:i w:val="1"/>
          <w:iCs w:val="1"/>
          <w:kern w:val="0"/>
          <w:sz w:val="24"/>
          <w:szCs w:val="24"/>
          <w:rtl w:val="0"/>
          <w:lang w:val="en-US"/>
        </w:rPr>
        <w:t>Nature,</w:t>
      </w:r>
      <w:r>
        <w:rPr>
          <w:rStyle w:val="Hyperlink.1"/>
          <w:rtl w:val="0"/>
          <w:lang w:val="en-US"/>
        </w:rPr>
        <w:t xml:space="preserve"> 499(7458), 346</w:t>
      </w:r>
      <w:r>
        <w:rPr>
          <w:rStyle w:val="Hyperlink.1"/>
          <w:rtl w:val="0"/>
          <w:lang w:val="en-US"/>
        </w:rPr>
        <w:t>–</w:t>
      </w:r>
      <w:r>
        <w:rPr>
          <w:rStyle w:val="Hyperlink.1"/>
          <w:rtl w:val="0"/>
          <w:lang w:val="en-US"/>
        </w:rPr>
        <w:t>349. https://doi.org/10.1038/nature12234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Voskarides, K., &amp; Giannopoulou, N.,</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2023</w:t>
      </w:r>
      <w:r>
        <w:rPr>
          <w:rStyle w:val="Hyperlink.1"/>
          <w:rtl w:val="0"/>
          <w:lang w:val="en-US"/>
        </w:rPr>
        <w:t>. The role of TP53 in adaptation and evolution. Cells, 12(3), 512. https://doi.org/10.3390/cells12030512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Yang, Z., (2007).</w:t>
      </w:r>
      <w:r>
        <w:rPr>
          <w:rStyle w:val="Hyperlink.1"/>
          <w:rtl w:val="0"/>
          <w:lang w:val="en-US"/>
        </w:rPr>
        <w:t xml:space="preserve"> PAML 4: Phylogenetic analysis by maximum likelihood. </w:t>
      </w:r>
      <w:r>
        <w:rPr>
          <w:rStyle w:val="None"/>
          <w:rFonts w:ascii="Times New Roman" w:hAnsi="Times New Roman"/>
          <w:i w:val="1"/>
          <w:iCs w:val="1"/>
          <w:kern w:val="0"/>
          <w:sz w:val="24"/>
          <w:szCs w:val="24"/>
          <w:rtl w:val="0"/>
          <w:lang w:val="en-US"/>
        </w:rPr>
        <w:t>Molecular Biology and Evolution,</w:t>
      </w:r>
      <w:r>
        <w:rPr>
          <w:rStyle w:val="Hyperlink.1"/>
          <w:rtl w:val="0"/>
          <w:lang w:val="en-US"/>
        </w:rPr>
        <w:t xml:space="preserve"> 24(8), 1586</w:t>
      </w:r>
      <w:r>
        <w:rPr>
          <w:rStyle w:val="Hyperlink.1"/>
          <w:rtl w:val="0"/>
          <w:lang w:val="en-US"/>
        </w:rPr>
        <w:t>–</w:t>
      </w:r>
      <w:r>
        <w:rPr>
          <w:rStyle w:val="Hyperlink.1"/>
          <w:rtl w:val="0"/>
          <w:lang w:val="en-US"/>
        </w:rPr>
        <w:t>1591. https://doi.org/10.1093/molbev/msm088</w:t>
      </w:r>
    </w:p>
    <w:p>
      <w:pPr>
        <w:pStyle w:val="Normal (Web)"/>
        <w:spacing w:after="0" w:line="360" w:lineRule="auto"/>
        <w:jc w:val="cente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DIVERSITY AND SEASONAL POPULATION DYNAMICS OF INSECT FAUNA ASSOCIATED WITH AGRICULTURAL ECOSYSTEM IN THOOTHUKUDI DISTRICT OF TAMIL NADU</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Thanasing</w:t>
      </w:r>
      <w:r>
        <w:rPr>
          <w:rStyle w:val="None"/>
          <w:rFonts w:ascii="Times New Roman" w:hAnsi="Times New Roman"/>
          <w:i w:val="1"/>
          <w:iCs w:val="1"/>
          <w:kern w:val="0"/>
          <w:sz w:val="24"/>
          <w:szCs w:val="24"/>
          <w:rtl w:val="0"/>
          <w:lang w:val="en-US"/>
        </w:rPr>
        <w:t>,G.</w:t>
      </w:r>
      <w:r>
        <w:rPr>
          <w:rStyle w:val="None"/>
          <w:rFonts w:ascii="Times New Roman" w:hAnsi="Times New Roman"/>
          <w:i w:val="1"/>
          <w:iCs w:val="1"/>
          <w:kern w:val="0"/>
          <w:sz w:val="24"/>
          <w:szCs w:val="24"/>
          <w:vertAlign w:val="superscript"/>
          <w:rtl w:val="0"/>
          <w:lang w:val="en-US"/>
        </w:rPr>
        <w:t>1</w:t>
      </w:r>
    </w:p>
    <w:p>
      <w:pPr>
        <w:pStyle w:val="Normal.0"/>
        <w:spacing w:after="0" w:line="360" w:lineRule="auto"/>
        <w:jc w:val="both"/>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Research Assistant, Department of Animal Genetics and Breeding, Tamil Nadu Veterinary and Animal Science University, Tirunelveli - 358, Tamil Nadu, India</w:t>
      </w:r>
      <w:r>
        <w:rPr>
          <w:rStyle w:val="None"/>
          <w:rFonts w:ascii="Times New Roman" w:hAnsi="Times New Roman"/>
          <w:i w:val="1"/>
          <w:iCs w:val="1"/>
          <w:kern w:val="0"/>
          <w:sz w:val="24"/>
          <w:szCs w:val="24"/>
          <w:rtl w:val="0"/>
          <w:lang w:val="en-US"/>
        </w:rPr>
        <w: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study documents biodiversity and distribution of entomofaunal complex in an agroecosystem, located in Thoothukudi District of Tamil Nadu. The study focused on comparing the diversity of insects across agroecosystem by focusing on the dominant orders like Coleoptera, Hymenoptera, Lepidoptera, and Diptera. Insect population data was obtained through systematic as well as random sampling. It was achieved with the use of light traps, collecting nets, jars, and forceps, among others. Meteorological information such as temperature, humidity, and pressure is recorded in assessing their effect on insect diversity and distribution. It applied species richness, diversity indices, and similarity indices, where statistical analysis helped to determine quantification of biodiversity and to discuss ecosystem-specific differences.</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study has involved the analyses of the Coleoptera (beetles), Orthoptera (grasshoppers and crickets), Odonata (dragonflies and damselflies), Hemiptera (true bugs), Blattaria (cockroaches), Homoptera (cicadas, aphids, and leafhoppers), Lepidoptera (butterflies and moths), Hymenoptera (ants, bees, and wasps), and Diptera (flies) orders, with their respective taxonomic families, genera, species, and total individual counts. From the agroecosystem, a total of 10 orders of insects were documented; these included 65 families, 159 genera, and 163 species. Table 1 depicts the species and genera of each order Coleoptera, Orthoptera, Donates, Isoptera, Hemiptera, Blattaria, Homoptera, Lepidoptera, Hymenoptera, and Diptera.</w:t>
      </w:r>
    </w:p>
    <w:p>
      <w:pPr>
        <w:pStyle w:val="Normal.0"/>
        <w:spacing w:after="0" w:line="360" w:lineRule="auto"/>
        <w:jc w:val="both"/>
        <w:rPr>
          <w:rStyle w:val="None"/>
          <w:rFonts w:ascii="Times New Roman" w:cs="Times New Roman" w:hAnsi="Times New Roman" w:eastAsia="Times New Roman"/>
          <w:i w:val="1"/>
          <w:iCs w:val="1"/>
          <w:outline w:val="0"/>
          <w:color w:val="000000"/>
          <w:kern w:val="0"/>
          <w:u w:color="000000"/>
          <w14:textFill>
            <w14:solidFill>
              <w14:srgbClr w14:val="000000"/>
            </w14:solidFill>
          </w14:textFill>
        </w:rPr>
      </w:pPr>
      <w:r>
        <w:rPr>
          <w:rStyle w:val="None"/>
          <w:rFonts w:ascii="Times New Roman" w:hAnsi="Times New Roman"/>
          <w:b w:val="1"/>
          <w:bCs w:val="1"/>
          <w:i w:val="1"/>
          <w:iCs w:val="1"/>
          <w:kern w:val="0"/>
          <w:sz w:val="24"/>
          <w:szCs w:val="24"/>
          <w:rtl w:val="0"/>
          <w:lang w:val="en-US"/>
        </w:rPr>
        <w:t xml:space="preserve">Keywords: </w:t>
      </w:r>
      <w:r>
        <w:rPr>
          <w:rStyle w:val="None"/>
          <w:rFonts w:ascii="Times New Roman" w:hAnsi="Times New Roman"/>
          <w:i w:val="1"/>
          <w:iCs w:val="1"/>
          <w:kern w:val="0"/>
          <w:sz w:val="24"/>
          <w:szCs w:val="24"/>
          <w:rtl w:val="0"/>
          <w:lang w:val="en-US"/>
        </w:rPr>
        <w:t xml:space="preserve">Entomofauna, biodiversity, distribution, </w:t>
      </w:r>
      <w:r>
        <w:rPr>
          <w:rStyle w:val="None"/>
          <w:rFonts w:ascii="Times New Roman" w:hAnsi="Times New Roman"/>
          <w:i w:val="1"/>
          <w:iCs w:val="1"/>
          <w:kern w:val="0"/>
          <w:sz w:val="24"/>
          <w:szCs w:val="24"/>
          <w:rtl w:val="0"/>
          <w:lang w:val="en-US"/>
        </w:rPr>
        <w:t>A</w:t>
      </w:r>
      <w:r>
        <w:rPr>
          <w:rStyle w:val="None"/>
          <w:rFonts w:ascii="Times New Roman" w:hAnsi="Times New Roman"/>
          <w:i w:val="1"/>
          <w:iCs w:val="1"/>
          <w:kern w:val="0"/>
          <w:sz w:val="24"/>
          <w:szCs w:val="24"/>
          <w:rtl w:val="0"/>
          <w:lang w:val="en-US"/>
        </w:rPr>
        <w:t xml:space="preserve">groecosystem, light trap, </w:t>
      </w:r>
      <w:r>
        <w:rPr>
          <w:rStyle w:val="None"/>
          <w:rFonts w:ascii="Times New Roman" w:hAnsi="Times New Roman"/>
          <w:i w:val="1"/>
          <w:iCs w:val="1"/>
          <w:kern w:val="0"/>
          <w:sz w:val="24"/>
          <w:szCs w:val="24"/>
          <w:rtl w:val="0"/>
          <w:lang w:val="en-US"/>
        </w:rPr>
        <w:t>T</w:t>
      </w:r>
      <w:r>
        <w:rPr>
          <w:rStyle w:val="None"/>
          <w:rFonts w:ascii="Times New Roman" w:hAnsi="Times New Roman"/>
          <w:i w:val="1"/>
          <w:iCs w:val="1"/>
          <w:kern w:val="0"/>
          <w:sz w:val="24"/>
          <w:szCs w:val="24"/>
          <w:rtl w:val="0"/>
          <w:lang w:val="en-US"/>
        </w:rPr>
        <w:t>hoothukudi.</w:t>
      </w:r>
      <w:r>
        <w:rPr>
          <w:rStyle w:val="None"/>
          <w:rFonts w:ascii="Times New Roman" w:hAnsi="Times New Roman" w:hint="default"/>
          <w:i w:val="1"/>
          <w:iCs w:val="1"/>
          <w:kern w:val="0"/>
          <w:sz w:val="24"/>
          <w:szCs w:val="24"/>
          <w:rtl w:val="0"/>
          <w:lang w:val="en-US"/>
        </w:rPr>
        <w:t>  </w:t>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r>
        <w:rPr>
          <w:rStyle w:val="None"/>
          <w:rFonts w:ascii="Times New Roman" w:cs="Times New Roman" w:hAnsi="Times New Roman" w:eastAsia="Times New Roman"/>
          <w:b w:val="1"/>
          <w:bCs w:val="1"/>
          <w:outline w:val="0"/>
          <w:color w:val="000000"/>
          <w:kern w:val="0"/>
          <w:sz w:val="24"/>
          <w:szCs w:val="24"/>
          <w:u w:color="000000"/>
          <w:rtl w:val="0"/>
          <w14:textFill>
            <w14:solidFill>
              <w14:srgbClr w14:val="000000"/>
            </w14:solidFill>
          </w14:textFill>
        </w:rPr>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Biodiversity has significant social and cultural value in addition to ecological significance. For example, indigenous communities have intricate relationships with their natural surroundings, depending on a variety of ecosystems for both cultural practices and sustenance.</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diversity of insects found in agroecosystems supports ecosystem services that are advantageous to agriculture. Beneficial insects that prey on pests that can harm crops, such as parasitoids and natural predators, are essential to biological control. Sustaining a varied community of beneficial insects improves natural pest control, lowering the demand for chemical treatments and encouraging environmentally friendly agricultural methods.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present research paper focuses the subject from the point of view of biodiversity and distribution of insects of chosen orders across the tiruchendur Agroecosystem, in Thoothukudi District of Tamil Nadu, South India.</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Study Area</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r>
        <w:rPr>
          <w:rStyle w:val="Hyperlink.1"/>
          <w:rtl w:val="0"/>
          <w:lang w:val="en-US"/>
        </w:rPr>
        <w:t>The study area includes agroecosystem is located at Tiruchendur, 32 k.m South-West of Thoothukudi (8.49</w:t>
      </w:r>
      <w:r>
        <w:rPr>
          <w:rStyle w:val="None"/>
          <w:rFonts w:ascii="Times New Roman" w:hAnsi="Times New Roman" w:hint="default"/>
          <w:outline w:val="0"/>
          <w:color w:val="001d35"/>
          <w:kern w:val="0"/>
          <w:sz w:val="24"/>
          <w:szCs w:val="24"/>
          <w:u w:color="001d35"/>
          <w:shd w:val="clear" w:color="auto" w:fill="ffffff"/>
          <w:rtl w:val="0"/>
          <w:lang w:val="en-US"/>
          <w14:textFill>
            <w14:solidFill>
              <w14:srgbClr w14:val="001D35"/>
            </w14:solidFill>
          </w14:textFill>
        </w:rPr>
        <w:t>°</w:t>
      </w:r>
      <w:r>
        <w:rPr>
          <w:rStyle w:val="Hyperlink.1"/>
          <w:rtl w:val="0"/>
          <w:lang w:val="en-US"/>
        </w:rPr>
        <w:t xml:space="preserve"> N, 78.11</w:t>
      </w:r>
      <w:r>
        <w:rPr>
          <w:rStyle w:val="None"/>
          <w:rFonts w:ascii="Times New Roman" w:hAnsi="Times New Roman" w:hint="default"/>
          <w:outline w:val="0"/>
          <w:color w:val="001d35"/>
          <w:kern w:val="0"/>
          <w:sz w:val="24"/>
          <w:szCs w:val="24"/>
          <w:u w:color="001d35"/>
          <w:shd w:val="clear" w:color="auto" w:fill="ffffff"/>
          <w:rtl w:val="0"/>
          <w:lang w:val="en-US"/>
          <w14:textFill>
            <w14:solidFill>
              <w14:srgbClr w14:val="001D35"/>
            </w14:solidFill>
          </w14:textFill>
        </w:rPr>
        <w:t>°</w:t>
      </w:r>
      <w:r>
        <w:rPr>
          <w:rStyle w:val="Hyperlink.1"/>
          <w:rtl w:val="0"/>
          <w:lang w:val="en-US"/>
        </w:rPr>
        <w:t xml:space="preserve"> E). Tiruchendur is a dynamic agricultural district with many crops being cultivated there. It is located in the Tuticorin District of Tamil Nadu, India. The following section discusses several topics associated with the Tiruchendur agroecosystem, including soil properties, crops that are farmed, climate, irrigation methods, and pest control strategies. It is vast stretches (77acres) of agricultural land are there in tiruchendur. Appropriately managed agricultural, horticultural and fruit cultivating practices are going on in here.</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 wide variety of crops are grown in the variety of farmlands that constitute Tiruchendur's agricultural landscape. The agricultural diversity of the region can be seen in the prevalence of rice paddies, coconut palms, and vegetable fields. Coconut groves thrive on sandy loam soils while near the shore, but rice farming is common in low-lying places where adequate water is available. Vegetable fields are cultivated for many crops, including tomatoes, brinjal, and okra (ladyfinger), which are grown both in commercial and subsistence agricultural practices.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the present study, biodiversity was studied for insect species belonging to ten important orders viz. Odonata, Orthoptera, Diptera Isoptera, Blattaria, Hemiptera, Homoptera, Coleoptera, Lepidoptera and Hymenoptera. These orders were chosen on the rationale of their economic importance as pest insects such as caterpillars, grasshoppers, grubs of beetles and aphids; as predatory forms such as reduviids and dragon flies; as beneficial insects such as honey bees that are essential for pollination and as vectors such as flies, which are categorized as important transmitters of some communicable diseases.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Entomological inquiry necessitates the collection of insects in order for scientists to document trends in species variety, abundance, and dispersion. To efficiently collect insects from various habitats and microhabitats, a variety of collection techniques are used. We will examine the nuances of insect collection techniques in this thorough tutorial, including collecting nets, light traps, jars, and forceps. Insect collections were carried out once in every fortnight between 6.00 a.m. and 6.00 p.m., in almost all the accessible microhabitats such as aerial, arboreal, litter, boulder bed etc. A light trap was also set in place to function from 6.00 p.m to 6.00 a.m. on the stipulated days of collections. The study was carried out from January 2024 to March 2025.</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Insects collected alive were killed and processed based on the reference of Manoj Kumar, (2022) and Rakesh Ranjan,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(2022).</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collections made are kept stored in the insectaries of the Zoology Research Unit, Aditanar College of Arts and Science, Tiruchendur, South India.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statistical analyses on parameter such as richness, diversity indices etc. were computed based on the recommendations of A.Ghani (2020).</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RESULTS AND DISCUSSION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w:t>
        <w:tab/>
        <w:t>Biodiversity and distribution of insects in Tiruchendur agroecosystem</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section provides the biodiversity and distribution of insects in the Tiruchendur agroecosystem gives a detailed examination of the different types of insect orders occurring in this environment. This study has involved the analyses of the Coleoptera (beetles), Orthoptera (grasshoppers and crickets), Odonata (dragonflies and damselflies), Hemiptera (true bugs), Blattaria (cockroaches), Homoptera (cicadas, aphids, and leafhoppers), Lepidoptera (butterflies and moths), Hymenoptera (ants, bees, and wasps), and Diptera (flies) orders, with their respective taxonomic families, genera, species, and total individual counts. From the agroecosystem, a total of 10 orders of insects were documented; these included 65 families, 159 genera, and 163 species. Table 1 depicts the species and genera of each order Coleoptera, Orthoptera, Donates, Isoptera, Hemiptera, Blattaria, Homoptera, Lepidoptera, Hymenoptera, and Diptera.</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3.2</w:t>
        <w:tab/>
        <w:t>Coleoptera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order Coleoptera comprises 19 families, 43 genera, and 46 species in total. Every family is described in further detail, including the number of genera and related species that it includes. For example, the Coccinellidae family has four genera and four species, whereas the Carabidae family has nine genera and ten species.</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3.3</w:t>
        <w:tab/>
        <w:t>Orthoptera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There are 20 species, 16 genera, and 5 families that make up the Orthoptera order. There are two genera and two species in the Tettigoniidae family and two genera and four species in the Gryllidae family. There are two genera and two species in the Gryllotalpidae family. Ten genera and ten species make up the Acrididae family, which is the most diversified. Lastly, there is only one species and one genus in the Tetrigidae family.</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3.4</w:t>
        <w:tab/>
        <w:t>Odonata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Order Odonata, which is divided into 3 families: Coenagrionidae, Aeshnidae, and Libellulidae. There are 12 genera and 15 species in total. The Coenagrionidae family has only 1 genus, Ischnura, with 2 species, aurora and coromandelianuin. The Aeshnidae family is represented by only 1 genus, Anax, with 1 species. The Libellulidae family is the most diverse, consisting of 10 genera and 12 species, including trivialis, fiavescens, sabina, and others. This overview has shown that the order Odonata is rather diverse, especially with the family Libellulidae being quite rich in genera and species.</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3.5</w:t>
        <w:tab/>
        <w:t>Isoptera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order Isoptera are social insects with a complex system of nests, as well as wood decomposing insects. Under the family of Termitidae, it identifies the genus as Microtermes. In the genus Microtermes, there exist two species. The Numberical summary shows that it contains one order (Isoptera), one family (Termitidae), one genus (Microtermes), and two species (Microtermesobesi and Microtermesbiformis).</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3.6</w:t>
        <w:tab/>
        <w:t>Hemiptera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highest taxonomic rank in the hierarchy is order Hemiptera, which groups all true bugs. This order has 9 families: Cydnidae, Pentatomidae, Coreidae, Gerridae, Aradidae, Lygaeidae, Pyrrhocoridae, Reduviidae, and Belostomatidae. These are sub-divided into 22 genera: Pangaeus, Calidea, Homerus, Homocerus, and many more, which form closely related species. There are 22 species found in this genera.</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3.7</w:t>
        <w:tab/>
        <w:t>Blattaria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Blattellidae family is classified into three genera, namely, Blafella, Neoloboptera, and Supellectilium. Each genus contains one species that falls under it, such as Blafellahumbertiana, Neo lobopterachakrabortyi, and supellectilium, respectively. Such classification reflects the exact category into which these cockroach species fall; they all belong to the Blattellidae family of the order Blattaria.</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3.8</w:t>
        <w:tab/>
        <w:t>Homoptera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order Homoptera, which includes cicadas, aphids, scale insects, and leafhoppers. Within this order, the data identifies five families: Cicadidae, Lophophidae, Cicadellidae, Aleyrodidae, and Flatidae. These families are further divided into six genera: Nephotettix, Pyrilla, Baiclutha, Cofana, Aleyrodicus, and Anormenis. Each genus is represented by one or two species, such as Nephotettix virescens, Cofana spectra, and Aleyrodicusdispersus.</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3.9</w:t>
        <w:tab/>
        <w:t>Lepidoptera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order Lepidoptera represents the highest taxonomic rank for these insects comprises of 13 different families within Lepidoptera, such as Pyraustidae, Pyralidae, Arctiidae, and Noctuidae, each grouping genera that share common characteristics. Within these families, there are 30 genera, including Tryporyza, Scirpophaga, Maruca, and Papilio, among others. These genera encompass 33 distinct species, each representing a group of organisms capable of interbreeding and producing fertile offspring.</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3.10</w:t>
        <w:tab/>
        <w:t>Hymenoptera</w:t>
      </w:r>
    </w:p>
    <w:p>
      <w:pPr>
        <w:pStyle w:val="Normal.0"/>
        <w:spacing w:after="0" w:line="360" w:lineRule="auto"/>
        <w:ind w:firstLine="720"/>
        <w:jc w:val="both"/>
        <w:rPr>
          <w:rStyle w:val="Hyperlink.1"/>
        </w:rPr>
      </w:pPr>
      <w:r>
        <w:rPr>
          <w:rStyle w:val="Hyperlink.1"/>
          <w:rtl w:val="0"/>
          <w:lang w:val="en-US"/>
        </w:rPr>
        <w:t>Hymenoptera, the scientific order encompassing ants, bees, wasps, and sawflies, is known for its unique wing structure and complex social behaviors in many species. The provided data classifies various Hymenoptera species into 9 different families, 14 genera, and 16 species, highlighting the significant diversity within this order. Key families include Formicidae, which consists of ants like Camponotus, Solenopsis, and Dorylus; Ichneumonidae, known for parasitic ichneumon wasps; and Apidae, which includes honey bees and bumblebees. Other notable families are Sphecidae (spider wasps), Vespidae (social wasps and hornets), Halictidae (sweat bees), Xylocopidae (carpenter bees), Scoliidae (scoliid wasps), and Anthophoridae (woolly carder bees).</w:t>
      </w:r>
    </w:p>
    <w:p>
      <w:pPr>
        <w:pStyle w:val="Normal.0"/>
        <w:spacing w:after="0" w:line="360" w:lineRule="auto"/>
        <w:ind w:firstLine="720"/>
        <w:jc w:val="both"/>
        <w:rPr>
          <w:rStyle w:val="Hyperlink.1"/>
        </w:rPr>
      </w:pP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3.11</w:t>
        <w:tab/>
        <w:t>Diptera</w:t>
      </w:r>
    </w:p>
    <w:p>
      <w:pPr>
        <w:pStyle w:val="Normal.0"/>
        <w:spacing w:after="0" w:line="360" w:lineRule="auto"/>
        <w:ind w:firstLine="720"/>
        <w:jc w:val="both"/>
        <w:rPr>
          <w:rStyle w:val="None"/>
          <w:rFonts w:ascii="Times New Roman" w:cs="Times New Roman" w:hAnsi="Times New Roman" w:eastAsia="Times New Roman"/>
          <w:kern w:val="0"/>
        </w:rPr>
      </w:pPr>
      <w:r>
        <w:rPr>
          <w:rStyle w:val="Hyperlink.1"/>
          <w:rtl w:val="0"/>
          <w:lang w:val="en-US"/>
        </w:rPr>
        <w:t>The order Diptera, which encompasses all flies. Within this order, the focus is on the Tabanidae family, a group known for its various types of biting flies. The genus Tabanus is highlighted within this family, and the species identified is Tabanus atratus.</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List of insect species recorded in Tiruchendur Agroecosystem                                     from January 2024 to March 2025.</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Coleoptera</w:t>
      </w:r>
    </w:p>
    <w:tbl>
      <w:tblPr>
        <w:tblW w:w="5507"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30"/>
        <w:gridCol w:w="3877"/>
      </w:tblGrid>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Cicindelidae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Cicindelasexpunctata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 sumatrensis Herbst</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Carabidae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Eustra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DryptalineolaMacleayDiypta sp.</w:t>
            </w:r>
            <w:r>
              <w:rPr>
                <w:rStyle w:val="None"/>
                <w:rFonts w:ascii="Times New Roman" w:hAnsi="Times New Roman" w:hint="default"/>
                <w:i w:val="1"/>
                <w:iCs w:val="1"/>
                <w:kern w:val="0"/>
                <w:sz w:val="24"/>
                <w:szCs w:val="24"/>
                <w:shd w:val="nil" w:color="auto" w:fill="auto"/>
                <w:rtl w:val="0"/>
                <w:lang w:val="en-US"/>
              </w:rPr>
              <w:t> </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Ophionia indica Thunberg.</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Zuphium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Poecilusspi.</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Dicaelus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Omphrahirta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Harpalus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Microcephalus</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Paranchusalbipes</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Dytiscidae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Dytiscus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Paussidae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Paussushearseyanus</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Westwood</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Hydrophilidae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Sternolophusrufipes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Hydrophiluspiceus</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Staphylinidae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Cryptobium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Osorius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Pinophilus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Elateridae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Melanotushirticornis H.</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Nitidulidae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Nitidula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Erotylidae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Erotylicus.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Coccinellid</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 cardoni (Voise)</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Coccinella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Cheilomenessexmaculatus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Hormoniaoctomaculata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Bostrichidae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Apatemonacha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Tenebrionid</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Gonocephalurnsp .2</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Scarabaeidae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Onthophagus bonasus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0. sagittarius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Apogonia sp.3</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Lacnosterna serrata (Blanch.)</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Oryctes rhinoceros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Catharsius molossus L.</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Coprisrepertus Walker</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Heteronychusarator</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Cyclocephala</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Cerambycid</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Stromatiumbarbatum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Chrysomelida</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Rapidopalpafoveicollis (Lucas)</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Aulacophora intermedia</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Alticidae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Altica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Curculionid</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Myllocerusundecimpustulatus (Faust)</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R. palmarum</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Scolytidae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Oulemagallaeciana</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Cicinidelidae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Philonthuspolitus</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243f61"/>
          <w:kern w:val="0"/>
          <w:sz w:val="24"/>
          <w:szCs w:val="24"/>
          <w:u w:color="243f61"/>
          <w:rtl w:val="0"/>
          <w:lang w:val="en-US"/>
          <w14:textFill>
            <w14:solidFill>
              <w14:srgbClr w14:val="243F61"/>
            </w14:solidFill>
          </w14:textFill>
        </w:rPr>
        <w:t>Orthoptera</w:t>
      </w:r>
    </w:p>
    <w:p>
      <w:pPr>
        <w:pStyle w:val="Normal.0"/>
        <w:spacing w:after="0" w:line="360" w:lineRule="auto"/>
        <w:rPr>
          <w:rStyle w:val="None"/>
          <w:rFonts w:ascii="Times New Roman" w:cs="Times New Roman" w:hAnsi="Times New Roman" w:eastAsia="Times New Roman"/>
          <w:kern w:val="0"/>
          <w:sz w:val="24"/>
          <w:szCs w:val="24"/>
        </w:rPr>
      </w:pPr>
    </w:p>
    <w:tbl>
      <w:tblPr>
        <w:tblW w:w="549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44"/>
        <w:gridCol w:w="3850"/>
      </w:tblGrid>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Tettigoniida</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Phaneropteragracilis</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Holochiora sp-2</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Gryllidae</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Nemobius sp.</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Gryllus sp-1</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Gryllus sp-2</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Gryllus sp-3 (RTU)</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Gryllotalpidae</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Gryllotalpa sp.</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Neocurtillahexadactyla</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Acrididae</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Atractomorphacrenulata (F.)</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Atractomorpha sp.</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Anacridiumfiavescens (F.)</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Trilophidia annulata Thunberg.</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 turpis</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Orthacrismaindroni Bolivar</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Dittopternisvenusta (Walker)</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Spathosternumprasinzferum (Walker)</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Aiolopusthalassinus (F.)</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Eyprepocnemisalacrisalacris</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Acrida cinerea</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Tetrigidae</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Tetrix sp</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Odonata</w:t>
      </w:r>
    </w:p>
    <w:tbl>
      <w:tblPr>
        <w:tblW w:w="5293"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90"/>
        <w:gridCol w:w="3503"/>
      </w:tblGrid>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Coenagrionidae</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Ischnura aurora</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 coromandelianuin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Aeshnidae</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Anax sp.</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Libellulidae</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 trivialis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Pantala sp.</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 fiavescens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Orthetrumsabina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 pallidinervis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 tillarga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Trameabasilaris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 limbata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Crocothemis sp.</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 servilia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Lathrecista asiatica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Aethriamantabrevipennis</w:t>
            </w:r>
            <w:r>
              <w:rPr>
                <w:rStyle w:val="None"/>
                <w:rFonts w:ascii="Times New Roman" w:hAnsi="Times New Roman" w:hint="default"/>
                <w:i w:val="1"/>
                <w:iCs w:val="1"/>
                <w:kern w:val="0"/>
                <w:sz w:val="24"/>
                <w:szCs w:val="24"/>
                <w:shd w:val="nil" w:color="auto" w:fill="auto"/>
                <w:rtl w:val="0"/>
                <w:lang w:val="en-US"/>
              </w:rPr>
              <w:t xml:space="preserve">  </w:t>
            </w:r>
            <w:r>
              <w:rPr>
                <w:rStyle w:val="None"/>
                <w:rFonts w:ascii="Times New Roman" w:hAnsi="Times New Roman"/>
                <w:i w:val="1"/>
                <w:iCs w:val="1"/>
                <w:kern w:val="0"/>
                <w:sz w:val="24"/>
                <w:szCs w:val="24"/>
                <w:shd w:val="nil" w:color="auto" w:fill="auto"/>
                <w:rtl w:val="0"/>
                <w:lang w:val="en-US"/>
              </w:rPr>
              <w:t>Fraser.</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Isoptera</w:t>
      </w:r>
    </w:p>
    <w:tbl>
      <w:tblPr>
        <w:tblW w:w="4441"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4"/>
        <w:gridCol w:w="3157"/>
      </w:tblGrid>
      <w:tr>
        <w:tblPrEx>
          <w:shd w:val="clear" w:color="auto" w:fill="ced7e7"/>
        </w:tblPrEx>
        <w:trPr>
          <w:trHeight w:val="310" w:hRule="atLeast"/>
        </w:trPr>
        <w:tc>
          <w:tcPr>
            <w:tcW w:type="dxa" w:w="12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Termitidae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Microtermesobesi (Holmgren)</w:t>
            </w:r>
          </w:p>
        </w:tc>
      </w:tr>
      <w:tr>
        <w:tblPrEx>
          <w:shd w:val="clear" w:color="auto" w:fill="ced7e7"/>
        </w:tblPrEx>
        <w:trPr>
          <w:trHeight w:val="310" w:hRule="atLeast"/>
        </w:trPr>
        <w:tc>
          <w:tcPr>
            <w:tcW w:type="dxa" w:w="1284"/>
            <w:tcBorders>
              <w:top w:val="nil"/>
              <w:left w:val="nil"/>
              <w:bottom w:val="nil"/>
              <w:right w:val="nil"/>
            </w:tcBorders>
            <w:shd w:val="clear" w:color="auto" w:fill="auto"/>
            <w:tcMar>
              <w:top w:type="dxa" w:w="80"/>
              <w:left w:type="dxa" w:w="80"/>
              <w:bottom w:type="dxa" w:w="80"/>
              <w:right w:type="dxa" w:w="80"/>
            </w:tcMar>
            <w:vAlign w:val="bottom"/>
          </w:tcP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T.biformis</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Hemiptera</w:t>
      </w:r>
    </w:p>
    <w:tbl>
      <w:tblPr>
        <w:tblW w:w="4881"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4"/>
        <w:gridCol w:w="3157"/>
      </w:tblGrid>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Cydnidae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Pangaeusbilineatus (Say)</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Pentatomjda</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Calideadregii (Germar)</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Coreidae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Homerus signatus Walker.</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Homocerus sp.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Cletus sp.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Cletomorpha sp.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Leptocorisa acuta (Thunberg</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Gerridae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Gerris sp.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Aradidae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Aradus sp-1</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Lygaeidae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DiEchuniguttatum (Thunberg)</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Spilostethuspandurus (S cop.)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Spilostethussp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Pyrrhocorida</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Antilochus coqueberti (F.)</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Dysdercuscingulatus (F.)</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Reduviidae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Tribelocephala indica Walker</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Ectomocoriscordatus Wolff.</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Peirates sp.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 quadriguttatus F.</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 xml:space="preserve">Androcluspictus Herr </w:t>
            </w:r>
            <w:r>
              <w:rPr>
                <w:rStyle w:val="None"/>
                <w:rFonts w:ascii="Times New Roman" w:hAnsi="Times New Roman" w:hint="default"/>
                <w:i w:val="1"/>
                <w:iCs w:val="1"/>
                <w:kern w:val="0"/>
                <w:sz w:val="24"/>
                <w:szCs w:val="24"/>
                <w:shd w:val="nil" w:color="auto" w:fill="auto"/>
                <w:rtl w:val="0"/>
                <w:lang w:val="en-US"/>
              </w:rPr>
              <w:t>–</w:t>
            </w:r>
            <w:r>
              <w:rPr>
                <w:rStyle w:val="None"/>
                <w:rFonts w:ascii="Times New Roman" w:hAnsi="Times New Roman"/>
                <w:i w:val="1"/>
                <w:iCs w:val="1"/>
                <w:kern w:val="0"/>
                <w:sz w:val="24"/>
                <w:szCs w:val="24"/>
                <w:shd w:val="nil" w:color="auto" w:fill="auto"/>
                <w:rtl w:val="0"/>
                <w:lang w:val="en-US"/>
              </w:rPr>
              <w:t>Schiiff</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SirtheniaflavipesStl.</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Caunusfarinator Reuter</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Scadraannulicornis Reuter</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Belostomatidae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Spheroderma sp.</w:t>
            </w:r>
          </w:p>
        </w:tc>
      </w:tr>
    </w:tbl>
    <w:p>
      <w:pPr>
        <w:pStyle w:val="Normal.0"/>
        <w:widowControl w:val="0"/>
        <w:spacing w:after="0" w:line="240" w:lineRule="auto"/>
        <w:ind w:left="108" w:hanging="108"/>
        <w:jc w:val="center"/>
        <w:outlineLvl w:val="2"/>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outlineLvl w:val="2"/>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Blattaria</w:t>
      </w:r>
    </w:p>
    <w:tbl>
      <w:tblPr>
        <w:tblW w:w="391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24"/>
        <w:gridCol w:w="2790"/>
      </w:tblGrid>
      <w:tr>
        <w:tblPrEx>
          <w:shd w:val="clear" w:color="auto" w:fill="ced7e7"/>
        </w:tblPrEx>
        <w:trPr>
          <w:trHeight w:val="310" w:hRule="atLeast"/>
        </w:trPr>
        <w:tc>
          <w:tcPr>
            <w:tcW w:type="dxa" w:w="11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BIallidae</w:t>
            </w:r>
          </w:p>
        </w:tc>
        <w:tc>
          <w:tcPr>
            <w:tcW w:type="dxa" w:w="2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Blafellahumbertiana</w:t>
            </w:r>
          </w:p>
        </w:tc>
      </w:tr>
      <w:tr>
        <w:tblPrEx>
          <w:shd w:val="clear" w:color="auto" w:fill="ced7e7"/>
        </w:tblPrEx>
        <w:trPr>
          <w:trHeight w:val="310" w:hRule="atLeast"/>
        </w:trPr>
        <w:tc>
          <w:tcPr>
            <w:tcW w:type="dxa" w:w="1124"/>
            <w:tcBorders>
              <w:top w:val="nil"/>
              <w:left w:val="nil"/>
              <w:bottom w:val="nil"/>
              <w:right w:val="nil"/>
            </w:tcBorders>
            <w:shd w:val="clear" w:color="auto" w:fill="auto"/>
            <w:tcMar>
              <w:top w:type="dxa" w:w="80"/>
              <w:left w:type="dxa" w:w="80"/>
              <w:bottom w:type="dxa" w:w="80"/>
              <w:right w:type="dxa" w:w="80"/>
            </w:tcMar>
            <w:vAlign w:val="bottom"/>
          </w:tcPr>
          <w:p/>
        </w:tc>
        <w:tc>
          <w:tcPr>
            <w:tcW w:type="dxa" w:w="2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Neolobopterachakrabortyi</w:t>
            </w:r>
          </w:p>
        </w:tc>
      </w:tr>
      <w:tr>
        <w:tblPrEx>
          <w:shd w:val="clear" w:color="auto" w:fill="ced7e7"/>
        </w:tblPrEx>
        <w:trPr>
          <w:trHeight w:val="310" w:hRule="atLeast"/>
        </w:trPr>
        <w:tc>
          <w:tcPr>
            <w:tcW w:type="dxa" w:w="1124"/>
            <w:tcBorders>
              <w:top w:val="nil"/>
              <w:left w:val="nil"/>
              <w:bottom w:val="nil"/>
              <w:right w:val="nil"/>
            </w:tcBorders>
            <w:shd w:val="clear" w:color="auto" w:fill="auto"/>
            <w:tcMar>
              <w:top w:type="dxa" w:w="80"/>
              <w:left w:type="dxa" w:w="80"/>
              <w:bottom w:type="dxa" w:w="80"/>
              <w:right w:type="dxa" w:w="80"/>
            </w:tcMar>
            <w:vAlign w:val="bottom"/>
          </w:tcPr>
          <w:p/>
        </w:tc>
        <w:tc>
          <w:tcPr>
            <w:tcW w:type="dxa" w:w="2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 supellectilium</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Homoptera</w:t>
      </w:r>
    </w:p>
    <w:tbl>
      <w:tblPr>
        <w:tblW w:w="4667"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91"/>
        <w:gridCol w:w="3276"/>
      </w:tblGrid>
      <w:tr>
        <w:tblPrEx>
          <w:shd w:val="clear" w:color="auto" w:fill="ced7e7"/>
        </w:tblPrEx>
        <w:trPr>
          <w:trHeight w:val="310" w:hRule="atLeast"/>
        </w:trPr>
        <w:tc>
          <w:tcPr>
            <w:tcW w:type="dxa" w:w="1391"/>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Cicadeidae</w:t>
            </w:r>
          </w:p>
        </w:tc>
        <w:tc>
          <w:tcPr>
            <w:tcW w:type="dxa" w:w="327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Nephotettix virescens (Distant.)</w:t>
            </w:r>
          </w:p>
        </w:tc>
      </w:tr>
      <w:tr>
        <w:tblPrEx>
          <w:shd w:val="clear" w:color="auto" w:fill="ced7e7"/>
        </w:tblPrEx>
        <w:trPr>
          <w:trHeight w:val="310" w:hRule="atLeast"/>
        </w:trPr>
        <w:tc>
          <w:tcPr>
            <w:tcW w:type="dxa" w:w="1391"/>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Lophophida</w:t>
            </w:r>
          </w:p>
        </w:tc>
        <w:tc>
          <w:tcPr>
            <w:tcW w:type="dxa" w:w="327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Pyrilla sp.</w:t>
            </w:r>
          </w:p>
        </w:tc>
      </w:tr>
      <w:tr>
        <w:tblPrEx>
          <w:shd w:val="clear" w:color="auto" w:fill="ced7e7"/>
        </w:tblPrEx>
        <w:trPr>
          <w:trHeight w:val="310" w:hRule="atLeast"/>
        </w:trPr>
        <w:tc>
          <w:tcPr>
            <w:tcW w:type="dxa" w:w="1391"/>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Cicadellida</w:t>
            </w:r>
          </w:p>
        </w:tc>
        <w:tc>
          <w:tcPr>
            <w:tcW w:type="dxa" w:w="327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Baiclutha sp.</w:t>
            </w:r>
          </w:p>
        </w:tc>
      </w:tr>
      <w:tr>
        <w:tblPrEx>
          <w:shd w:val="clear" w:color="auto" w:fill="ced7e7"/>
        </w:tblPrEx>
        <w:trPr>
          <w:trHeight w:val="310" w:hRule="atLeast"/>
        </w:trPr>
        <w:tc>
          <w:tcPr>
            <w:tcW w:type="dxa" w:w="1391"/>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27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Cofana spectra (Distant.)</w:t>
            </w:r>
          </w:p>
        </w:tc>
      </w:tr>
      <w:tr>
        <w:tblPrEx>
          <w:shd w:val="clear" w:color="auto" w:fill="ced7e7"/>
        </w:tblPrEx>
        <w:trPr>
          <w:trHeight w:val="310" w:hRule="atLeast"/>
        </w:trPr>
        <w:tc>
          <w:tcPr>
            <w:tcW w:type="dxa" w:w="1391"/>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Aleyrodida</w:t>
            </w:r>
          </w:p>
        </w:tc>
        <w:tc>
          <w:tcPr>
            <w:tcW w:type="dxa" w:w="327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Aleyrodicusdisperses</w:t>
            </w:r>
          </w:p>
        </w:tc>
      </w:tr>
      <w:tr>
        <w:tblPrEx>
          <w:shd w:val="clear" w:color="auto" w:fill="ced7e7"/>
        </w:tblPrEx>
        <w:trPr>
          <w:trHeight w:val="310" w:hRule="atLeast"/>
        </w:trPr>
        <w:tc>
          <w:tcPr>
            <w:tcW w:type="dxa" w:w="1391"/>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Flatidae</w:t>
            </w:r>
          </w:p>
        </w:tc>
        <w:tc>
          <w:tcPr>
            <w:tcW w:type="dxa" w:w="327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Anormenis sp.</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Lepidoptera</w:t>
      </w:r>
    </w:p>
    <w:tbl>
      <w:tblPr>
        <w:tblW w:w="49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84"/>
        <w:gridCol w:w="3416"/>
      </w:tblGrid>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Pyraustidae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Tryporyzaincertulas (Walker)</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Pyralidae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Scirpophaga sp. I</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Maruca testulalis</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Acentriaephemerella</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Othreisfullorica</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Arctiidae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Creatonotusgangis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Amsactalineola Butler</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Pericalliaricini F.</w:t>
            </w:r>
          </w:p>
        </w:tc>
      </w:tr>
      <w:tr>
        <w:tblPrEx>
          <w:shd w:val="clear" w:color="auto" w:fill="ced7e7"/>
        </w:tblPrEx>
        <w:trPr>
          <w:trHeight w:val="471"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Hypsa sp.</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Noctuidae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Ophiusa sp.</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Achaeajanata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Sphingidae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Theretra sp.</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Acherontiastyx</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Westwood</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Psilogramma sp.</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Hyluslineata F.</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Papilionida</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Papilio demoleus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 polytesstichius (Hubner)</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Papilio cresphontes</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Danaidae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Danais chrysippus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 plexippus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Acraeidae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Telchiniaviolae (F.)</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Satyridae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Mycalesis sp.</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Nymphalida</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Precis lemonias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Hypolimnasbolina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Bybliailithyia (Drury)</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Ergolismerione (Cramer)</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Atella phalantha (Drury)</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Pieridae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TeriasblandaBoisduval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Lycaenidae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Lampidesboeticus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Jam ides celeno celeno (Cramer)</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Eupterotidae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Eupterotemollifera</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Camptous lateralis</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Hymenoptera</w:t>
      </w:r>
    </w:p>
    <w:tbl>
      <w:tblPr>
        <w:tblW w:w="48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10"/>
        <w:gridCol w:w="3110"/>
      </w:tblGrid>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Formicidae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Camponotuscompressus F.</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 rufoglaucus Jerdon</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 irritans Smith.</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Solenopsisgeminata F.</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Dorylusorientalis Westwood.</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Tetraponerarzfonigra Jerdon.</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Anochetus sp.</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Ichneumonidae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Enicospilus sp.</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Sphecidae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Sphex regalis Smith</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Vespidae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Delta sp.</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Vespa affinisaffinis (L.)</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Apidae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 mellifera</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Halictidae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Lasioglossum sp.</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Xylocopida</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Xylocopa bryorum</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Scoliidae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Elis sp.</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Anthophoridae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Anthophorazonata</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Diptera</w:t>
      </w:r>
    </w:p>
    <w:tbl>
      <w:tblPr>
        <w:tblW w:w="2995"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57"/>
        <w:gridCol w:w="1738"/>
      </w:tblGrid>
      <w:tr>
        <w:tblPrEx>
          <w:shd w:val="clear" w:color="auto" w:fill="ced7e7"/>
        </w:tblPrEx>
        <w:trPr>
          <w:trHeight w:val="310" w:hRule="atLeast"/>
        </w:trPr>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Tabanidae</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Tabanusatratus</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2: Distribution and diversity of insects in Agroecosystem</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84"/>
        <w:gridCol w:w="574"/>
        <w:gridCol w:w="1107"/>
        <w:gridCol w:w="575"/>
        <w:gridCol w:w="1107"/>
        <w:gridCol w:w="574"/>
        <w:gridCol w:w="1238"/>
        <w:gridCol w:w="975"/>
        <w:gridCol w:w="1186"/>
      </w:tblGrid>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Order</w:t>
            </w:r>
          </w:p>
        </w:tc>
        <w:tc>
          <w:tcPr>
            <w:tcW w:type="dxa" w:w="168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Families</w:t>
            </w:r>
          </w:p>
        </w:tc>
        <w:tc>
          <w:tcPr>
            <w:tcW w:type="dxa" w:w="16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Genera</w:t>
            </w:r>
          </w:p>
        </w:tc>
        <w:tc>
          <w:tcPr>
            <w:tcW w:type="dxa" w:w="181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Species</w:t>
            </w:r>
          </w:p>
        </w:tc>
        <w:tc>
          <w:tcPr>
            <w:tcW w:type="dxa" w:w="21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Total individuals</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No</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No</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No</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No</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Coleoptera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19</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28.7879</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43</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28.8591</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46</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27.87879</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23164</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12.9376</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Orthoptera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5</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7.5758</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16</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10.7383</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20</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12.12121</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3657</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2.0425</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Odonta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4.5455</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12</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8.0537</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15</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9.090909</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8102</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4.5251</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Isoptera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1.5152</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1.3423</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1.212121</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36136</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20.1827</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Hemiptera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9</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13.6364</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22</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14.7651</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22</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13.33333</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5812</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3.2461</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Blattaria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1.5152</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2.0134</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1.818182</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2143</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1.1969</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Homoptera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5</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7.5758</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6</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4.0268</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6</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3.636364</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11700</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6.5347</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Lepidoptera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13</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19.6970</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30</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20.1342</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33</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20</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7500</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4.1889</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Hymenoptera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9</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13.6364</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14</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9.3960</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16</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9.69697</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75630</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42.2410</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Diptera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1.5152</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0.6711</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0.606061</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5200</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2.9043</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w:t>
      </w:r>
      <w:r>
        <w:rPr>
          <w:rStyle w:val="Hyperlink.1"/>
          <w:rtl w:val="0"/>
          <w:lang w:val="en-US"/>
        </w:rPr>
        <w:t xml:space="preserve"> 1: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Distribution and diversity of insects in Agroecosystem</w:t>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4570858" cy="1693747"/>
            <wp:effectExtent l="0" t="0" r="0" b="0"/>
            <wp:docPr id="1073741891" name="officeArt object" descr="image.png"/>
            <wp:cNvGraphicFramePr/>
            <a:graphic xmlns:a="http://schemas.openxmlformats.org/drawingml/2006/main">
              <a:graphicData uri="http://schemas.openxmlformats.org/drawingml/2006/picture">
                <pic:pic xmlns:pic="http://schemas.openxmlformats.org/drawingml/2006/picture">
                  <pic:nvPicPr>
                    <pic:cNvPr id="1073741891" name="image.png" descr="image.png"/>
                    <pic:cNvPicPr>
                      <a:picLocks noChangeAspect="1"/>
                    </pic:cNvPicPr>
                  </pic:nvPicPr>
                  <pic:blipFill>
                    <a:blip r:embed="rId62">
                      <a:extLst/>
                    </a:blip>
                    <a:stretch>
                      <a:fillRect/>
                    </a:stretch>
                  </pic:blipFill>
                  <pic:spPr>
                    <a:xfrm>
                      <a:off x="0" y="0"/>
                      <a:ext cx="4570858" cy="1693747"/>
                    </a:xfrm>
                    <a:prstGeom prst="rect">
                      <a:avLst/>
                    </a:prstGeom>
                    <a:ln w="12700" cap="flat">
                      <a:noFill/>
                      <a:miter lim="400000"/>
                    </a:ln>
                    <a:effectLst/>
                  </pic:spPr>
                </pic:pic>
              </a:graphicData>
            </a:graphic>
          </wp:inline>
        </w:drawing>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following table provides a detailed analysis of the biodiversity of insect orders in the Tiruchendur agroecosystem by examining species richness, diversity indices, Hill</w:t>
      </w:r>
      <w:r>
        <w:rPr>
          <w:rStyle w:val="Hyperlink.1"/>
          <w:rtl w:val="0"/>
          <w:lang w:val="en-US"/>
        </w:rPr>
        <w:t>’</w:t>
      </w:r>
      <w:r>
        <w:rPr>
          <w:rStyle w:val="Hyperlink.1"/>
          <w:rtl w:val="0"/>
          <w:lang w:val="en-US"/>
        </w:rPr>
        <w:t>s numbers, and evenness indices</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3:</w:t>
      </w:r>
      <w:r>
        <w:rPr>
          <w:rStyle w:val="Hyperlink.1"/>
          <w:rtl w:val="0"/>
          <w:lang w:val="en-US"/>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Diversity indices of Agroecosystem</w:t>
      </w:r>
    </w:p>
    <w:tbl>
      <w:tblPr>
        <w:tblW w:w="9813"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28"/>
        <w:gridCol w:w="945"/>
        <w:gridCol w:w="945"/>
        <w:gridCol w:w="1062"/>
        <w:gridCol w:w="1038"/>
        <w:gridCol w:w="835"/>
        <w:gridCol w:w="1055"/>
        <w:gridCol w:w="835"/>
        <w:gridCol w:w="835"/>
        <w:gridCol w:w="835"/>
      </w:tblGrid>
      <w:tr>
        <w:tblPrEx>
          <w:shd w:val="clear" w:color="auto" w:fill="ced7e7"/>
        </w:tblPrEx>
        <w:trPr>
          <w:trHeight w:val="372"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Order</w:t>
            </w:r>
          </w:p>
        </w:tc>
        <w:tc>
          <w:tcPr>
            <w:tcW w:type="dxa" w:w="189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Species Richness</w:t>
            </w:r>
          </w:p>
        </w:tc>
        <w:tc>
          <w:tcPr>
            <w:tcW w:type="dxa" w:w="21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Diversity indices</w:t>
            </w:r>
          </w:p>
        </w:tc>
        <w:tc>
          <w:tcPr>
            <w:tcW w:type="dxa" w:w="189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Hills Number</w:t>
            </w:r>
          </w:p>
        </w:tc>
        <w:tc>
          <w:tcPr>
            <w:tcW w:type="dxa" w:w="2505"/>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Evenness Indices</w:t>
            </w:r>
          </w:p>
        </w:tc>
      </w:tr>
      <w:tr>
        <w:tblPrEx>
          <w:shd w:val="clear" w:color="auto" w:fill="ced7e7"/>
        </w:tblPrEx>
        <w:trPr>
          <w:trHeight w:val="96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R1</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R2</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Shannon - Weiner Index</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Simpson index</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N1</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N2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E1</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E2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E3</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Coleoptera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45.9005</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12.7888</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0.0124</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7.3277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1.0124</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0.1365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0.0032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0.0220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0.0003</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Orthoptera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19.8781</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13.9942</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0.0285</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6.9333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1.0289</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0.1442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0.0095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0.0514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0.0015</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Odonta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14.8889</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7.0514</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0.0116</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3.9423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1.0117</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0.2537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0.0043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0.0674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0.0008</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Isoptera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1.9047</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0.4452</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0.0005</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3.5996</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1.0005</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0.2778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0.5003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0.0005</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Hemiptera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21.8846</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12.2107</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0.0211</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3.5993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1.0213</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0.2778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0.0068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0.0464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0.0010</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Blattaria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2.8696</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2.7421</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0.0092</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2.1664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1.0092</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0.4616</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0.0084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0.3364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0.0046</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Homoptera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5.8932</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2.3471</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0.0039</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1.9705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1.0039</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0.5075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0.0022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0.1673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0.0008</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Lepidoptera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32.8879</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16.1236</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0.0239</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1.9442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1.0242</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0.5144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0.0068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0.0310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0.0008</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Hymenoptera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15.9110</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2.4618</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0.0018</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0.0082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1.0018</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122.3417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0.0006</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0.0626</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0.0001</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Diptera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0.8831</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0.5868</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0.0016</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0.0037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1.0016</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270.4000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0.0015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1.0016</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0.0016</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this pioneer study carried out in the Coleoptera has the highest species richness with 45.90, which means it stands out as the dominant one in terms of the number of species. The Shannon-Weiner index for Coleoptera is quite low, and its Simpson index is relatively high, indicating that despite the diversity, the species in that order are unevenly distributed. Other groups like Orthoptera as well as Lepidoptera with butterflies and moths also yield relatively average species richness. The value for Orthoptera is 19.88, and for Lepidoptera 32.89, both of which have higher diversity indices signifying a greater even distribution of the species compared to Coleoptera. For instance, the Shannon-Weiner index of Orthoptera is higher at 0.0285 meaning that the species are spread more or less evenly. Isoptera has very low species richness of 1.90. Hymenoptera follows a different trend with moderate species richness of 15.91 but very minimal diversity index, as signaled by the Shannon-Weiner index of 0.0018, indicating dominance of only a few species over the rest.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Hill's numbers, N1 and N2, bring more into the light relative patterns of diversity. For Coleoptera, N1 is at 1.0124 while N2 stands at 0.1365. N1 and N2 for the orders Diptera are at 1.0016 and 270.4 respectively, thus showing dominance of one species greatly in the group. Hymenoptera has a very high N2 which stands at 122.34 and shows once again that the species within this order are very dominating. Evenness indices E1, E2, E3 are characterized by the fact that there is an uneven number of individuals spread across species in different orders. Therefore, Isoptera corresponds to a higher value of the E2 index - 0.5003; it means that more species have relatively equal numbers of individuals, whereas Coleoptera equals the least value of E1 = 0.0032; this is a case when a few species of beetles are highly represented and the rest of the species are relatively rare.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From this Studies have been carried out in the agroecosystem of Tiruchendur for a glimpse of insect biodiversity, population dynamics, and habitat-specific adaptation. Research in the</w:t>
      </w:r>
      <w:r>
        <w:rPr>
          <w:rStyle w:val="Hyperlink.1"/>
          <w:rtl w:val="0"/>
          <w:lang w:val="en-US"/>
        </w:rPr>
        <w:t xml:space="preserve">  </w:t>
      </w:r>
      <w:r>
        <w:rPr>
          <w:rStyle w:val="Hyperlink.1"/>
          <w:rtl w:val="0"/>
          <w:lang w:val="en-US"/>
        </w:rPr>
        <w:t>agroecosystems has unravelled a tapestry of rich ecological interactions pointing to the vital roles insects play in maintaining an ecosystem's balance and function. This shows that there should be good understanding of species diversity, abundance, and seasonal dynamics before initiation of proper conservation and sustainable management of the respective ecosystems.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Tiruchendur agroecosystem presented the highest species richness of all investigated ecosystems, with 10 orders of insects recorded and representing 65 families, 159 genera, and 163 species. In all, Coleoptera was richest in order, substantially contributing to overall species richness while representing only a smaller fraction of the total number. Hymenoptera was socially dominant with more than 42% of total individuals. The great diversity and richness of Coleoptera highlight their important role in decomposition, soil aeration, and nutrient cycling. In contrast, the sociality of Hymenoptera is a strong indication of their relevance in pollination, predation, and ecosystem engineering. Lepidoptera (butterflies and moths), Hemiptera (true bugs), and Odonata (dragonflies and damselflies) had moderate levels of diversity, with evidence pointing toward their importance in pollination, herbivory, and prey-predator dynamics. Isoptera (termites), with low diversity, were nevertheless extremely abundant and had to be reflective of social organization and significant function in decomposition and nutrient cycling.</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ACKNOWLEDGEMENTS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identification service rendered by Dr. DUNSTON P. AMBROSE, Department of Zoology, St.Xavier College, Palayamkottai, Tamil Nadu; Dr. k. Nagarajan,Kamaraj college Thoothukudi, Dr. M. Muthupandi, Scientist. Entomology research institute, Loyola College, Chennai.</w:t>
      </w:r>
      <w:r>
        <w:rPr>
          <w:rStyle w:val="Hyperlink.1"/>
          <w:rtl w:val="0"/>
          <w:lang w:val="en-US"/>
        </w:rPr>
        <w:t xml:space="preserve">  </w:t>
      </w:r>
      <w:r>
        <w:rPr>
          <w:rStyle w:val="Hyperlink.1"/>
          <w:rtl w:val="0"/>
          <w:lang w:val="en-US"/>
        </w:rPr>
        <w:t>Dr. v. Duraipandian, Senior Scientist, Entomology research institute, Loyola College, Chennai.</w:t>
      </w:r>
      <w:r>
        <w:rPr>
          <w:rStyle w:val="Hyperlink.1"/>
          <w:rtl w:val="0"/>
          <w:lang w:val="en-US"/>
        </w:rPr>
        <w:t xml:space="preserve">  </w:t>
      </w:r>
      <w:r>
        <w:rPr>
          <w:rStyle w:val="Hyperlink.1"/>
          <w:rtl w:val="0"/>
          <w:lang w:val="en-US"/>
        </w:rPr>
        <w:t>Dr. K. Sivasankaran Senior Scientist, Entomology research institute, Loyola College, Chennai Is gratefully acknowledged.</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Adelusi, S.M., Ada, R.T. and Omudu, E.A., 2018</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Diversity and abundance of insects species in Makurdi, Benue State, Nigeria.</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International Journal of New Technology and Research</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4</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(6), pp.52-57.</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Bouchard, P., Smith, A.B., Douglas, H., Gimmel, M.L., Brunke, A.J. and Kanda, K., 2017</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Biodiversity of coleoptera.</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Insect biodiversity: science and society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pp.337-417.</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Courtney, G.W., Pape, T., Skevington, J.H. and Sinclair, B.J., 2017.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Biodiversity of diptera.</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Insect biodiversity: science and society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pp.229-278.</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Cutler, G.C., Amichot, M., Benelli, G., Guedes, R.N.C., Qu, Y., Rix, R.R., Ullah, F. and Desneux, N., 2022.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Hormesis and insects: Effects and interactions in agroecosystems.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Science of The Total Environment</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825</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p.153899.</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ELISHA, O.D. and FELIX, M.J., 2020.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The loss of biodiversity and ecosystems: a threat to the functioning of our planet, economy and human society.</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International Journal of Economics, Environmental Development and Society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1</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(1), pp.30-44.</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Huber, J.T., 2017.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Biodiversity of hymenoptera.</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Insect biodiversity: science and society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pp.419-461.</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Hor</w:t>
      </w:r>
      <w:r>
        <w:rPr>
          <w:rStyle w:val="None"/>
          <w:rFonts w:ascii="Times New Roman" w:hAnsi="Times New Roman" w:hint="default"/>
          <w:b w:val="1"/>
          <w:bCs w:val="1"/>
          <w:kern w:val="0"/>
          <w:sz w:val="24"/>
          <w:szCs w:val="24"/>
          <w:shd w:val="clear" w:color="auto" w:fill="ffffff"/>
          <w:rtl w:val="0"/>
          <w:lang w:val="en-US"/>
        </w:rPr>
        <w:t>á</w:t>
      </w:r>
      <w:r>
        <w:rPr>
          <w:rStyle w:val="None"/>
          <w:rFonts w:ascii="Times New Roman" w:hAnsi="Times New Roman"/>
          <w:b w:val="1"/>
          <w:bCs w:val="1"/>
          <w:kern w:val="0"/>
          <w:sz w:val="24"/>
          <w:szCs w:val="24"/>
          <w:shd w:val="clear" w:color="auto" w:fill="ffffff"/>
          <w:rtl w:val="0"/>
          <w:lang w:val="en-US"/>
        </w:rPr>
        <w:t xml:space="preserve">k, J., Rada, P., Lettenmaier, L., Andreas, M., Bogusch, P. and Jaworski, T., 2021.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Importance of meteorological and land use parameters for insect diversity in agricultural landscapes.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Science of The Total Environment</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791</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p.148159.</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Ibrahim, E. and Mugiasih, A., 2020,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April. Diversity of pests and natural enemies in rice field agroecosystem with ecological engineering and without ecological engineering. In</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IOP Conference Series: Earth and Environmental Science</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(Vol. 484, No. 1, p. 012108). IOP Publishing.</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Mullen, G.R. and Zaspel, J.M., 2019.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Moths and butterflies (Lepidoptera). In</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Medical and veterinary entomology</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(pp. 439-458). Academic Press.</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May, M.L., 2019.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Odonata: who they are and what they have done for us lately: classification and ecosystem services of dragonflies.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Insects</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10</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(3), p.62.</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MacDonald, Z.G., Nielsen, S.E. and Acorn, J.H., 2017.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Negative relationships between species richness and evenness render common diversity indices inadequate for assessing long-term trends in butterfly diversity.</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Biodiversity and Conservation</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26</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pp.617-629.</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Mayer, M., Ullmann, W., Heinrich, R., Fischer, C., Blaum, N. and Sunde, P., 2019. S</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easonal effects of habitat structure and weather on the habitat selection and home range size of a mammal in agricultural landscapes.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Landscape Ecology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34</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pp.2279-2294.</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Majeed, W., Rana, N., de Azevedo Koch, E.B. and Nargis, S., 2020.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Seasonality and climatic factors affect diversity and distribution of arthropods around wetlands.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Pakistan Journal of Zoology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52</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(6), pp.2135-2144.</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Madasamy, M., Arokiyaraj, M. and Soosaimanickam, M.P., 2023.</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xml:space="preserve"> Influence of Variation of Habitat, Season and Prey on the Distribution and Diversity of Reduviid Predators (Hemiptera: Reduviidae) in Southern Western Ghats of Tamil Nadu.</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Oliver, I., Dorrough, J., Doherty, H. and Andrew, N.R., 2016.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Additive and synergistic effects of land cover, land use and climate on insect biodiversity.</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Landscape Ecology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31</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pp.2415-2431.</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Pareek, A., Meena, B.M., Sharma, S., Tetarwal, M.L., Kalyan, R.K. and Meena, B.L., 2017.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Impact of climate change on insect pests and their management strategies.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Climate change and sustainable agriculture</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pp.253-286.</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Sharma, R.P., Boruah, A., Khan, A., Thilagam, P., Sivakumar, S., Dhapola, P. and Singh, B.V., 2023.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Exploring the Significance of Insects in Ecosystems: A Comprehensive Examination of Entomological Studies.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International Journal of Environment and Climate Change</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13</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(11), pp.1243-1252.</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Savita, R. and Trigunayat, M.M., 2022.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Studies on the species richness, evenness and diversity of moth fauna of Jaipur, Rajasthan.</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Journal of Applied Entomologist</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2</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(4), pp.35-41.</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shd w:val="clear" w:color="auto" w:fill="ffffff"/>
          <w:rtl w:val="0"/>
          <w:lang w:val="en-US"/>
        </w:rPr>
        <w:t xml:space="preserve">Siregar, E.H., Atmowidi, T. and Kahono, S., 2016.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Diversity and abundance of insect pollinators in different agricultural lands in Jambi, Sumatera.</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HAYATI Journal of Biosciences</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23</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(1), pp.13-17.</w:t>
      </w: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 (Web)"/>
        <w:spacing w:after="0" w:line="360" w:lineRule="auto"/>
        <w:ind w:left="5" w:right="7" w:firstLine="0"/>
        <w:jc w:val="center"/>
        <w:rPr>
          <w:rStyle w:val="None"/>
          <w:i w:val="1"/>
          <w:iCs w:val="1"/>
          <w:kern w:val="0"/>
        </w:rPr>
      </w:pPr>
      <w:r>
        <w:rPr>
          <w:rStyle w:val="None"/>
          <w:b w:val="1"/>
          <w:bCs w:val="1"/>
          <w:outline w:val="0"/>
          <w:color w:val="000000"/>
          <w:kern w:val="0"/>
          <w:u w:color="000000"/>
          <w:rtl w:val="0"/>
          <w:lang w:val="en-US"/>
          <w14:textFill>
            <w14:solidFill>
              <w14:srgbClr w14:val="000000"/>
            </w14:solidFill>
          </w14:textFill>
        </w:rPr>
        <w:t>DIVERSITY OF MEALYBUGS AND THEIR SUSTAINABLE                                       CONTROL MEASURES IN THE KALAKKAD REGION,                                      TIRUNELVELI DISTRICT,  TAMIL NADU</w:t>
      </w:r>
      <w:r>
        <w:rPr>
          <w:rStyle w:val="None"/>
          <w:outline w:val="0"/>
          <w:color w:val="000000"/>
          <w:kern w:val="0"/>
          <w:u w:color="000000"/>
          <w14:textFill>
            <w14:solidFill>
              <w14:srgbClr w14:val="000000"/>
            </w14:solidFill>
          </w14:textFill>
        </w:rPr>
        <w:br w:type="textWrapping"/>
      </w:r>
      <w:r>
        <w:rPr>
          <w:rStyle w:val="None"/>
          <w:i w:val="1"/>
          <w:iCs w:val="1"/>
          <w:kern w:val="0"/>
          <w:rtl w:val="0"/>
          <w:lang w:val="en-US"/>
        </w:rPr>
        <w:t>Suja</w:t>
      </w:r>
      <w:r>
        <w:rPr>
          <w:rtl w:val="0"/>
          <w:lang w:val="en-US"/>
        </w:rPr>
        <w:t xml:space="preserve"> </w:t>
      </w:r>
      <w:r>
        <w:rPr>
          <w:rStyle w:val="None"/>
          <w:i w:val="1"/>
          <w:iCs w:val="1"/>
          <w:kern w:val="0"/>
          <w:rtl w:val="0"/>
          <w:lang w:val="en-US"/>
        </w:rPr>
        <w:t>M</w:t>
      </w:r>
      <w:r>
        <w:rPr>
          <w:rStyle w:val="None"/>
          <w:i w:val="1"/>
          <w:iCs w:val="1"/>
          <w:kern w:val="0"/>
          <w:vertAlign w:val="superscript"/>
          <w:rtl w:val="0"/>
          <w:lang w:val="en-US"/>
        </w:rPr>
        <w:t>1</w:t>
      </w:r>
      <w:r>
        <w:rPr>
          <w:rStyle w:val="None"/>
          <w:i w:val="1"/>
          <w:iCs w:val="1"/>
          <w:kern w:val="0"/>
          <w:rtl w:val="0"/>
          <w:lang w:val="en-US"/>
        </w:rPr>
        <w:t>,</w:t>
      </w:r>
      <w:r>
        <w:rPr>
          <w:rStyle w:val="None"/>
          <w:i w:val="1"/>
          <w:iCs w:val="1"/>
          <w:kern w:val="0"/>
          <w:rtl w:val="0"/>
          <w:lang w:val="en-US"/>
        </w:rPr>
        <w:t xml:space="preserve"> Dhivya</w:t>
      </w:r>
      <w:r>
        <w:rPr>
          <w:rStyle w:val="None"/>
          <w:i w:val="1"/>
          <w:iCs w:val="1"/>
          <w:kern w:val="0"/>
          <w:vertAlign w:val="superscript"/>
          <w:rtl w:val="0"/>
          <w:lang w:val="en-US"/>
        </w:rPr>
        <w:t>,</w:t>
      </w:r>
      <w:r>
        <w:rPr>
          <w:rStyle w:val="None"/>
          <w:i w:val="1"/>
          <w:iCs w:val="1"/>
          <w:kern w:val="0"/>
          <w:rtl w:val="0"/>
          <w:lang w:val="en-US"/>
        </w:rPr>
        <w:t>R. S</w:t>
      </w:r>
      <w:r>
        <w:rPr>
          <w:rStyle w:val="None"/>
          <w:i w:val="1"/>
          <w:iCs w:val="1"/>
          <w:kern w:val="0"/>
          <w:vertAlign w:val="superscript"/>
          <w:rtl w:val="0"/>
          <w:lang w:val="en-US"/>
        </w:rPr>
        <w:t>2</w:t>
      </w:r>
      <w:r>
        <w:rPr>
          <w:rStyle w:val="None"/>
          <w:i w:val="1"/>
          <w:iCs w:val="1"/>
          <w:kern w:val="0"/>
          <w:rtl w:val="0"/>
          <w:lang w:val="en-US"/>
        </w:rPr>
        <w:t>,</w:t>
      </w:r>
      <w:r>
        <w:rPr>
          <w:rStyle w:val="None"/>
          <w:i w:val="1"/>
          <w:iCs w:val="1"/>
          <w:kern w:val="0"/>
          <w:rtl w:val="0"/>
          <w:lang w:val="en-US"/>
        </w:rPr>
        <w:t>. and Vijila Jasmin</w:t>
      </w:r>
      <w:r>
        <w:rPr>
          <w:rtl w:val="0"/>
          <w:lang w:val="en-US"/>
        </w:rPr>
        <w:t xml:space="preserve"> </w:t>
      </w:r>
      <w:r>
        <w:rPr>
          <w:rStyle w:val="None"/>
          <w:i w:val="1"/>
          <w:iCs w:val="1"/>
          <w:kern w:val="0"/>
          <w:rtl w:val="0"/>
          <w:lang w:val="en-US"/>
        </w:rPr>
        <w:t>J</w:t>
      </w:r>
      <w:r>
        <w:rPr>
          <w:rStyle w:val="None"/>
          <w:i w:val="1"/>
          <w:iCs w:val="1"/>
          <w:kern w:val="0"/>
          <w:vertAlign w:val="superscript"/>
          <w:rtl w:val="0"/>
          <w:lang w:val="en-US"/>
        </w:rPr>
        <w:t>3</w:t>
      </w:r>
      <w:r>
        <w:rPr>
          <w:rStyle w:val="None"/>
          <w:i w:val="1"/>
          <w:iCs w:val="1"/>
          <w:kern w:val="0"/>
          <w:rtl w:val="0"/>
          <w:lang w:val="en-US"/>
        </w:rPr>
        <w:t xml:space="preserve">. </w:t>
      </w:r>
      <w:r>
        <w:rPr>
          <w:rStyle w:val="None"/>
          <w:i w:val="1"/>
          <w:iCs w:val="1"/>
          <w:kern w:val="0"/>
        </w:rPr>
        <w:br w:type="textWrapping"/>
      </w:r>
      <w:r>
        <w:rPr>
          <w:rStyle w:val="None"/>
          <w:i w:val="1"/>
          <w:iCs w:val="1"/>
          <w:kern w:val="0"/>
          <w:vertAlign w:val="superscript"/>
          <w:rtl w:val="0"/>
          <w:lang w:val="en-US"/>
        </w:rPr>
        <w:t>1</w:t>
      </w:r>
      <w:r>
        <w:rPr>
          <w:rStyle w:val="None"/>
          <w:i w:val="1"/>
          <w:iCs w:val="1"/>
          <w:kern w:val="0"/>
          <w:rtl w:val="0"/>
          <w:lang w:val="en-US"/>
        </w:rPr>
        <w:t xml:space="preserve">Research Scholar, PG and Research Department of Zoology, Muslim Arts College, Thiruvithancode, Kanyakumari -629174, </w:t>
      </w:r>
    </w:p>
    <w:p>
      <w:pPr>
        <w:pStyle w:val="Normal (Web)"/>
        <w:spacing w:after="0" w:line="360" w:lineRule="auto"/>
        <w:ind w:left="5" w:right="7" w:firstLine="0"/>
        <w:jc w:val="center"/>
        <w:rPr>
          <w:rStyle w:val="None"/>
          <w:i w:val="1"/>
          <w:iCs w:val="1"/>
          <w:kern w:val="0"/>
        </w:rPr>
      </w:pPr>
      <w:r>
        <w:rPr>
          <w:rStyle w:val="None"/>
          <w:i w:val="1"/>
          <w:iCs w:val="1"/>
          <w:kern w:val="0"/>
          <w:vertAlign w:val="superscript"/>
          <w:rtl w:val="0"/>
          <w:lang w:val="en-US"/>
        </w:rPr>
        <w:t>2</w:t>
      </w:r>
      <w:r>
        <w:rPr>
          <w:rStyle w:val="None"/>
          <w:i w:val="1"/>
          <w:iCs w:val="1"/>
          <w:kern w:val="0"/>
          <w:rtl w:val="0"/>
          <w:lang w:val="en-US"/>
        </w:rPr>
        <w:t xml:space="preserve">  </w:t>
      </w:r>
      <w:r>
        <w:rPr>
          <w:rStyle w:val="None"/>
          <w:i w:val="1"/>
          <w:iCs w:val="1"/>
          <w:kern w:val="0"/>
          <w:rtl w:val="0"/>
          <w:lang w:val="en-US"/>
        </w:rPr>
        <w:t>Research Supervisor/Associate Professor, Department of Zoology, Sri Devi Kumari Women</w:t>
      </w:r>
      <w:r>
        <w:rPr>
          <w:rStyle w:val="None"/>
          <w:i w:val="1"/>
          <w:iCs w:val="1"/>
          <w:kern w:val="0"/>
          <w:rtl w:val="0"/>
          <w:lang w:val="en-US"/>
        </w:rPr>
        <w:t>’</w:t>
      </w:r>
      <w:r>
        <w:rPr>
          <w:rStyle w:val="None"/>
          <w:i w:val="1"/>
          <w:iCs w:val="1"/>
          <w:kern w:val="0"/>
          <w:rtl w:val="0"/>
          <w:lang w:val="en-US"/>
        </w:rPr>
        <w:t>s College, Kuzhithurai, Kanyakumari,</w:t>
      </w:r>
    </w:p>
    <w:p>
      <w:pPr>
        <w:pStyle w:val="Normal (Web)"/>
        <w:spacing w:after="0" w:line="360" w:lineRule="auto"/>
        <w:ind w:left="5" w:right="7" w:firstLine="0"/>
        <w:jc w:val="center"/>
        <w:rPr>
          <w:rStyle w:val="None"/>
          <w:i w:val="1"/>
          <w:iCs w:val="1"/>
          <w:kern w:val="0"/>
        </w:rPr>
      </w:pPr>
      <w:r>
        <w:rPr>
          <w:rStyle w:val="None"/>
          <w:i w:val="1"/>
          <w:iCs w:val="1"/>
          <w:kern w:val="0"/>
          <w:rtl w:val="0"/>
          <w:lang w:val="en-US"/>
        </w:rPr>
        <w:t xml:space="preserve"> Affiliated to ManonmaniamSundaranar </w:t>
      </w:r>
      <w:r>
        <w:rPr>
          <w:rStyle w:val="None"/>
          <w:i w:val="1"/>
          <w:iCs w:val="1"/>
          <w:kern w:val="0"/>
          <w:rtl w:val="0"/>
          <w:lang w:val="en-US"/>
        </w:rPr>
        <w:t xml:space="preserve">    </w:t>
      </w:r>
      <w:r>
        <w:rPr>
          <w:rStyle w:val="None"/>
          <w:i w:val="1"/>
          <w:iCs w:val="1"/>
          <w:kern w:val="0"/>
          <w:rtl w:val="0"/>
          <w:lang w:val="en-US"/>
        </w:rPr>
        <w:t xml:space="preserve">University, Abishekapatti, Tirunelveli 627012, Tamil Nadu, India </w:t>
      </w:r>
      <w:r>
        <w:rPr>
          <w:rStyle w:val="None"/>
          <w:i w:val="1"/>
          <w:iCs w:val="1"/>
          <w:kern w:val="0"/>
        </w:rPr>
        <w:br w:type="textWrapping"/>
      </w:r>
      <w:r>
        <w:rPr>
          <w:rStyle w:val="None"/>
          <w:i w:val="1"/>
          <w:iCs w:val="1"/>
          <w:kern w:val="0"/>
          <w:vertAlign w:val="superscript"/>
          <w:rtl w:val="0"/>
          <w:lang w:val="en-US"/>
        </w:rPr>
        <w:t>3</w:t>
      </w:r>
      <w:r>
        <w:rPr>
          <w:rStyle w:val="None"/>
          <w:i w:val="1"/>
          <w:iCs w:val="1"/>
          <w:kern w:val="0"/>
          <w:rtl w:val="0"/>
          <w:lang w:val="en-US"/>
        </w:rPr>
        <w:t xml:space="preserve"> Research Supervisor, PG and Research Department of Zoology, Muslim Arts College, Thiruvithancode, Kanyakumari 629174, </w:t>
      </w:r>
    </w:p>
    <w:p>
      <w:pPr>
        <w:pStyle w:val="Normal (Web)"/>
        <w:spacing w:after="0" w:line="360" w:lineRule="auto"/>
        <w:ind w:left="5" w:right="7" w:firstLine="0"/>
        <w:jc w:val="center"/>
        <w:rPr>
          <w:rStyle w:val="None"/>
          <w:i w:val="1"/>
          <w:iCs w:val="1"/>
          <w:kern w:val="0"/>
        </w:rPr>
      </w:pPr>
      <w:r>
        <w:rPr>
          <w:rStyle w:val="None"/>
          <w:i w:val="1"/>
          <w:iCs w:val="1"/>
          <w:kern w:val="0"/>
          <w:rtl w:val="0"/>
          <w:lang w:val="en-US"/>
        </w:rPr>
        <w:t>Affiliated to ManonmaniamSundaranar University, Abishekapatti, Tirunelveli 627012, Tamil Nadu, India</w:t>
      </w:r>
    </w:p>
    <w:p>
      <w:pPr>
        <w:pStyle w:val="Normal.0"/>
        <w:shd w:val="clear" w:color="auto" w:fill="ffffff"/>
        <w:spacing w:after="0" w:line="360" w:lineRule="auto"/>
        <w:ind w:left="5" w:firstLine="0"/>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hd w:val="clear" w:color="auto" w:fill="ffffff"/>
        <w:spacing w:after="0" w:line="360" w:lineRule="auto"/>
        <w:ind w:firstLine="720"/>
        <w:jc w:val="both"/>
        <w:rPr>
          <w:rStyle w:val="Hyperlink.1"/>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Mealybugs are unarmored scale insects from the Pseudococcidae family that thrive in warm, humid environments. Many species are pests that feed on the juices of greenhouse plants, houseplants, and subtropical trees, and they can spread several plant diseases. These insects are found on stems, flower buds, and both sides of leaves, and they can move from plant to plant.</w:t>
      </w:r>
      <w:r>
        <w:rPr>
          <w:rStyle w:val="Hyperlink.1"/>
          <w:rtl w:val="0"/>
          <w:lang w:val="en-US"/>
        </w:rPr>
        <w:t xml:space="preserve"> Among the most damaging sap-sucking insect pests, mealybugs (Hemiptera: Pseudococcidae) damage a variety of horticultural and agricultural crops. Plant vigour is diminished by their feeding activities, which also results in leaf curling, yellowing, stunted growth, early fruit drop, and large output losses. </w:t>
      </w:r>
      <w:r>
        <w:rPr>
          <w:rStyle w:val="None"/>
          <w:rFonts w:ascii="Times New Roman" w:hAnsi="Times New Roman"/>
          <w:outline w:val="0"/>
          <w:color w:val="161f19"/>
          <w:kern w:val="0"/>
          <w:sz w:val="24"/>
          <w:szCs w:val="24"/>
          <w:u w:color="161f19"/>
          <w:rtl w:val="0"/>
          <w:lang w:val="en-US"/>
          <w14:textFill>
            <w14:solidFill>
              <w14:srgbClr w14:val="161F19"/>
            </w14:solidFill>
          </w14:textFill>
        </w:rPr>
        <w:t>To get rid of a mealybug infestation, systemic pesticides along with physical cleaning of the plant are required. Like most pests, prevention is the best control</w:t>
      </w:r>
      <w:r>
        <w:rPr>
          <w:rStyle w:val="None"/>
          <w:rFonts w:ascii="Times New Roman" w:hAnsi="Times New Roman" w:hint="default"/>
          <w:outline w:val="0"/>
          <w:color w:val="161f19"/>
          <w:kern w:val="0"/>
          <w:sz w:val="24"/>
          <w:szCs w:val="24"/>
          <w:u w:color="161f19"/>
          <w:rtl w:val="0"/>
          <w:lang w:val="en-US"/>
          <w14:textFill>
            <w14:solidFill>
              <w14:srgbClr w14:val="161F19"/>
            </w14:solidFill>
          </w14:textFill>
        </w:rPr>
        <w:t>—</w:t>
      </w:r>
      <w:r>
        <w:rPr>
          <w:rStyle w:val="None"/>
          <w:rFonts w:ascii="Times New Roman" w:hAnsi="Times New Roman"/>
          <w:outline w:val="0"/>
          <w:color w:val="161f19"/>
          <w:kern w:val="0"/>
          <w:sz w:val="24"/>
          <w:szCs w:val="24"/>
          <w:u w:color="161f19"/>
          <w:rtl w:val="0"/>
          <w:lang w:val="en-US"/>
          <w14:textFill>
            <w14:solidFill>
              <w14:srgbClr w14:val="161F19"/>
            </w14:solidFill>
          </w14:textFill>
        </w:rPr>
        <w:t>healthy, strong plants are less prone to infestations compared to weak, stressed, or poorly potted ones. Because mealybugs hide in crevices and have a waxy body covering, plant protection products often have limited effectiveness. For outdoor plants, cultural practices and biological control usually suffice to manage mealybug populations.</w:t>
      </w:r>
      <w:r>
        <w:rPr>
          <w:rStyle w:val="Hyperlink.1"/>
          <w:rtl w:val="0"/>
          <w:lang w:val="en-US"/>
        </w:rPr>
        <w:t xml:space="preserve"> Furthermore, honeydew emission encourages the growth of sooty mould, which further reduces crop productivity and photosynthesis. In order to record the variety of mealybug species and examine sustainable management techniques appropriate for the area, the current study was carried out in the Kalakkad region of Tirunelveli District, Tamil Nadu.</w:t>
      </w:r>
      <w:r>
        <w:rPr>
          <w:rStyle w:val="Hyperlink.1"/>
        </w:rPr>
        <w:br w:type="textWrapping"/>
      </w:r>
      <w:r>
        <w:rPr>
          <w:rStyle w:val="Hyperlink.1"/>
          <w:rtl w:val="0"/>
          <w:lang w:val="en-US"/>
        </w:rPr>
        <w:t>Key Words: Pseudococcidae, Mealybugs, Pesticides, Cultural and Biological control.</w:t>
      </w:r>
    </w:p>
    <w:p>
      <w:pPr>
        <w:pStyle w:val="Normal.0"/>
        <w:shd w:val="clear" w:color="auto" w:fill="ffffff"/>
        <w:spacing w:after="0" w:line="360" w:lineRule="auto"/>
        <w:ind w:left="720" w:hanging="720"/>
        <w:jc w:val="both"/>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hd w:val="clear" w:color="auto" w:fill="ffffff"/>
        <w:spacing w:after="0" w:line="360" w:lineRule="auto"/>
        <w:ind w:firstLine="720"/>
        <w:jc w:val="both"/>
        <w:rPr>
          <w:rStyle w:val="Hyperlink.1"/>
        </w:rPr>
      </w:pPr>
      <w:r>
        <w:rPr>
          <w:rStyle w:val="Hyperlink.1"/>
          <w:rtl w:val="0"/>
          <w:lang w:val="en-US"/>
        </w:rPr>
        <w:t>Global agriculture is seriously threatened by the broad group of sap-sucking insects known as mealybugs (</w:t>
      </w:r>
      <w:r>
        <w:rPr>
          <w:rStyle w:val="None"/>
          <w:rFonts w:ascii="Times New Roman" w:hAnsi="Times New Roman"/>
          <w:outline w:val="0"/>
          <w:color w:val="161f19"/>
          <w:kern w:val="0"/>
          <w:sz w:val="24"/>
          <w:szCs w:val="24"/>
          <w:u w:color="161f19"/>
          <w:rtl w:val="0"/>
          <w:lang w:val="en-US"/>
          <w14:textFill>
            <w14:solidFill>
              <w14:srgbClr w14:val="161F19"/>
            </w14:solidFill>
          </w14:textFill>
        </w:rPr>
        <w:t>Hemiptera</w:t>
      </w:r>
      <w:r>
        <w:rPr>
          <w:rStyle w:val="Hyperlink.1"/>
          <w:rtl w:val="0"/>
          <w:lang w:val="en-US"/>
        </w:rPr>
        <w:t>: Pseudococcidae). They cause significant yield losses and financial harm by infesting a variety of host plants, such as fruit trees, ornamentals, and commercially significant crops. Their ability to thrive in various environmental conditions and their polyphagous nature make them particularly challenging to manage (Pimentel et al., 2001). The introduction and spread of invasive mealybug species are exacerbated by the globalization of trade, which facilitates the movement of pests across borders. In recent decades, India has witnessed the invasion of several exotic mealybug species, including the cotton mealybug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Phenacoccussolenopsis</w:t>
      </w:r>
      <w:r>
        <w:rPr>
          <w:rStyle w:val="Hyperlink.1"/>
          <w:rtl w:val="0"/>
          <w:lang w:val="en-US"/>
        </w:rPr>
        <w:t xml:space="preserve"> Tinsley), papaya mealybug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Paracoccus marginatus</w:t>
      </w:r>
      <w:r>
        <w:rPr>
          <w:rStyle w:val="Hyperlink.1"/>
          <w:rtl w:val="0"/>
          <w:lang w:val="en-US"/>
        </w:rPr>
        <w:t xml:space="preserve"> Williams and Granara de Willink ), Madeira mealybug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Phenacoccusmadeirensis</w:t>
      </w:r>
      <w:r>
        <w:rPr>
          <w:rStyle w:val="Hyperlink.1"/>
          <w:rtl w:val="0"/>
          <w:lang w:val="en-US"/>
        </w:rPr>
        <w:t xml:space="preserve"> Green), Jack Beardsley mealybug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Pseudococcusjackbeardsleyi</w:t>
      </w:r>
      <w:r>
        <w:rPr>
          <w:rStyle w:val="Hyperlink.1"/>
          <w:rtl w:val="0"/>
          <w:lang w:val="en-US"/>
        </w:rPr>
        <w:t xml:space="preserve"> Gimpel &amp; Miller), and cassava mealybug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Phenacoccusmanihoti</w:t>
      </w:r>
      <w:r>
        <w:rPr>
          <w:rStyle w:val="Hyperlink.1"/>
          <w:rtl w:val="0"/>
          <w:lang w:val="en-US"/>
        </w:rPr>
        <w:t>Rathee and Dalal, 2018; Joshi and Rameshkumar, 2017). The impact of mealybug infestations is not limited to direct feeding damage. They also excrete honeydew, which promotes the growth of sooty mold, further reducing the photosynthetic ability of plants and leading to significant qualitative and quantitative losses in crop yields. Additionally, mealybugs can transmit plant pathogens, compounding their detrimental effects on agriculture (Joshi, 2017)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000000"/>
          <w:kern w:val="0"/>
          <w:u w:color="000000"/>
          <w14:textFill>
            <w14:solidFill>
              <w14:srgbClr w14:val="000000"/>
            </w14:solidFill>
          </w14:textFill>
        </w:rPr>
      </w:pPr>
      <w:r>
        <w:rPr>
          <w:rStyle w:val="Hyperlink.1"/>
          <w:rtl w:val="0"/>
          <w:lang w:val="en-US"/>
        </w:rPr>
        <w:t>       </w:t>
      </w:r>
      <w:r>
        <w:rPr>
          <w:rStyle w:val="Hyperlink.1"/>
          <w:rtl w:val="0"/>
          <w:lang w:val="en-US"/>
        </w:rPr>
        <w:t xml:space="preserve">In Tamil Nadu, mealybug infestations have increased due to favorable climatic circumstances, intensive agriculture, and transit of infested planting materials. Guava, papaya, banana, cassava, coconut, ornamental plants, and a variety of vegetable crops are all grown in the Kalakkad region, which is a significant agricultural area. Nevertheless, there is little systematic data on the variety of mealybug species and environmentally friendly management techniques in this area. Although chemical pesticides offer quick suppression, they frequently result in environmental contamination, pesticide resistance, the eradication of beneficial insects, and pesticide residues. Biological control agents and botanical pesticides are examples of sustainable management techniques that offer safer options for the environment. The present investigation, conducted from December 2023 to May 2024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Manilkara zapota </w:t>
      </w:r>
      <w:r>
        <w:rPr>
          <w:rStyle w:val="Hyperlink.1"/>
          <w:rtl w:val="0"/>
          <w:lang w:val="en-US"/>
        </w:rPr>
        <w:t xml:space="preserve">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Solanum lycopersicum</w:t>
      </w:r>
      <w:r>
        <w:rPr>
          <w:rStyle w:val="Hyperlink.1"/>
          <w:rtl w:val="0"/>
          <w:lang w:val="en-US"/>
        </w:rPr>
        <w:t>L growing areas of the Kalakad region, Tirunelveli District, South Tamil Nadu, India, has yielded extensive data. The ladybird Cryptolaemus montrouzieri, a known predator, has demonstrated proven effectiveness in controlling mealybug pests (Laura Golsteyn et al., 2021).</w:t>
      </w:r>
    </w:p>
    <w:p>
      <w:pPr>
        <w:pStyle w:val="Normal.0"/>
        <w:shd w:val="clear" w:color="auto" w:fill="ffffff"/>
        <w:spacing w:after="0" w:line="360" w:lineRule="auto"/>
        <w:jc w:val="both"/>
        <w:rPr>
          <w:rStyle w:val="Hyperlink.1"/>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p>
    <w:p>
      <w:pPr>
        <w:pStyle w:val="Normal.0"/>
        <w:shd w:val="clear" w:color="auto" w:fill="ffffff"/>
        <w:spacing w:after="0" w:line="360" w:lineRule="auto"/>
        <w:ind w:firstLine="720"/>
        <w:jc w:val="both"/>
        <w:rPr>
          <w:rStyle w:val="None"/>
          <w:rFonts w:ascii="Times New Roman" w:cs="Times New Roman" w:hAnsi="Times New Roman" w:eastAsia="Times New Roman"/>
          <w:b w:val="1"/>
          <w:bCs w:val="1"/>
          <w:kern w:val="0"/>
          <w:sz w:val="24"/>
          <w:szCs w:val="24"/>
        </w:rPr>
      </w:pPr>
      <w:r>
        <w:rPr>
          <w:rStyle w:val="Hyperlink.1"/>
          <w:rtl w:val="0"/>
          <w:lang w:val="en-US"/>
        </w:rPr>
        <w:t>Intensive surveys were conducted in December 2023 in the Kalakad region of Tirunelveli District, Tamil Nadu. Samples were collected from the stems, leaves, and other green parts of sapota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Manilkara zapota</w:t>
      </w:r>
      <w:r>
        <w:rPr>
          <w:rStyle w:val="Hyperlink.1"/>
          <w:rtl w:val="0"/>
          <w:lang w:val="en-US"/>
        </w:rPr>
        <w:t>) and tomato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Solanum lycopersicum</w:t>
      </w:r>
      <w:r>
        <w:rPr>
          <w:rStyle w:val="Hyperlink.1"/>
          <w:rtl w:val="0"/>
          <w:lang w:val="en-US"/>
        </w:rPr>
        <w:t>) plants. The collected specimens were examined, and three mealybug species</w:t>
      </w:r>
      <w:r>
        <w:rPr>
          <w:rStyle w:val="Hyperlink.1"/>
          <w:rtl w:val="0"/>
          <w:lang w:val="en-US"/>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Phenacoccussolenopsis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Ferrisia virgata</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Maconellicoccushirsutus</w:t>
      </w:r>
      <w:r>
        <w:rPr>
          <w:rStyle w:val="Hyperlink.1"/>
          <w:rtl w:val="0"/>
          <w:lang w:val="en-US"/>
        </w:rPr>
        <w:t>—</w:t>
      </w:r>
      <w:r>
        <w:rPr>
          <w:rStyle w:val="Hyperlink.1"/>
          <w:rtl w:val="0"/>
          <w:lang w:val="en-US"/>
        </w:rPr>
        <w:t xml:space="preserve">were identified. In addition, the predatory ladybird beetle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Cryptolaemus montrouzieri</w:t>
      </w:r>
      <w:r>
        <w:rPr>
          <w:rStyle w:val="Hyperlink.1"/>
          <w:rtl w:val="0"/>
          <w:lang w:val="en-US"/>
        </w:rPr>
        <w:t xml:space="preserve"> was recorded as a natural enemy associated with these mealybugs. This predator plays a significant role in the biological control of mealybugs by actively feeding on their eggs, nymphs, and adult stages, thereby helping to suppress their populations.</w:t>
      </w:r>
      <w:r>
        <w:rPr>
          <w:rStyle w:val="Hyperlink.1"/>
        </w:rPr>
        <w:br w:type="textWrapping"/>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Field survey and study area</w:t>
      </w:r>
    </w:p>
    <w:p>
      <w:pPr>
        <w:pStyle w:val="Normal.0"/>
        <w:shd w:val="clear" w:color="auto" w:fill="ffffff"/>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crop fields, gardens, and various agro-ecological areas of Kalakad, Tirunelveli District, Tamil Nadu, India, field surveys were carried out between November 2023 and May 2024. The surveys' objectives were to gather mealybug predator species and examine their physical and molecular traits in various locations. The distribution, host range, and degree of mealybug infestation in the research region were evaluated by repeated visits. A GARMIN 12</w:t>
      </w:r>
      <w:r>
        <w:rPr>
          <w:rStyle w:val="Hyperlink.1"/>
          <w:rtl w:val="0"/>
          <w:lang w:val="en-US"/>
        </w:rPr>
        <w:t xml:space="preserve">× </w:t>
      </w:r>
      <w:r>
        <w:rPr>
          <w:rStyle w:val="Hyperlink.1"/>
          <w:rtl w:val="0"/>
          <w:lang w:val="en-US"/>
        </w:rPr>
        <w:t>Portable Global Positioning System (GPS) was used to capture the geographic coordinates of each sampling location. Mealybug infestations were closely observed in both cultivated areas and wild habitats. Details on the plant type, afflicted plant parts, and degree of infestation were recorded when infected host plants were discovered in the field.</w:t>
      </w:r>
      <w:r>
        <w:rPr>
          <w:rStyle w:val="Hyperlink.1"/>
        </w:rPr>
        <w:br w:type="textWrapping"/>
      </w:r>
      <w:r>
        <w:rPr>
          <w:rStyle w:val="None"/>
          <w:rFonts w:ascii="Times New Roman" w:hAnsi="Times New Roman"/>
          <w:outline w:val="0"/>
          <w:color w:val="161f19"/>
          <w:kern w:val="0"/>
          <w:sz w:val="24"/>
          <w:szCs w:val="24"/>
          <w:u w:color="161f19"/>
          <w:rtl w:val="0"/>
          <w:lang w:val="en-US"/>
          <w14:textFill>
            <w14:solidFill>
              <w14:srgbClr w14:val="161F19"/>
            </w14:solidFill>
          </w14:textFill>
        </w:rPr>
        <w:t xml:space="preserve">2.2. Mealybug and Predator Specimen Collection and Preservation </w:t>
      </w:r>
      <w:r>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br w:type="textWrapping"/>
      </w:r>
      <w:r>
        <w:rPr>
          <w:rStyle w:val="None"/>
          <w:rFonts w:ascii="Times New Roman" w:hAnsi="Times New Roman"/>
          <w:outline w:val="0"/>
          <w:color w:val="161f19"/>
          <w:kern w:val="0"/>
          <w:sz w:val="24"/>
          <w:szCs w:val="24"/>
          <w:u w:color="161f19"/>
          <w:rtl w:val="0"/>
          <w:lang w:val="en-US"/>
          <w14:textFill>
            <w14:solidFill>
              <w14:srgbClr w14:val="161F19"/>
            </w14:solidFill>
          </w14:textFill>
        </w:rPr>
        <w:t xml:space="preserve">Mealybug-infested plants' predatory insects were physically gathered from several locations. To avoid contamination and deterioration, each specimen was put separately into tiny, sterile glass vials filled with pure alcohol. The vials were appropriately sealed and labelled with the date, location, host plant, and collector's name, among other crucial collecting details. Before being used again, collected specimens were kept at -20 </w:t>
      </w:r>
      <w:r>
        <w:rPr>
          <w:rStyle w:val="None"/>
          <w:rFonts w:ascii="Times New Roman" w:hAnsi="Times New Roman" w:hint="default"/>
          <w:outline w:val="0"/>
          <w:color w:val="161f19"/>
          <w:kern w:val="0"/>
          <w:sz w:val="24"/>
          <w:szCs w:val="24"/>
          <w:u w:color="161f19"/>
          <w:rtl w:val="0"/>
          <w:lang w:val="en-US"/>
          <w14:textFill>
            <w14:solidFill>
              <w14:srgbClr w14:val="161F19"/>
            </w14:solidFill>
          </w14:textFill>
        </w:rPr>
        <w:t>°</w:t>
      </w:r>
      <w:r>
        <w:rPr>
          <w:rStyle w:val="None"/>
          <w:rFonts w:ascii="Times New Roman" w:hAnsi="Times New Roman"/>
          <w:outline w:val="0"/>
          <w:color w:val="161f19"/>
          <w:kern w:val="0"/>
          <w:sz w:val="24"/>
          <w:szCs w:val="24"/>
          <w:u w:color="161f19"/>
          <w:rtl w:val="0"/>
          <w:lang w:val="en-US"/>
          <w14:textFill>
            <w14:solidFill>
              <w14:srgbClr w14:val="161F19"/>
            </w14:solidFill>
          </w14:textFill>
        </w:rPr>
        <w:t>C and preserved in 95% ethanol. Both genetic analysis and morphological identification were performed on these conserved samples.</w:t>
      </w:r>
      <w:r>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br w:type="textWrapping"/>
      </w: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 xml:space="preserve">2.3. </w:t>
        <w:tab/>
        <w:t>Isolation of DNA</w:t>
      </w:r>
      <w:r>
        <w:rPr>
          <w:rStyle w:val="None"/>
          <w:rFonts w:ascii="Times New Roman" w:hAnsi="Times New Roman" w:hint="default"/>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 xml:space="preserve">Standard DNA extraction procedures were used to separate genomic DNA from individual predator specimens. </w:t>
      </w:r>
      <w:r>
        <w:rPr>
          <w:rStyle w:val="Hyperlink.1"/>
          <w:rtl w:val="0"/>
          <w:lang w:val="en-US"/>
        </w:rPr>
        <w:t>Electrophoresis</w:t>
      </w:r>
      <w:r>
        <w:rPr>
          <w:rStyle w:val="None"/>
          <w:rFonts w:ascii="Times New Roman" w:hAnsi="Times New Roman"/>
          <w:outline w:val="0"/>
          <w:color w:val="161f19"/>
          <w:kern w:val="0"/>
          <w:sz w:val="24"/>
          <w:szCs w:val="24"/>
          <w:u w:color="161f19"/>
          <w:rtl w:val="0"/>
          <w:lang w:val="en-US"/>
          <w14:textFill>
            <w14:solidFill>
              <w14:srgbClr w14:val="161F19"/>
            </w14:solidFill>
          </w14:textFill>
        </w:rPr>
        <w:t xml:space="preserve"> on a 1.0% agarose gel was used to evaluate the extracted DNA's quality and integrity. The results showed a single high-molecular-weight DNA band, suggesting high-quality DNA appropriate for further molecular study.</w:t>
      </w:r>
    </w:p>
    <w:p>
      <w:pPr>
        <w:pStyle w:val="Normal.0"/>
        <w:shd w:val="clear" w:color="auto" w:fill="ffffff"/>
        <w:spacing w:after="0" w:line="360" w:lineRule="auto"/>
        <w:jc w:val="both"/>
        <w:rPr>
          <w:rStyle w:val="None"/>
          <w:rFonts w:ascii="Times New Roman" w:cs="Times New Roman" w:hAnsi="Times New Roman" w:eastAsia="Times New Roman"/>
          <w:b w:val="1"/>
          <w:bCs w:val="1"/>
          <w:outline w:val="0"/>
          <w:color w:val="161f19"/>
          <w:kern w:val="0"/>
          <w:sz w:val="24"/>
          <w:szCs w:val="24"/>
          <w:u w:color="161f19"/>
          <w14:textFill>
            <w14:solidFill>
              <w14:srgbClr w14:val="161F19"/>
            </w14:solidFill>
          </w14:textFill>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 xml:space="preserve">2.4. </w:t>
        <w:tab/>
        <w:t>COI Gene PCR Amplification</w:t>
      </w:r>
      <w:r>
        <w:rPr>
          <w:rStyle w:val="None"/>
          <w:rFonts w:ascii="Times New Roman" w:hAnsi="Times New Roman" w:hint="default"/>
          <w:b w:val="1"/>
          <w:bCs w:val="1"/>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The universal primers LCO1490 and HCO2198 were used to amplify the mitochondrial cytochrome c oxidase subunit I (COI) gene fragment. Agarose gel electrophoresis verified that a single distinct band of around 700 bp was produced by polymerase chain reaction (PCR) amplification. After that, primers, nucleotides, and other impurities were eliminated from the amplified PCR products.</w:t>
      </w:r>
    </w:p>
    <w:p>
      <w:pPr>
        <w:pStyle w:val="Normal.0"/>
        <w:shd w:val="clear" w:color="auto" w:fill="ffffff"/>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 xml:space="preserve">2.5. </w:t>
        <w:tab/>
        <w:t>Sequence Assembly and DNA Sequencing</w:t>
      </w:r>
      <w:r>
        <w:rPr>
          <w:rStyle w:val="None"/>
          <w:rFonts w:ascii="Times New Roman" w:hAnsi="Times New Roman" w:hint="default"/>
          <w:b w:val="1"/>
          <w:bCs w:val="1"/>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Bidirectional DNA sequencing was performed on purified PCR products using both forward and reverse primers (LCO and HCO). Using an ABI 3730xl Genetic Analyzer and the BDT v3.1 Cycle Sequencing Kit, sequencing was carried out. Using the appropriate sequence alignment tools, the acquired forward and reverse sequences were put together to create a consensus COI sequence.</w:t>
      </w:r>
    </w:p>
    <w:p>
      <w:pPr>
        <w:pStyle w:val="Normal.0"/>
        <w:shd w:val="clear" w:color="auto" w:fill="ffffff"/>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 xml:space="preserve">2.6. </w:t>
        <w:tab/>
        <w:t>Phylogenetic Analysis and Sequence Analysis</w:t>
      </w:r>
      <w:r>
        <w:rPr>
          <w:rStyle w:val="None"/>
          <w:rFonts w:ascii="Times New Roman" w:hAnsi="Times New Roman" w:hint="default"/>
          <w:b w:val="1"/>
          <w:bCs w:val="1"/>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To verify species identification, the consensus COI sequences were examined using the BLASTn program against the NCBI GenBank's "nr" database.The top ten matched sequences were chosen for additional examination based on the highest % identity and query coverage. ClustalW was used for multiple sequence alignment; the RDP database was used to create a genetic distance matrix; and MEGA version 11 was used to create a phylogenetic tree in order to infer phylogenetic connections. The evaluation of DNA diversity and taxonomic connections among mealybug predator species gathered from the Kalakad area was made possible by this investigation.</w:t>
      </w:r>
    </w:p>
    <w:p>
      <w:pPr>
        <w:pStyle w:val="Normal.0"/>
        <w:shd w:val="clear" w:color="auto" w:fill="ffffff"/>
        <w:spacing w:after="0" w:line="360" w:lineRule="auto"/>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3.</w:t>
        <w:tab/>
        <w:t>RESULTS</w:t>
      </w:r>
      <w:r>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br w:type="textWrapping"/>
      </w:r>
      <w:r>
        <w:rPr>
          <w:rStyle w:val="None"/>
          <w:rFonts w:ascii="Times New Roman" w:hAnsi="Times New Roman"/>
          <w:outline w:val="0"/>
          <w:color w:val="161f19"/>
          <w:kern w:val="0"/>
          <w:sz w:val="24"/>
          <w:szCs w:val="24"/>
          <w:u w:color="161f19"/>
          <w:rtl w:val="0"/>
          <w:lang w:val="en-US"/>
          <w14:textFill>
            <w14:solidFill>
              <w14:srgbClr w14:val="161F19"/>
            </w14:solidFill>
          </w14:textFill>
        </w:rPr>
        <w:t xml:space="preserve">3.1. </w:t>
        <w:tab/>
      </w: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BLAST Analysis and COI Gene Sequencing</w:t>
      </w:r>
      <w:r>
        <w:rPr>
          <w:rStyle w:val="None"/>
          <w:rFonts w:ascii="Times New Roman" w:hAnsi="Times New Roman" w:hint="default"/>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The 1371 bp mitochondrial cytochrome c oxidase subunit I (COI) gene sequence from the predator specimen was analyzed using BLASTN against the NCBI core_nt database. The specimen's taxonomic position within the family Coccinellidae was confirmed by the BLAST findings, which showed extremely significant sequence similarity with other members of this family. The genera Scymnus, Nephus, and Didion, which are well-known predatory ladybird beetles linked to mealybug populations, showed the strongest similarities.</w:t>
      </w:r>
      <w:r>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br w:type="textWrapping"/>
      </w:r>
      <w:r>
        <w:rPr>
          <w:rStyle w:val="None"/>
          <w:rFonts w:ascii="Times New Roman" w:hAnsi="Times New Roman"/>
          <w:outline w:val="0"/>
          <w:color w:val="161f19"/>
          <w:kern w:val="0"/>
          <w:sz w:val="24"/>
          <w:szCs w:val="24"/>
          <w:u w:color="161f19"/>
          <w:rtl w:val="0"/>
          <w:lang w:val="en-US"/>
          <w14:textFill>
            <w14:solidFill>
              <w14:srgbClr w14:val="161F19"/>
            </w14:solidFill>
          </w14:textFill>
        </w:rPr>
        <w:t>With a maximum alignment score of 699, query coverage of 86%, percent identity of 87.28%, and an E-value of 0.0, Scymnusnankunicus (Accession No. MK802022.1) had the greatest similarity among the recovered sequences, suggesting a highly dependable and statistically significant match.</w:t>
      </w:r>
    </w:p>
    <w:p>
      <w:pPr>
        <w:pStyle w:val="Normal.0"/>
        <w:shd w:val="clear" w:color="auto" w:fill="ffffff"/>
        <w:spacing w:after="0" w:line="360" w:lineRule="auto"/>
        <w:jc w:val="both"/>
        <w:rPr>
          <w:rStyle w:val="None"/>
          <w:rFonts w:ascii="Times New Roman" w:cs="Times New Roman" w:hAnsi="Times New Roman" w:eastAsia="Times New Roman"/>
          <w:b w:val="1"/>
          <w:bCs w:val="1"/>
          <w:outline w:val="0"/>
          <w:color w:val="161f19"/>
          <w:kern w:val="0"/>
          <w:sz w:val="24"/>
          <w:szCs w:val="24"/>
          <w:u w:color="161f19"/>
          <w14:textFill>
            <w14:solidFill>
              <w14:srgbClr w14:val="161F19"/>
            </w14:solidFill>
          </w14:textFill>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 xml:space="preserve">3.2. </w:t>
        <w:tab/>
        <w:t>Cryptolaemus montrouzieri Molecular Identification</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 xml:space="preserve">The NCBI GenBank database was used to perform a BLAST analysis on the mitochondrial cytochrome c oxidase subunit I (COI) gene sequence that was extracted from the predatory ladybird beetle. With the reference sequence of Cryptolaemus montrouzieri voucher CM1 (GenBank accession number MN998955.1), the sequence demonstrated 100% query coverage, 100.00% sequence identity, and an E-value of 0.0. These findings supported the predator's morphological identification as </w:t>
      </w:r>
      <w:r>
        <w:rPr>
          <w:rStyle w:val="None"/>
          <w:rFonts w:ascii="Times New Roman" w:hAnsi="Times New Roman"/>
          <w:i w:val="1"/>
          <w:iCs w:val="1"/>
          <w:outline w:val="0"/>
          <w:color w:val="161f19"/>
          <w:kern w:val="0"/>
          <w:sz w:val="24"/>
          <w:szCs w:val="24"/>
          <w:u w:color="161f19"/>
          <w:rtl w:val="0"/>
          <w:lang w:val="en-US"/>
          <w14:textFill>
            <w14:solidFill>
              <w14:srgbClr w14:val="161F19"/>
            </w14:solidFill>
          </w14:textFill>
        </w:rPr>
        <w:t>Cryptolaemus montrouzieri</w:t>
      </w:r>
      <w:r>
        <w:rPr>
          <w:rStyle w:val="None"/>
          <w:rFonts w:ascii="Times New Roman" w:hAnsi="Times New Roman"/>
          <w:outline w:val="0"/>
          <w:color w:val="161f19"/>
          <w:kern w:val="0"/>
          <w:sz w:val="24"/>
          <w:szCs w:val="24"/>
          <w:u w:color="161f19"/>
          <w:rtl w:val="0"/>
          <w:lang w:val="en-US"/>
          <w14:textFill>
            <w14:solidFill>
              <w14:srgbClr w14:val="161F19"/>
            </w14:solidFill>
          </w14:textFill>
        </w:rPr>
        <w:t>. The COI gene sequence was successfully uploaded to the NCBI GenBank database after sequence validation, and it was given the accession number PZ384531. This entry number acts as a permanent reference for upcoming molecular identification and phylogenetic studies and reflects the new sequence produced in the current investigation.</w:t>
      </w:r>
    </w:p>
    <w:p>
      <w:pPr>
        <w:pStyle w:val="Normal.0"/>
        <w:shd w:val="clear" w:color="auto" w:fill="ffffff"/>
        <w:spacing w:after="0" w:line="360" w:lineRule="auto"/>
        <w:jc w:val="both"/>
        <w:rPr>
          <w:rStyle w:val="None"/>
          <w:rFonts w:ascii="Times New Roman" w:cs="Times New Roman" w:hAnsi="Times New Roman" w:eastAsia="Times New Roman"/>
          <w:b w:val="1"/>
          <w:bCs w:val="1"/>
          <w:outline w:val="0"/>
          <w:color w:val="161f19"/>
          <w:kern w:val="0"/>
          <w:sz w:val="24"/>
          <w:szCs w:val="24"/>
          <w:u w:color="161f19"/>
          <w14:textFill>
            <w14:solidFill>
              <w14:srgbClr w14:val="161F19"/>
            </w14:solidFill>
          </w14:textFill>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 xml:space="preserve">3.3. </w:t>
        <w:tab/>
        <w:t>Phylogenetic Connections</w:t>
      </w:r>
      <w:r>
        <w:rPr>
          <w:rStyle w:val="None"/>
          <w:rFonts w:ascii="Times New Roman" w:hAnsi="Times New Roman" w:hint="default"/>
          <w:b w:val="1"/>
          <w:bCs w:val="1"/>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The examined specimen was grouped with Scymnus and Nephus species in a well-supported clade within the family Coccinellidae by phylogenetic analysis based on the aligned COI sequences. The Kalakad specimen's genetic similarity to well-known mealybug predators is highlighted by the clustering pattern, suggesting its possible ecological importance in controlling mealybug populations in agricultural habitats.</w:t>
      </w:r>
    </w:p>
    <w:p>
      <w:pPr>
        <w:pStyle w:val="Normal.0"/>
        <w:shd w:val="clear" w:color="auto" w:fill="ffffff"/>
        <w:spacing w:after="0" w:line="360" w:lineRule="auto"/>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3.4. Coccinellidae's Predatory Significance</w:t>
      </w:r>
      <w:r>
        <w:rPr>
          <w:rStyle w:val="None"/>
          <w:rFonts w:ascii="Times New Roman" w:hAnsi="Times New Roman" w:hint="default"/>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000000"/>
          <w:kern w:val="0"/>
          <w:sz w:val="2"/>
          <w:szCs w:val="2"/>
          <w:u w:color="000000"/>
          <w14:textFill>
            <w14:solidFill>
              <w14:srgbClr w14:val="000000"/>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Mealybug crawlers are the most susceptible developmental stage, and coccinellid beetles have a great predisposition for preying on them, according to extensive documentation of their predatory behavior. Interactions between predators and prey are crucial in determining population dynamics and the movement of energy across trophic levels. According to earlier research, predatory beetles that are fed live prey, such mealybugs and aphids, have greater survival rates and quicker maturity timeframes. The efficacy of coccinellids as biological control agents is further supported by these ecological characteristics.</w:t>
      </w:r>
      <w:r>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br w:type="textWrapping"/>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w:t>
        <w:tab/>
        <w:t>DISCUSSION</w:t>
      </w:r>
      <w:r>
        <w:rPr>
          <w:rStyle w:val="Hyperlink.1"/>
          <w:rtl w:val="0"/>
          <w:lang w:val="en-US"/>
        </w:rPr>
        <w:t xml:space="preserve"> </w:t>
        <w:br w:type="textWrapping"/>
      </w:r>
    </w:p>
    <w:p>
      <w:pPr>
        <w:pStyle w:val="Normal.0"/>
        <w:shd w:val="clear" w:color="auto" w:fill="ffffff"/>
        <w:spacing w:after="0" w:line="360" w:lineRule="auto"/>
        <w:ind w:firstLine="720"/>
        <w:jc w:val="both"/>
        <w:rPr>
          <w:rStyle w:val="Hyperlink.1"/>
        </w:rPr>
      </w:pPr>
      <w:r>
        <w:rPr>
          <w:rStyle w:val="Hyperlink.1"/>
          <w:rtl w:val="0"/>
          <w:lang w:val="en-US"/>
        </w:rPr>
        <w:t>The present study provides molecular confirmation of a mealybug predator collected from the Kalakad region of Tamil Nadu, emphasizing the importance of ladybird beetles (Coccinellidae) as effective biological control agents. DNA barcoding based on the mitochondrial COI gene successfully resolved the taxonomic identity of the specimen and revealed strong genetic affinities with members of the subfamily Scymninae, particularly species of the genera Scymnus and Nephus. These genera are well documented as specialized predators of mealybugs and other soft-bodied pests (Kumar et al., 2014; Omkar &amp; Pervez, 2016). BLAST analysis showed high sequence similarity with Scymnusnankunicus, Scymnuspenicilliformis, and Nephus species, with high query coverage and zero E values, indicating reliable taxonomic placement. Although percent identity values were below 90%, this level of similarity is commonly reported among closely related coccinellid species due to intraspecific variation, geographic divergence, and limited reference sequences in public databases (Hebert et al., 2003; Ashfaq et al., 2019). The clustering of the Kalakad specimen with Scymnus and Nephus species in the phylogenetic analysis further supports its evolutionary relationship with known mealybug predators.</w:t>
      </w:r>
    </w:p>
    <w:p>
      <w:pPr>
        <w:pStyle w:val="Normal.0"/>
        <w:shd w:val="clear" w:color="auto" w:fill="ffffff"/>
        <w:spacing w:after="0" w:line="360" w:lineRule="auto"/>
        <w:ind w:firstLine="720"/>
        <w:jc w:val="both"/>
        <w:rPr>
          <w:rStyle w:val="Hyperlink.1"/>
        </w:rPr>
      </w:pPr>
      <w:r>
        <w:rPr>
          <w:rStyle w:val="Hyperlink.1"/>
          <w:rtl w:val="0"/>
          <w:lang w:val="en-US"/>
        </w:rPr>
        <w:t>The ecological significance of Scymninae beetles lies in their strong predatory preference for early developmental stages of mealybugs, particularly crawlers, which are the most vulnerable stage (Saikia &amp; Balasubramanian, 2002). Effective predation at this stage can significantly reduce population buildup and subsequent crop damage. Predator</w:t>
      </w:r>
      <w:r>
        <w:rPr>
          <w:rStyle w:val="Hyperlink.1"/>
          <w:rtl w:val="0"/>
          <w:lang w:val="en-US"/>
        </w:rPr>
        <w:t>–</w:t>
      </w:r>
      <w:r>
        <w:rPr>
          <w:rStyle w:val="Hyperlink.1"/>
          <w:rtl w:val="0"/>
          <w:lang w:val="en-US"/>
        </w:rPr>
        <w:t>prey dynamics play a crucial role in regulating pest populations and maintaining ecological balance, influencing both population structure and energy transfer across trophic levels (Begon, Townsend, &amp; Harper, 2006).</w:t>
      </w:r>
    </w:p>
    <w:p>
      <w:pPr>
        <w:pStyle w:val="Normal.0"/>
        <w:shd w:val="clear" w:color="auto" w:fill="ffffff"/>
        <w:spacing w:after="0" w:line="360" w:lineRule="auto"/>
        <w:ind w:left="720" w:hanging="720"/>
        <w:jc w:val="both"/>
        <w:rPr>
          <w:rStyle w:val="Hyperlink.1"/>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Overall, the current work adds important molecular information on South Indian mealybug predators, an area that is still underrepresented in international genetic databases. Creating a thorough DNA barcode library for beneficial insects would improve biological control programs' accuracy, lower the possibility of misidentification, and encourage ecologically friendly pest management techniques that rely less on chemical pesticides.</w:t>
      </w:r>
      <w:r>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br w:type="textWrapping"/>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hd w:val="clear" w:color="auto" w:fill="ffffff"/>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Ashfaq, M., &amp; Hebert, P. D. N. </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2016</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w:t>
      </w:r>
      <w:r>
        <w:rPr>
          <w:rStyle w:val="Hyperlink.1"/>
          <w:rtl w:val="0"/>
          <w:lang w:val="en-US"/>
        </w:rPr>
        <w:t xml:space="preserve"> DNA barcoding for insect pest identification: A test case with economically important moth species. </w:t>
      </w:r>
      <w:r>
        <w:rPr>
          <w:rStyle w:val="None"/>
          <w:rFonts w:ascii="Times New Roman" w:hAnsi="Times New Roman"/>
          <w:i w:val="1"/>
          <w:iCs w:val="1"/>
          <w:kern w:val="0"/>
          <w:sz w:val="24"/>
          <w:szCs w:val="24"/>
          <w:rtl w:val="0"/>
          <w:lang w:val="en-US"/>
        </w:rPr>
        <w:t>Molecular Ecology Resources,</w:t>
      </w:r>
      <w:r>
        <w:rPr>
          <w:rStyle w:val="Hyperlink.1"/>
          <w:rtl w:val="0"/>
          <w:lang w:val="en-US"/>
        </w:rPr>
        <w:t xml:space="preserve"> 16(1), 1</w:t>
      </w:r>
      <w:r>
        <w:rPr>
          <w:rStyle w:val="Hyperlink.1"/>
          <w:rtl w:val="0"/>
          <w:lang w:val="en-US"/>
        </w:rPr>
        <w:t>–</w:t>
      </w:r>
      <w:r>
        <w:rPr>
          <w:rStyle w:val="Hyperlink.1"/>
          <w:rtl w:val="0"/>
          <w:lang w:val="en-US"/>
        </w:rPr>
        <w:t>10.</w:t>
      </w:r>
    </w:p>
    <w:p>
      <w:pPr>
        <w:pStyle w:val="Normal.0"/>
        <w:shd w:val="clear" w:color="auto" w:fill="ffffff"/>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Begon, M., Townsend, C. R., &amp; Harper, J. 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2006.</w:t>
      </w:r>
      <w:r>
        <w:rPr>
          <w:rStyle w:val="Hyperlink.1"/>
          <w:rtl w:val="0"/>
          <w:lang w:val="en-US"/>
        </w:rPr>
        <w:t xml:space="preserve"> Ecology: From individuals to ecosystems (4th ed.). Oxford: Blackwell Publishing.</w:t>
      </w:r>
      <w:r>
        <w:rPr>
          <w:rStyle w:val="Hyperlink.1"/>
        </w:rPr>
        <w:br w:type="textWrapping"/>
      </w:r>
      <w:r>
        <w:rPr>
          <w:rStyle w:val="Hyperlink.1"/>
          <w:rtl w:val="0"/>
          <w:lang w:val="en-US"/>
        </w:rPr>
        <w:t xml:space="preserve">Hebert, P. D. N., Cywinska, A., Ball, S. L., &amp;deWaard, J. R. (2003). Biological identifications through DNA barcodes. </w:t>
      </w:r>
      <w:r>
        <w:rPr>
          <w:rStyle w:val="None"/>
          <w:rFonts w:ascii="Times New Roman" w:hAnsi="Times New Roman"/>
          <w:i w:val="1"/>
          <w:iCs w:val="1"/>
          <w:kern w:val="0"/>
          <w:sz w:val="24"/>
          <w:szCs w:val="24"/>
          <w:rtl w:val="0"/>
          <w:lang w:val="en-US"/>
        </w:rPr>
        <w:t>Proceedings of the Royal Society B</w:t>
      </w:r>
      <w:r>
        <w:rPr>
          <w:rStyle w:val="Hyperlink.1"/>
          <w:rtl w:val="0"/>
          <w:lang w:val="en-US"/>
        </w:rPr>
        <w:t xml:space="preserve">, 270, </w:t>
      </w:r>
      <w:r>
        <w:rPr>
          <w:rStyle w:val="Hyperlink.3"/>
        </w:rPr>
        <w:fldChar w:fldCharType="begin" w:fldLock="0"/>
      </w:r>
      <w:r>
        <w:rPr>
          <w:rStyle w:val="Hyperlink.3"/>
        </w:rPr>
        <w:instrText xml:space="preserve"> HYPERLINK "https://doi.org/10.1098/rspb.2002.2218%2520313%25E2%2580%2593321"</w:instrText>
      </w:r>
      <w:r>
        <w:rPr>
          <w:rStyle w:val="Hyperlink.3"/>
        </w:rPr>
        <w:fldChar w:fldCharType="separate" w:fldLock="0"/>
      </w:r>
      <w:r>
        <w:rPr>
          <w:rStyle w:val="Hyperlink.3"/>
          <w:rtl w:val="0"/>
          <w:lang w:val="en-US"/>
        </w:rPr>
        <w:t>https://doi.org/10.1098/rspb.2002.2218 313</w:t>
      </w:r>
      <w:r>
        <w:rPr>
          <w:rStyle w:val="Hyperlink.3"/>
          <w:rtl w:val="0"/>
          <w:lang w:val="en-US"/>
        </w:rPr>
        <w:t>–</w:t>
      </w:r>
      <w:r>
        <w:rPr>
          <w:rStyle w:val="Hyperlink.3"/>
          <w:rtl w:val="0"/>
          <w:lang w:val="en-US"/>
        </w:rPr>
        <w:t>321</w:t>
      </w:r>
      <w:r>
        <w:rPr/>
        <w:fldChar w:fldCharType="end" w:fldLock="0"/>
      </w:r>
      <w:r>
        <w:rPr>
          <w:rStyle w:val="Hyperlink.1"/>
          <w:rtl w:val="0"/>
          <w:lang w:val="en-US"/>
        </w:rPr>
        <w:t>.</w:t>
      </w:r>
    </w:p>
    <w:p>
      <w:pPr>
        <w:pStyle w:val="Normal.0"/>
        <w:shd w:val="clear" w:color="auto" w:fill="ffffff"/>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Huseyin Yerlinkaya., Huseyin</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2023</w:t>
      </w:r>
      <w:r>
        <w:rPr>
          <w:rStyle w:val="None"/>
          <w:rFonts w:ascii="Times New Roman" w:hAnsi="Times New Roman"/>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Hyperlink.1"/>
          <w:rtl w:val="0"/>
          <w:lang w:val="en-US"/>
        </w:rPr>
        <w:t xml:space="preserve">(Hemiptera:Pseudococcidae)predators province,Turkiye.DOI:10.31019/tbmd.1226047. </w:t>
      </w:r>
      <w:r>
        <w:rPr>
          <w:rStyle w:val="None"/>
          <w:rFonts w:ascii="Times New Roman" w:hAnsi="Times New Roman"/>
          <w:i w:val="1"/>
          <w:iCs w:val="1"/>
          <w:kern w:val="0"/>
          <w:sz w:val="24"/>
          <w:szCs w:val="24"/>
          <w:rtl w:val="0"/>
          <w:lang w:val="en-US"/>
        </w:rPr>
        <w:t>Baspinar,Nedim of the family Uygun coccinellidae.</w:t>
      </w:r>
      <w:r>
        <w:rPr>
          <w:rStyle w:val="Hyperlink.1"/>
          <w:rtl w:val="0"/>
          <w:lang w:val="en-US"/>
        </w:rPr>
        <w:t xml:space="preserve"> </w:t>
      </w:r>
      <w:r>
        <w:rPr>
          <w:rStyle w:val="Hyperlink.1"/>
          <w:rtl w:val="0"/>
          <w:lang w:val="en-US"/>
        </w:rPr>
        <w:t>Mealybug from Aydin.</w:t>
      </w:r>
    </w:p>
    <w:p>
      <w:pPr>
        <w:pStyle w:val="Normal.0"/>
        <w:shd w:val="clear" w:color="auto" w:fill="ffffff"/>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Khan, I., &amp; Khan, A. A.</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2002. </w:t>
      </w:r>
      <w:r>
        <w:rPr>
          <w:rStyle w:val="Hyperlink.1"/>
          <w:rtl w:val="0"/>
          <w:lang w:val="en-US"/>
        </w:rPr>
        <w:t xml:space="preserve">Biological parameters of coccinellid predators fed on different aphid species. </w:t>
      </w:r>
      <w:r>
        <w:rPr>
          <w:rStyle w:val="None"/>
          <w:rFonts w:ascii="Times New Roman" w:hAnsi="Times New Roman"/>
          <w:i w:val="1"/>
          <w:iCs w:val="1"/>
          <w:kern w:val="0"/>
          <w:sz w:val="24"/>
          <w:szCs w:val="24"/>
          <w:rtl w:val="0"/>
          <w:lang w:val="en-US"/>
        </w:rPr>
        <w:t>Journal of Biological Sciences,</w:t>
      </w:r>
      <w:r>
        <w:rPr>
          <w:rStyle w:val="Hyperlink.1"/>
          <w:rtl w:val="0"/>
          <w:lang w:val="en-US"/>
        </w:rPr>
        <w:t xml:space="preserve"> 2, 192</w:t>
      </w:r>
      <w:r>
        <w:rPr>
          <w:rStyle w:val="Hyperlink.1"/>
          <w:rtl w:val="0"/>
          <w:lang w:val="en-US"/>
        </w:rPr>
        <w:t>–</w:t>
      </w:r>
      <w:r>
        <w:rPr>
          <w:rStyle w:val="Hyperlink.1"/>
          <w:rtl w:val="0"/>
          <w:lang w:val="en-US"/>
        </w:rPr>
        <w:t>194.</w:t>
      </w:r>
    </w:p>
    <w:p>
      <w:pPr>
        <w:pStyle w:val="Normal.0"/>
        <w:shd w:val="clear" w:color="auto" w:fill="ffffff"/>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Kumar, S., Kontodimas, D. C., &amp; Stathas, G. J.</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2014</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w:t>
      </w:r>
      <w:r>
        <w:rPr>
          <w:rStyle w:val="Hyperlink.1"/>
          <w:rtl w:val="0"/>
          <w:lang w:val="en-US"/>
        </w:rPr>
        <w:t xml:space="preserve">Biological control of mealybugs: A review. </w:t>
      </w:r>
      <w:r>
        <w:rPr>
          <w:rStyle w:val="None"/>
          <w:rFonts w:ascii="Times New Roman" w:hAnsi="Times New Roman"/>
          <w:i w:val="1"/>
          <w:iCs w:val="1"/>
          <w:kern w:val="0"/>
          <w:sz w:val="24"/>
          <w:szCs w:val="24"/>
          <w:rtl w:val="0"/>
          <w:lang w:val="en-US"/>
        </w:rPr>
        <w:t>Biocontrol Science and Technology,</w:t>
      </w:r>
      <w:r>
        <w:rPr>
          <w:rStyle w:val="Hyperlink.1"/>
          <w:rtl w:val="0"/>
          <w:lang w:val="en-US"/>
        </w:rPr>
        <w:t xml:space="preserve"> 24(1), 1</w:t>
      </w:r>
      <w:r>
        <w:rPr>
          <w:rStyle w:val="Hyperlink.1"/>
          <w:rtl w:val="0"/>
          <w:lang w:val="en-US"/>
        </w:rPr>
        <w:t>–</w:t>
      </w:r>
      <w:r>
        <w:rPr>
          <w:rStyle w:val="Hyperlink.1"/>
          <w:rtl w:val="0"/>
          <w:lang w:val="en-US"/>
        </w:rPr>
        <w:t xml:space="preserve">17. </w:t>
      </w:r>
      <w:r>
        <w:rPr>
          <w:rStyle w:val="Hyperlink.3"/>
        </w:rPr>
        <w:fldChar w:fldCharType="begin" w:fldLock="0"/>
      </w:r>
      <w:r>
        <w:rPr>
          <w:rStyle w:val="Hyperlink.3"/>
        </w:rPr>
        <w:instrText xml:space="preserve"> HYPERLINK "https://doi.org/10.1080/09583157.2013.856476"</w:instrText>
      </w:r>
      <w:r>
        <w:rPr>
          <w:rStyle w:val="Hyperlink.3"/>
        </w:rPr>
        <w:fldChar w:fldCharType="separate" w:fldLock="0"/>
      </w:r>
      <w:r>
        <w:rPr>
          <w:rStyle w:val="Hyperlink.3"/>
          <w:rtl w:val="0"/>
          <w:lang w:val="en-US"/>
        </w:rPr>
        <w:t>https://doi.org/10.1080/09583157.2013.856476</w:t>
      </w:r>
      <w:r>
        <w:rPr/>
        <w:fldChar w:fldCharType="end" w:fldLock="0"/>
      </w:r>
      <w:r>
        <w:rPr>
          <w:rStyle w:val="Hyperlink.1"/>
          <w:rtl w:val="0"/>
          <w:lang w:val="en-US"/>
        </w:rPr>
        <w:t>.</w:t>
      </w:r>
    </w:p>
    <w:p>
      <w:pPr>
        <w:pStyle w:val="Normal.0"/>
        <w:shd w:val="clear" w:color="auto" w:fill="ffffff"/>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Saikia, D. K., &amp; Balasubramanian, G.</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2002.</w:t>
      </w:r>
      <w:r>
        <w:rPr>
          <w:rStyle w:val="Hyperlink.1"/>
          <w:rtl w:val="0"/>
          <w:lang w:val="en-US"/>
        </w:rPr>
        <w:t xml:space="preserve"> Predatory efficiency of coccinellids on mealybugs.</w:t>
      </w:r>
      <w:r>
        <w:rPr>
          <w:rStyle w:val="None"/>
          <w:rFonts w:ascii="Times New Roman" w:hAnsi="Times New Roman"/>
          <w:i w:val="1"/>
          <w:iCs w:val="1"/>
          <w:kern w:val="0"/>
          <w:sz w:val="24"/>
          <w:szCs w:val="24"/>
          <w:rtl w:val="0"/>
          <w:lang w:val="en-US"/>
        </w:rPr>
        <w:t xml:space="preserve"> Journal of Biological Control,</w:t>
      </w:r>
      <w:r>
        <w:rPr>
          <w:rStyle w:val="Hyperlink.1"/>
          <w:rtl w:val="0"/>
          <w:lang w:val="en-US"/>
        </w:rPr>
        <w:t xml:space="preserve"> 16(1), 29</w:t>
      </w:r>
      <w:r>
        <w:rPr>
          <w:rStyle w:val="Hyperlink.1"/>
          <w:rtl w:val="0"/>
          <w:lang w:val="en-US"/>
        </w:rPr>
        <w:t>–</w:t>
      </w:r>
      <w:r>
        <w:rPr>
          <w:rStyle w:val="Hyperlink.1"/>
          <w:rtl w:val="0"/>
          <w:lang w:val="en-US"/>
        </w:rPr>
        <w:t>32</w:t>
      </w:r>
    </w:p>
    <w:p>
      <w:pPr>
        <w:pStyle w:val="Normal.0"/>
        <w:shd w:val="clear" w:color="auto" w:fill="ffffff"/>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Laura Goldsteyn ,Hana Martens, Joachim Audenaert, Ruth vehoeven,BrunoGobin ,and Ptic De Clercq</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2021</w:t>
      </w:r>
      <w:r>
        <w:rPr>
          <w:rStyle w:val="None"/>
          <w:rFonts w:ascii="Times New Roman" w:hAnsi="Times New Roman"/>
          <w:b w:val="1"/>
          <w:bCs w:val="1"/>
          <w:kern w:val="0"/>
          <w:sz w:val="24"/>
          <w:szCs w:val="24"/>
          <w:rtl w:val="0"/>
          <w:lang w:val="en-US"/>
        </w:rPr>
        <w:t xml:space="preserve">. </w:t>
      </w:r>
      <w:r>
        <w:rPr>
          <w:rStyle w:val="Hyperlink.1"/>
          <w:rtl w:val="0"/>
          <w:lang w:val="en-US"/>
        </w:rPr>
        <w:t>intraguild Interactions between the Mealybug predators Cryptolaemusmontrouzieri and Crysoperlacarnea , doi:10.3390/insects 12070655 .</w:t>
      </w:r>
    </w:p>
    <w:p>
      <w:pPr>
        <w:pStyle w:val="Normal.0"/>
        <w:shd w:val="clear" w:color="auto" w:fill="ffffff"/>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Obrycki </w:t>
      </w:r>
      <w:r>
        <w:rPr>
          <w:rStyle w:val="None"/>
          <w:rFonts w:ascii="Times New Roman" w:hAnsi="Times New Roman" w:hint="default"/>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JJ, </w:t>
      </w:r>
      <w:r>
        <w:rPr>
          <w:rStyle w:val="None"/>
          <w:rFonts w:ascii="Times New Roman" w:hAnsi="Times New Roman" w:hint="default"/>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Kring </w:t>
      </w:r>
      <w:r>
        <w:rPr>
          <w:rStyle w:val="None"/>
          <w:rFonts w:ascii="Times New Roman" w:hAnsi="Times New Roman" w:hint="default"/>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TJ</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None"/>
          <w:rFonts w:ascii="Times New Roman" w:hAnsi="Times New Roman" w:hint="default"/>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1998. </w:t>
      </w:r>
      <w:r>
        <w:rPr>
          <w:rStyle w:val="None"/>
          <w:rFonts w:ascii="Times New Roman" w:hAnsi="Times New Roman" w:hint="default"/>
          <w:b w:val="1"/>
          <w:bCs w:val="1"/>
          <w:kern w:val="0"/>
          <w:sz w:val="24"/>
          <w:szCs w:val="24"/>
          <w:rtl w:val="0"/>
          <w:lang w:val="en-US"/>
        </w:rPr>
        <w:t xml:space="preserve">  </w:t>
      </w:r>
      <w:r>
        <w:rPr>
          <w:rStyle w:val="Hyperlink.1"/>
          <w:rtl w:val="0"/>
          <w:lang w:val="en-US"/>
        </w:rPr>
        <w:t>Predaceous Coccinellidae</w:t>
      </w:r>
      <w:r>
        <w:rPr>
          <w:rStyle w:val="Hyperlink.1"/>
          <w:rtl w:val="0"/>
          <w:lang w:val="en-US"/>
        </w:rPr>
        <w:t xml:space="preserve">    </w:t>
      </w:r>
      <w:r>
        <w:rPr>
          <w:rStyle w:val="Hyperlink.1"/>
          <w:rtl w:val="0"/>
          <w:lang w:val="en-US"/>
        </w:rPr>
        <w:t>in</w:t>
      </w:r>
      <w:r>
        <w:rPr>
          <w:rStyle w:val="Hyperlink.1"/>
          <w:rtl w:val="0"/>
          <w:lang w:val="en-US"/>
        </w:rPr>
        <w:t xml:space="preserve">    </w:t>
      </w:r>
      <w:r>
        <w:rPr>
          <w:rStyle w:val="Hyperlink.1"/>
          <w:rtl w:val="0"/>
          <w:lang w:val="en-US"/>
        </w:rPr>
        <w:t>biological</w:t>
      </w:r>
      <w:r>
        <w:rPr>
          <w:rStyle w:val="Hyperlink.1"/>
          <w:rtl w:val="0"/>
          <w:lang w:val="en-US"/>
        </w:rPr>
        <w:t xml:space="preserve">    </w:t>
      </w:r>
      <w:r>
        <w:rPr>
          <w:rStyle w:val="None"/>
          <w:rFonts w:ascii="Times New Roman" w:hAnsi="Times New Roman"/>
          <w:i w:val="1"/>
          <w:iCs w:val="1"/>
          <w:kern w:val="0"/>
          <w:sz w:val="24"/>
          <w:szCs w:val="24"/>
          <w:rtl w:val="0"/>
          <w:lang w:val="en-US"/>
        </w:rPr>
        <w:t>Review of Entomology</w:t>
      </w:r>
      <w:r>
        <w:rPr>
          <w:rStyle w:val="None"/>
          <w:rFonts w:ascii="Times New Roman" w:hAnsi="Times New Roman"/>
          <w:i w:val="1"/>
          <w:iCs w:val="1"/>
          <w:kern w:val="0"/>
          <w:sz w:val="24"/>
          <w:szCs w:val="24"/>
          <w:rtl w:val="0"/>
          <w:lang w:val="en-US"/>
        </w:rPr>
        <w:t xml:space="preserve"> </w:t>
      </w:r>
      <w:r>
        <w:rPr>
          <w:rStyle w:val="None"/>
          <w:rFonts w:ascii="Times New Roman" w:hAnsi="Times New Roman"/>
          <w:kern w:val="0"/>
          <w:sz w:val="24"/>
          <w:szCs w:val="24"/>
          <w:rtl w:val="0"/>
          <w:lang w:val="en-US"/>
        </w:rPr>
        <w:t>43:295</w:t>
      </w:r>
      <w:r>
        <w:rPr>
          <w:rStyle w:val="None"/>
          <w:rFonts w:ascii="Times New Roman" w:hAnsi="Times New Roman" w:hint="default"/>
          <w:kern w:val="0"/>
          <w:sz w:val="24"/>
          <w:szCs w:val="24"/>
          <w:rtl w:val="0"/>
          <w:lang w:val="en-US"/>
        </w:rPr>
        <w:t>–</w:t>
      </w:r>
      <w:r>
        <w:rPr>
          <w:rStyle w:val="None"/>
          <w:rFonts w:ascii="Times New Roman" w:hAnsi="Times New Roman"/>
          <w:kern w:val="0"/>
          <w:sz w:val="24"/>
          <w:szCs w:val="24"/>
          <w:rtl w:val="0"/>
          <w:lang w:val="en-US"/>
        </w:rPr>
        <w:t>321. control</w:t>
      </w:r>
      <w:r>
        <w:rPr>
          <w:rStyle w:val="None"/>
          <w:rFonts w:ascii="Times New Roman" w:hAnsi="Times New Roman"/>
          <w:i w:val="1"/>
          <w:iCs w:val="1"/>
          <w:kern w:val="0"/>
          <w:sz w:val="24"/>
          <w:szCs w:val="24"/>
          <w:rtl w:val="0"/>
          <w:lang w:val="en-US"/>
        </w:rPr>
        <w:t>. Annual Review of Entom</w:t>
      </w:r>
      <w:r>
        <w:rPr>
          <w:rStyle w:val="Hyperlink.1"/>
          <w:rtl w:val="0"/>
          <w:lang w:val="en-US"/>
        </w:rPr>
        <w:t>ology43:295</w:t>
      </w:r>
      <w:r>
        <w:rPr>
          <w:rStyle w:val="Hyperlink.1"/>
          <w:rtl w:val="0"/>
          <w:lang w:val="en-US"/>
        </w:rPr>
        <w:t>–</w:t>
      </w:r>
      <w:r>
        <w:rPr>
          <w:rStyle w:val="Hyperlink.1"/>
          <w:rtl w:val="0"/>
          <w:lang w:val="en-US"/>
        </w:rPr>
        <w:t xml:space="preserve">321. </w:t>
      </w:r>
    </w:p>
    <w:p>
      <w:pPr>
        <w:pStyle w:val="Normal.0"/>
        <w:shd w:val="clear" w:color="auto" w:fill="ffffff"/>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Williams, D. J., &amp;Granara de Willink, M. C.</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1992. </w:t>
      </w:r>
      <w:r>
        <w:rPr>
          <w:rStyle w:val="Hyperlink.1"/>
          <w:rtl w:val="0"/>
          <w:lang w:val="en-US"/>
        </w:rPr>
        <w:t>Mealybugs of Central and South America. Wallingford, UK: CAB International.</w:t>
      </w: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 xml:space="preserve">ANTIBACTERIAL POTENTIAL AND METABOLITE PROFILING OF A MARINE </w:t>
      </w:r>
      <w:r>
        <w:rPr>
          <w:rStyle w:val="None"/>
          <w:b w:val="1"/>
          <w:bCs w:val="1"/>
          <w:i w:val="1"/>
          <w:iCs w:val="1"/>
          <w:outline w:val="0"/>
          <w:color w:val="000000"/>
          <w:kern w:val="0"/>
          <w:u w:color="000000"/>
          <w:rtl w:val="0"/>
          <w:lang w:val="en-US"/>
          <w14:textFill>
            <w14:solidFill>
              <w14:srgbClr w14:val="000000"/>
            </w14:solidFill>
          </w14:textFill>
        </w:rPr>
        <w:t>Alcaligenes faecalis</w:t>
      </w:r>
      <w:r>
        <w:rPr>
          <w:rStyle w:val="None"/>
          <w:b w:val="1"/>
          <w:bCs w:val="1"/>
          <w:outline w:val="0"/>
          <w:color w:val="000000"/>
          <w:kern w:val="0"/>
          <w:u w:color="000000"/>
          <w:rtl w:val="0"/>
          <w:lang w:val="en-US"/>
          <w14:textFill>
            <w14:solidFill>
              <w14:srgbClr w14:val="000000"/>
            </w14:solidFill>
          </w14:textFill>
        </w:rPr>
        <w:t xml:space="preserve"> STRAIN FROM POLLUTED COASTAL SEDIMENTS</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kern w:val="0"/>
          <w:sz w:val="24"/>
          <w:szCs w:val="24"/>
          <w:rtl w:val="0"/>
          <w:lang w:val="en-US"/>
        </w:rPr>
        <w:t>Mary Essolin S</w:t>
      </w:r>
      <w:r>
        <w:rPr>
          <w:rStyle w:val="None"/>
          <w:rFonts w:ascii="Times New Roman" w:hAnsi="Times New Roman" w:hint="default"/>
          <w:i w:val="1"/>
          <w:iCs w:val="1"/>
          <w:kern w:val="0"/>
          <w:sz w:val="24"/>
          <w:szCs w:val="24"/>
          <w:rtl w:val="0"/>
          <w:lang w:val="en-US"/>
        </w:rPr>
        <w:t>¹</w:t>
      </w:r>
      <w:r>
        <w:rPr>
          <w:rStyle w:val="None"/>
          <w:rFonts w:ascii="Times New Roman" w:hAnsi="Times New Roman"/>
          <w:i w:val="1"/>
          <w:iCs w:val="1"/>
          <w:kern w:val="0"/>
          <w:sz w:val="24"/>
          <w:szCs w:val="24"/>
          <w:rtl w:val="0"/>
          <w:lang w:val="en-US"/>
        </w:rPr>
        <w:t>, Dhivya R.S</w:t>
      </w:r>
      <w:r>
        <w:rPr>
          <w:rStyle w:val="None"/>
          <w:rFonts w:ascii="Times New Roman" w:hAnsi="Times New Roman" w:hint="default"/>
          <w:i w:val="1"/>
          <w:iCs w:val="1"/>
          <w:kern w:val="0"/>
          <w:sz w:val="24"/>
          <w:szCs w:val="24"/>
          <w:rtl w:val="0"/>
          <w:lang w:val="en-US"/>
        </w:rPr>
        <w:t>²</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¹</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Research Scholar, Muslim Arts College, Thiruvithancode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²</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Associate Professor, Department of Zoology, Sree Devi Kumari Women's College, Kuzhithurai</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Marine-derived microorganisms from polluted coastal ecosystems offer promising sources of novel bioactive compounds to combat antibiotic resistance. This study reports the isolation of 10 microbial strains from Erayumanthurai coastal sediments (Tamil Nadu, India; July 2024) using starch casein agar, followed by morphological, biochemical, and molecular characterization. Strain ES-2 was identified as Alcaligenes faecalis via 16S rRNA sequencing (BLASTn, MEGA phylogeny; GenBank accession PZ118735). Crude chloroform extracts exhibited selective antibacterial activity in Kirby-Bauer disk diffusion assays against Pseudomonas aeruginosa (0.73</w:t>
      </w:r>
      <w:r>
        <w:rPr>
          <w:rStyle w:val="Hyperlink.1"/>
          <w:rtl w:val="0"/>
          <w:lang w:val="en-US"/>
        </w:rPr>
        <w:t>±</w:t>
      </w:r>
      <w:r>
        <w:rPr>
          <w:rStyle w:val="Hyperlink.1"/>
          <w:rtl w:val="0"/>
          <w:lang w:val="en-US"/>
        </w:rPr>
        <w:t>0.04 cm), Streptococcus pyogenes (0.96</w:t>
      </w:r>
      <w:r>
        <w:rPr>
          <w:rStyle w:val="Hyperlink.1"/>
          <w:rtl w:val="0"/>
          <w:lang w:val="en-US"/>
        </w:rPr>
        <w:t>±</w:t>
      </w:r>
      <w:r>
        <w:rPr>
          <w:rStyle w:val="Hyperlink.1"/>
          <w:rtl w:val="0"/>
          <w:lang w:val="en-US"/>
        </w:rPr>
        <w:t>0.04 cm), Staphylococcus aureus (0.63</w:t>
      </w:r>
      <w:r>
        <w:rPr>
          <w:rStyle w:val="Hyperlink.1"/>
          <w:rtl w:val="0"/>
          <w:lang w:val="en-US"/>
        </w:rPr>
        <w:t>±</w:t>
      </w:r>
      <w:r>
        <w:rPr>
          <w:rStyle w:val="Hyperlink.1"/>
          <w:rtl w:val="0"/>
          <w:lang w:val="en-US"/>
        </w:rPr>
        <w:t>0.04 cm), and Bacillus subtilis (1.26</w:t>
      </w:r>
      <w:r>
        <w:rPr>
          <w:rStyle w:val="Hyperlink.1"/>
          <w:rtl w:val="0"/>
          <w:lang w:val="en-US"/>
        </w:rPr>
        <w:t>±</w:t>
      </w:r>
      <w:r>
        <w:rPr>
          <w:rStyle w:val="Hyperlink.1"/>
          <w:rtl w:val="0"/>
          <w:lang w:val="en-US"/>
        </w:rPr>
        <w:t>0.04 cm; maximum), with limited or no activity against Escherichia coli. GC-MS analysis revealed a metabolome dominated by fatty acid esters (ethyl 14-methyl-hexadecanoate, 8.38%; oleic acid methyl ester, 2.98%), squalene (1.14%), and hydrocarbons, known for membrane-disrupting and antioxidant properties. FTIR confirmed functional groups including O</w:t>
      </w:r>
      <w:r>
        <w:rPr>
          <w:rStyle w:val="Hyperlink.1"/>
          <w:rtl w:val="0"/>
          <w:lang w:val="en-US"/>
        </w:rPr>
        <w:t>–</w:t>
      </w:r>
      <w:r>
        <w:rPr>
          <w:rStyle w:val="Hyperlink.1"/>
          <w:rtl w:val="0"/>
          <w:lang w:val="en-US"/>
        </w:rPr>
        <w:t>H/N</w:t>
      </w:r>
      <w:r>
        <w:rPr>
          <w:rStyle w:val="Hyperlink.1"/>
          <w:rtl w:val="0"/>
          <w:lang w:val="en-US"/>
        </w:rPr>
        <w:t>–</w:t>
      </w:r>
      <w:r>
        <w:rPr>
          <w:rStyle w:val="Hyperlink.1"/>
          <w:rtl w:val="0"/>
          <w:lang w:val="en-US"/>
        </w:rPr>
        <w:t>H (3335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C=C (1636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and C</w:t>
      </w:r>
      <w:r>
        <w:rPr>
          <w:rStyle w:val="Hyperlink.1"/>
          <w:rtl w:val="0"/>
          <w:lang w:val="en-US"/>
        </w:rPr>
        <w:t>–</w:t>
      </w:r>
      <w:r>
        <w:rPr>
          <w:rStyle w:val="Hyperlink.1"/>
          <w:rtl w:val="0"/>
          <w:lang w:val="en-US"/>
        </w:rPr>
        <w:t>O (1265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indicative of alcohols, phenols, and esters. These findings highlight Alcaligenes sp. ES-2 as a potent producer of antimicrobial lipids from contaminated marine niches, warranting purification and in vivo evaluation for therapeutic applications.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1. </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Microbial natural products have long underpinned pharmaceutical development owing to their structural diversity and broad bioactivity (Newman &amp; Cragg, 2012). Because oceans cover most of the Earth's surface, marine organisms constitute a vast, evolutionarily distinct reservoir of bioactive metabolites that frequently surpasses terrestrial sources in chemical novelty (Jim</w:t>
      </w:r>
      <w:r>
        <w:rPr>
          <w:rStyle w:val="Hyperlink.1"/>
          <w:rtl w:val="0"/>
          <w:lang w:val="en-US"/>
        </w:rPr>
        <w:t>é</w:t>
      </w:r>
      <w:r>
        <w:rPr>
          <w:rStyle w:val="Hyperlink.1"/>
          <w:rtl w:val="0"/>
          <w:lang w:val="en-US"/>
        </w:rPr>
        <w:t xml:space="preserve">nez, 2018; Karthikeyan et al., 2022). By 2016, roughly 28,500 marine-derived compounds </w:t>
      </w:r>
      <w:r>
        <w:rPr>
          <w:rStyle w:val="Hyperlink.1"/>
          <w:rtl w:val="0"/>
          <w:lang w:val="en-US"/>
        </w:rPr>
        <w:t xml:space="preserve">— </w:t>
      </w:r>
      <w:r>
        <w:rPr>
          <w:rStyle w:val="Hyperlink.1"/>
          <w:rtl w:val="0"/>
          <w:lang w:val="en-US"/>
        </w:rPr>
        <w:t xml:space="preserve">including polysaccharides, peptides, polyketides, sterols, and alkaloids </w:t>
      </w:r>
      <w:r>
        <w:rPr>
          <w:rStyle w:val="Hyperlink.1"/>
          <w:rtl w:val="0"/>
          <w:lang w:val="en-US"/>
        </w:rPr>
        <w:t xml:space="preserve">— </w:t>
      </w:r>
      <w:r>
        <w:rPr>
          <w:rStyle w:val="Hyperlink.1"/>
          <w:rtl w:val="0"/>
          <w:lang w:val="en-US"/>
        </w:rPr>
        <w:t>had been catalogued, with reported anticancer, antibacterial, antifungal, and antiviral activities (Blunt et al., 2015; Carroll et al., 2024; El-Hossary et al., 2017).</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Despite this promise, marine microorganisms remain underexplored. Extreme habitat conditions </w:t>
      </w:r>
      <w:r>
        <w:rPr>
          <w:rStyle w:val="Hyperlink.1"/>
          <w:rtl w:val="0"/>
          <w:lang w:val="en-US"/>
        </w:rPr>
        <w:t xml:space="preserve">— </w:t>
      </w:r>
      <w:r>
        <w:rPr>
          <w:rStyle w:val="Hyperlink.1"/>
          <w:rtl w:val="0"/>
          <w:lang w:val="en-US"/>
        </w:rPr>
        <w:t xml:space="preserve">high pressure, variable salinity, temperature, and radiation </w:t>
      </w:r>
      <w:r>
        <w:rPr>
          <w:rStyle w:val="Hyperlink.1"/>
          <w:rtl w:val="0"/>
          <w:lang w:val="en-US"/>
        </w:rPr>
        <w:t xml:space="preserve">— </w:t>
      </w:r>
      <w:r>
        <w:rPr>
          <w:rStyle w:val="Hyperlink.1"/>
          <w:rtl w:val="0"/>
          <w:lang w:val="en-US"/>
        </w:rPr>
        <w:t>drive genetic and metabolic diversification, yielding chemically rare, low-toxicity metabolites with pharmaceutical and industrial potential (Poli et al., 2017; Puttaswamygowda et al., 2019). While publication interest in marine microbial metabolites has grown steadily, most reviews remain narrowly focused on specific compound classes or taxa, leaving the broader biotechnological potential of marine bacteria such as Alcaligenes comparatively underexamined.</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study screened marine-derived microorganisms from a polluted coastal source for antagonistic activity against clinically relevant pathogens (Staphylococcus aureus, Escherichia coli, Pseudomonas aeruginosa, Streptococcus pyogenes, and Bacillus subtilis), followed by molecular identification via 16S rRNA sequencing and chemical profiling using FTIR and GC-MS, to evaluate the antimicrobial potential of the most active isolate.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w:t>
        <w:tab/>
        <w:t>MATERIALS AND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Sample Collection and Isolation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Marine sediment and water samples were collected from Erayumanthurai, Tamil Nadu (July 2024) at estuarine and open-sea sites. Isolation was performed on Starch Casein Agar via serial dilution and spread-plate technique (Collins &amp; Lyne, 1989); pure colonies were maintained at 4</w:t>
      </w:r>
      <w:r>
        <w:rPr>
          <w:rStyle w:val="Hyperlink.1"/>
          <w:rtl w:val="0"/>
          <w:lang w:val="en-US"/>
        </w:rPr>
        <w:t>°</w:t>
      </w:r>
      <w:r>
        <w:rPr>
          <w:rStyle w:val="Hyperlink.1"/>
          <w:rtl w:val="0"/>
          <w:lang w:val="en-US"/>
        </w:rPr>
        <w:t>C.</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2.2 </w:t>
        <w:tab/>
        <w:t>Characterization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Isolates were characterized by Gram staining and standard biochemical assays (methyl red, Voges</w:t>
      </w:r>
      <w:r>
        <w:rPr>
          <w:rStyle w:val="Hyperlink.1"/>
          <w:rtl w:val="0"/>
          <w:lang w:val="en-US"/>
        </w:rPr>
        <w:t>–</w:t>
      </w:r>
      <w:r>
        <w:rPr>
          <w:rStyle w:val="Hyperlink.1"/>
          <w:rtl w:val="0"/>
          <w:lang w:val="en-US"/>
        </w:rPr>
        <w:t>Proskauer, indole, nitrate reduction, citrate utilization, urease, catalase, triple sugar iron, oxidase, and starch hydrolysis) following Bergey's Manual (Buchanan &amp; Gibbons, 1974; Bergey et al., 2000).</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2.3 </w:t>
        <w:tab/>
        <w:t>Antibacterial Screening</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Antagonistic activity was assessed by Kirby-Bauer disk diffusion against E. coli, S. pyogenes, S. aureus, P. aeruginosa, and B. subtilis on Muller</w:t>
      </w:r>
      <w:r>
        <w:rPr>
          <w:rStyle w:val="Hyperlink.1"/>
          <w:rtl w:val="0"/>
          <w:lang w:val="en-US"/>
        </w:rPr>
        <w:t>–</w:t>
      </w:r>
      <w:r>
        <w:rPr>
          <w:rStyle w:val="Hyperlink.1"/>
          <w:rtl w:val="0"/>
          <w:lang w:val="en-US"/>
        </w:rPr>
        <w:t>Hinton agar (37</w:t>
      </w:r>
      <w:r>
        <w:rPr>
          <w:rStyle w:val="Hyperlink.1"/>
          <w:rtl w:val="0"/>
          <w:lang w:val="en-US"/>
        </w:rPr>
        <w:t>°</w:t>
      </w:r>
      <w:r>
        <w:rPr>
          <w:rStyle w:val="Hyperlink.1"/>
          <w:rtl w:val="0"/>
          <w:lang w:val="en-US"/>
        </w:rPr>
        <w:t xml:space="preserve">C, overnight). Assays were performed in triplicate (mean </w:t>
      </w:r>
      <w:r>
        <w:rPr>
          <w:rStyle w:val="Hyperlink.1"/>
          <w:rtl w:val="0"/>
          <w:lang w:val="en-US"/>
        </w:rPr>
        <w:t xml:space="preserve">± </w:t>
      </w:r>
      <w:r>
        <w:rPr>
          <w:rStyle w:val="Hyperlink.1"/>
          <w:rtl w:val="0"/>
          <w:lang w:val="en-US"/>
        </w:rPr>
        <w:t>SD); one-way ANOVA determined significance (p &lt; 0.05). The isolate with the greatest inhibition zone was selected for molecular characterization.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2.4 </w:t>
        <w:tab/>
        <w:t>Molecular Characterization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Genomic DNA was extracted (NucleoSpin</w:t>
      </w:r>
      <w:r>
        <w:rPr>
          <w:rStyle w:val="Hyperlink.1"/>
          <w:rtl w:val="0"/>
          <w:lang w:val="en-US"/>
        </w:rPr>
        <w:t xml:space="preserve">® </w:t>
      </w:r>
      <w:r>
        <w:rPr>
          <w:rStyle w:val="Hyperlink.1"/>
          <w:rtl w:val="0"/>
          <w:lang w:val="en-US"/>
        </w:rPr>
        <w:t>Tissue Kit) and the 16S rRNA gene amplified using primers 16S-RS-F/16S-RS-R. Purified amplicons were sequenced (BigDye</w:t>
      </w:r>
      <w:r>
        <w:rPr>
          <w:rStyle w:val="Hyperlink.1"/>
          <w:rtl w:val="0"/>
          <w:lang w:val="en-US"/>
        </w:rPr>
        <w:t xml:space="preserve">® </w:t>
      </w:r>
      <w:r>
        <w:rPr>
          <w:rStyle w:val="Hyperlink.1"/>
          <w:rtl w:val="0"/>
          <w:lang w:val="en-US"/>
        </w:rPr>
        <w:t>Terminator v3.1, ABI 3500) and compared against GenBank via BLASTn; phylogenetic analysis used MUSCLE alignment and the Neighbour-Joining method (MEGA, 1,000 bootstrap replicates).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2.5 </w:t>
        <w:tab/>
        <w:t>Metabolite Extraction and Chemical Profiling</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Cell-free supernatant was extracted via liquid</w:t>
      </w:r>
      <w:r>
        <w:rPr>
          <w:rStyle w:val="Hyperlink.1"/>
          <w:rtl w:val="0"/>
          <w:lang w:val="en-US"/>
        </w:rPr>
        <w:t>–</w:t>
      </w:r>
      <w:r>
        <w:rPr>
          <w:rStyle w:val="Hyperlink.1"/>
          <w:rtl w:val="0"/>
          <w:lang w:val="en-US"/>
        </w:rPr>
        <w:t>liquid partitioning and purified by column chromatography. FTIR spectra (4000</w:t>
      </w:r>
      <w:r>
        <w:rPr>
          <w:rStyle w:val="Hyperlink.1"/>
          <w:rtl w:val="0"/>
          <w:lang w:val="en-US"/>
        </w:rPr>
        <w:t>–</w:t>
      </w:r>
      <w:r>
        <w:rPr>
          <w:rStyle w:val="Hyperlink.1"/>
          <w:rtl w:val="0"/>
          <w:lang w:val="en-US"/>
        </w:rPr>
        <w:t>400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ATR mode) were recorded on a Thermo Scientific Nicolet iS50. GC-MS analysis used a Shimadzu Nexis GC-2030 with an HP-5 capillary column (oven 100</w:t>
      </w:r>
      <w:r>
        <w:rPr>
          <w:rStyle w:val="Hyperlink.1"/>
          <w:rtl w:val="0"/>
          <w:lang w:val="en-US"/>
        </w:rPr>
        <w:t>→</w:t>
      </w:r>
      <w:r>
        <w:rPr>
          <w:rStyle w:val="Hyperlink.1"/>
          <w:rtl w:val="0"/>
          <w:lang w:val="en-US"/>
        </w:rPr>
        <w:t>235</w:t>
      </w:r>
      <w:r>
        <w:rPr>
          <w:rStyle w:val="Hyperlink.1"/>
          <w:rtl w:val="0"/>
          <w:lang w:val="en-US"/>
        </w:rPr>
        <w:t>°</w:t>
      </w:r>
      <w:r>
        <w:rPr>
          <w:rStyle w:val="Hyperlink.1"/>
          <w:rtl w:val="0"/>
          <w:lang w:val="en-US"/>
        </w:rPr>
        <w:t>C), and compounds were identified against the NIST spectral library.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 </w:t>
        <w:tab/>
        <w:t>RESULTS AND DISCUSSION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w:t>
        <w:tab/>
        <w:t>Isolation and Characterization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Ten morphologically distinct isolates were recovered from Starch Casein Agar. Biochemical profiling grouped isolates by citrate, nitrate, oxidase, catalase, and starch hydrolysis reactivity, with most isolates negative for indole, urease, methyl red, and Voges</w:t>
      </w:r>
      <w:r>
        <w:rPr>
          <w:rStyle w:val="Hyperlink.1"/>
          <w:rtl w:val="0"/>
          <w:lang w:val="en-US"/>
        </w:rPr>
        <w:t>–</w:t>
      </w:r>
      <w:r>
        <w:rPr>
          <w:rStyle w:val="Hyperlink.1"/>
          <w:rtl w:val="0"/>
          <w:lang w:val="en-US"/>
        </w:rPr>
        <w:t>Proskauer tests, consistent with non-fermentative, Gram-variable marine bacteria.</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3.2</w:t>
        <w:tab/>
        <w:t>Antibacterial Activity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Isolate ES-2 consistently produced the largest inhibition zones among all isolates, with maximal activity against Bacillus subtilis (1.26</w:t>
      </w:r>
      <w:r>
        <w:rPr>
          <w:rStyle w:val="Hyperlink.1"/>
          <w:rtl w:val="0"/>
          <w:lang w:val="en-US"/>
        </w:rPr>
        <w:t>±</w:t>
      </w:r>
      <w:r>
        <w:rPr>
          <w:rStyle w:val="Hyperlink.1"/>
          <w:rtl w:val="0"/>
          <w:lang w:val="en-US"/>
        </w:rPr>
        <w:t>0.04 cm) and notable activity against Streptococcus pyogenes (0.96</w:t>
      </w:r>
      <w:r>
        <w:rPr>
          <w:rStyle w:val="Hyperlink.1"/>
          <w:rtl w:val="0"/>
          <w:lang w:val="en-US"/>
        </w:rPr>
        <w:t>±</w:t>
      </w:r>
      <w:r>
        <w:rPr>
          <w:rStyle w:val="Hyperlink.1"/>
          <w:rtl w:val="0"/>
          <w:lang w:val="en-US"/>
        </w:rPr>
        <w:t>0.04 cm) and Pseudomonas aeruginosa (0.73</w:t>
      </w:r>
      <w:r>
        <w:rPr>
          <w:rStyle w:val="Hyperlink.1"/>
          <w:rtl w:val="0"/>
          <w:lang w:val="en-US"/>
        </w:rPr>
        <w:t>±</w:t>
      </w:r>
      <w:r>
        <w:rPr>
          <w:rStyle w:val="Hyperlink.1"/>
          <w:rtl w:val="0"/>
          <w:lang w:val="en-US"/>
        </w:rPr>
        <w:t>0.04 cm) (Table 1). Activity against Escherichia coli was absent, suggesting selectivity toward Gram-positive and certain Gram-negative pathogens. One-way ANOVA confirmed significant differences among isolates for all tested pathogens (p &lt; 0.001</w:t>
      </w:r>
      <w:r>
        <w:rPr>
          <w:rStyle w:val="Hyperlink.1"/>
          <w:rtl w:val="0"/>
          <w:lang w:val="en-US"/>
        </w:rPr>
        <w:t>–</w:t>
      </w:r>
      <w:r>
        <w:rPr>
          <w:rStyle w:val="Hyperlink.1"/>
          <w:rtl w:val="0"/>
          <w:lang w:val="en-US"/>
        </w:rPr>
        <w:t>0.008), with ES-2 significantly outperforming other active strains.</w:t>
      </w: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Antibacterial activity (zone of inhibition, cm) of representative                                        isolates against test pathogens.</w:t>
      </w:r>
    </w:p>
    <w:tbl>
      <w:tblPr>
        <w:tblW w:w="7642" w:type="dxa"/>
        <w:jc w:val="center"/>
        <w:tblInd w:w="137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34"/>
        <w:gridCol w:w="1251"/>
        <w:gridCol w:w="1253"/>
        <w:gridCol w:w="1252"/>
        <w:gridCol w:w="1252"/>
      </w:tblGrid>
      <w:tr>
        <w:tblPrEx>
          <w:shd w:val="clear" w:color="auto" w:fill="ced7e7"/>
        </w:tblPrEx>
        <w:trPr>
          <w:trHeight w:val="310" w:hRule="atLeast"/>
        </w:trPr>
        <w:tc>
          <w:tcPr>
            <w:tcW w:type="dxa" w:w="2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Test Pathogen</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MW-2</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EW-2</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ES-1</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ES-2</w:t>
            </w:r>
          </w:p>
        </w:tc>
      </w:tr>
      <w:tr>
        <w:tblPrEx>
          <w:shd w:val="clear" w:color="auto" w:fill="ced7e7"/>
        </w:tblPrEx>
        <w:trPr>
          <w:trHeight w:val="755" w:hRule="atLeast"/>
        </w:trPr>
        <w:tc>
          <w:tcPr>
            <w:tcW w:type="dxa" w:w="2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Pseudomonas aeruginosa</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0.46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0.73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r>
      <w:tr>
        <w:tblPrEx>
          <w:shd w:val="clear" w:color="auto" w:fill="ced7e7"/>
        </w:tblPrEx>
        <w:trPr>
          <w:trHeight w:val="755" w:hRule="atLeast"/>
        </w:trPr>
        <w:tc>
          <w:tcPr>
            <w:tcW w:type="dxa" w:w="2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Streptococcus pyogenes</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0.63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0.63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0.63</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0.04</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0.96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r>
      <w:tr>
        <w:tblPrEx>
          <w:shd w:val="clear" w:color="auto" w:fill="ced7e7"/>
        </w:tblPrEx>
        <w:trPr>
          <w:trHeight w:val="755" w:hRule="atLeast"/>
        </w:trPr>
        <w:tc>
          <w:tcPr>
            <w:tcW w:type="dxa" w:w="2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Staphylococcus aureus</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0.46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0.63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r>
      <w:tr>
        <w:tblPrEx>
          <w:shd w:val="clear" w:color="auto" w:fill="ced7e7"/>
        </w:tblPrEx>
        <w:trPr>
          <w:trHeight w:val="755" w:hRule="atLeast"/>
        </w:trPr>
        <w:tc>
          <w:tcPr>
            <w:tcW w:type="dxa" w:w="2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Bacillus subtilis</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0.36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0.66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1.26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r>
      <w:tr>
        <w:tblPrEx>
          <w:shd w:val="clear" w:color="auto" w:fill="ced7e7"/>
        </w:tblPrEx>
        <w:trPr>
          <w:trHeight w:val="755" w:hRule="atLeast"/>
        </w:trPr>
        <w:tc>
          <w:tcPr>
            <w:tcW w:type="dxa" w:w="2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Escherichia coli</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1.13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r>
    </w:tbl>
    <w:p>
      <w:pPr>
        <w:pStyle w:val="Normal.0"/>
        <w:widowControl w:val="0"/>
        <w:spacing w:after="0" w:line="240" w:lineRule="auto"/>
        <w:ind w:left="1268" w:hanging="1268"/>
        <w:jc w:val="center"/>
        <w:rPr>
          <w:rStyle w:val="None"/>
          <w:rFonts w:ascii="Times New Roman" w:cs="Times New Roman" w:hAnsi="Times New Roman" w:eastAsia="Times New Roman"/>
          <w:kern w:val="0"/>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3.3</w:t>
        <w:tab/>
        <w:t>Molecular Identification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16S rRNA sequencing and BLASTn analysis identified ES-2 as Alcaligenes faecalis (GenBank accession PZ118735). Neighbour-Joining phylogenetic analysis (MEGA 12) placed ES-2 within the A. faecalis clade, clustering closely with strains ACBC1, JF7, and ZJUTBX11, and clearly separating it from related species (A. aquatilis, A. pakistanensis, A. ammonioxydans, A. javaensis), confirming its taxonomic assignment.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3.4</w:t>
        <w:tab/>
        <w:t>Metabolite Profiling (GC-MS)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GC-MS of the chloroform extract identified 14 major compounds dominated by fatty acid esters, long-chain hydrocarbons, and terpenoids (Table 2). Ethyl 14-methyl-hexadecanoate (8.38%), 1-octadecene (6.65%), and hexadecanoic acid (4.04%) were most abundant. Unsaturated fatty acid esters such as oleic acid methyl ester and ethyl oleate are known to disrupt bacterial membrane integrity (Desbois &amp; Smith, 2010), while squalene (1.14%) is associated with antioxidant, chemopreventive, and immunomodulatory activity (Rao et al., 1998). Long-chain alkanes (heneicosane, pentacosane) likely contribute to membrane stability and osmotic-stress tolerance rather than direct antimicrobial action.</w:t>
      </w: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2. Selected GC-MS compounds identified in the ES-2 chloroform extract.</w:t>
      </w:r>
    </w:p>
    <w:tbl>
      <w:tblPr>
        <w:tblW w:w="9186"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8"/>
        <w:gridCol w:w="1033"/>
        <w:gridCol w:w="1410"/>
        <w:gridCol w:w="3345"/>
      </w:tblGrid>
      <w:tr>
        <w:tblPrEx>
          <w:shd w:val="clear" w:color="auto" w:fill="ced7e7"/>
        </w:tblPrEx>
        <w:trPr>
          <w:trHeight w:val="6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Compound</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RT (min)</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Peak Area (%)</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Putative Bioactivity</w:t>
            </w:r>
          </w:p>
        </w:tc>
      </w:tr>
      <w:tr>
        <w:tblPrEx>
          <w:shd w:val="clear" w:color="auto" w:fill="ced7e7"/>
        </w:tblPrEx>
        <w:trPr>
          <w:trHeight w:val="6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Ethyl 14-methyl-hexadecanoate</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22.181</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8.38</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Antimicrobial, anti-inflammatory</w:t>
            </w:r>
          </w:p>
        </w:tc>
      </w:tr>
      <w:tr>
        <w:tblPrEx>
          <w:shd w:val="clear" w:color="auto" w:fill="ced7e7"/>
        </w:tblPrEx>
        <w:trPr>
          <w:trHeight w:val="3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1-Octadecene</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20.014</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6.65</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Antibacterial potential</w:t>
            </w:r>
          </w:p>
        </w:tc>
      </w:tr>
      <w:tr>
        <w:tblPrEx>
          <w:shd w:val="clear" w:color="auto" w:fill="ced7e7"/>
        </w:tblPrEx>
        <w:trPr>
          <w:trHeight w:val="6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Hexadecanoic acid (palmitic acid)</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21.483</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4.04</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Antimicrobial, membrane disruption</w:t>
            </w:r>
          </w:p>
        </w:tc>
      </w:tr>
      <w:tr>
        <w:tblPrEx>
          <w:shd w:val="clear" w:color="auto" w:fill="ced7e7"/>
        </w:tblPrEx>
        <w:trPr>
          <w:trHeight w:val="6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Ethyl 14-methyl-hexadecanoate (isomer)</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24.155</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4.28</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Antimicrobial, membrane interaction</w:t>
            </w:r>
          </w:p>
        </w:tc>
      </w:tr>
      <w:tr>
        <w:tblPrEx>
          <w:shd w:val="clear" w:color="auto" w:fill="ced7e7"/>
        </w:tblPrEx>
        <w:trPr>
          <w:trHeight w:val="6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9-Octadecenoic acid (oleic acid)</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23.280</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2.98</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Antibacterial, membrane permeabilizer</w:t>
            </w:r>
          </w:p>
        </w:tc>
      </w:tr>
      <w:tr>
        <w:tblPrEx>
          <w:shd w:val="clear" w:color="auto" w:fill="ced7e7"/>
        </w:tblPrEx>
        <w:trPr>
          <w:trHeight w:val="6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Methyl stearate</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23.522</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2.74</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Mild antimicrobial, anti-inflammatory</w:t>
            </w:r>
          </w:p>
        </w:tc>
      </w:tr>
      <w:tr>
        <w:tblPrEx>
          <w:shd w:val="clear" w:color="auto" w:fill="ced7e7"/>
        </w:tblPrEx>
        <w:trPr>
          <w:trHeight w:val="3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Squalene</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hint="default"/>
                <w:kern w:val="0"/>
                <w:sz w:val="24"/>
                <w:szCs w:val="24"/>
                <w:shd w:val="nil" w:color="auto" w:fill="auto"/>
                <w:rtl w:val="0"/>
                <w:lang w:val="en-US"/>
              </w:rPr>
              <w:t>—</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1.14</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Antioxidant, chemopreventive</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ind w:left="108" w:hanging="108"/>
        <w:jc w:val="center"/>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3.5</w:t>
        <w:tab/>
        <w:t>Functional Group Analysis (FTIR)</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FTIR spectra revealed absorption bands corresponding to O</w:t>
      </w:r>
      <w:r>
        <w:rPr>
          <w:rStyle w:val="Hyperlink.1"/>
          <w:rtl w:val="0"/>
          <w:lang w:val="en-US"/>
        </w:rPr>
        <w:t>–</w:t>
      </w:r>
      <w:r>
        <w:rPr>
          <w:rStyle w:val="Hyperlink.1"/>
          <w:rtl w:val="0"/>
          <w:lang w:val="en-US"/>
        </w:rPr>
        <w:t>H/N</w:t>
      </w:r>
      <w:r>
        <w:rPr>
          <w:rStyle w:val="Hyperlink.1"/>
          <w:rtl w:val="0"/>
          <w:lang w:val="en-US"/>
        </w:rPr>
        <w:t>–</w:t>
      </w:r>
      <w:r>
        <w:rPr>
          <w:rStyle w:val="Hyperlink.1"/>
          <w:rtl w:val="0"/>
          <w:lang w:val="en-US"/>
        </w:rPr>
        <w:t>H (3335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alcohols, phenols, amines), C</w:t>
      </w:r>
      <w:r>
        <w:rPr>
          <w:rStyle w:val="Hyperlink.1"/>
          <w:rtl w:val="0"/>
          <w:lang w:val="en-US"/>
        </w:rPr>
        <w:t>≡</w:t>
      </w:r>
      <w:r>
        <w:rPr>
          <w:rStyle w:val="Hyperlink.1"/>
          <w:rtl w:val="0"/>
          <w:lang w:val="en-US"/>
        </w:rPr>
        <w:t>N (2168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nitriles), C=C (1636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conjugated alkenes), C</w:t>
      </w:r>
      <w:r>
        <w:rPr>
          <w:rStyle w:val="Hyperlink.1"/>
          <w:rtl w:val="0"/>
          <w:lang w:val="en-US"/>
        </w:rPr>
        <w:t>–</w:t>
      </w:r>
      <w:r>
        <w:rPr>
          <w:rStyle w:val="Hyperlink.1"/>
          <w:rtl w:val="0"/>
          <w:lang w:val="en-US"/>
        </w:rPr>
        <w:t>O (1265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esters/ethers), and S=O/C</w:t>
      </w:r>
      <w:r>
        <w:rPr>
          <w:rStyle w:val="Hyperlink.1"/>
          <w:rtl w:val="0"/>
          <w:lang w:val="en-US"/>
        </w:rPr>
        <w:t>–</w:t>
      </w:r>
      <w:r>
        <w:rPr>
          <w:rStyle w:val="Hyperlink.1"/>
          <w:rtl w:val="0"/>
          <w:lang w:val="en-US"/>
        </w:rPr>
        <w:t>O</w:t>
      </w:r>
      <w:r>
        <w:rPr>
          <w:rStyle w:val="Hyperlink.1"/>
          <w:rtl w:val="0"/>
          <w:lang w:val="en-US"/>
        </w:rPr>
        <w:t>–</w:t>
      </w:r>
      <w:r>
        <w:rPr>
          <w:rStyle w:val="Hyperlink.1"/>
          <w:rtl w:val="0"/>
          <w:lang w:val="en-US"/>
        </w:rPr>
        <w:t>C (1045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sulfoxides) groups (Table 3). These functional groups are consistent with phenolic antioxidants, nitrile- and sulfur-containing antimicrobials, and ester-based biosurfactants, supporting the multifunctional bioactivity suggested by the GC-MS profile (Coates, 2000; Desbois &amp; Smith, 2010; Jacob, 2006).</w:t>
      </w: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3. Key FTIR absorption bands and associated functional                                             groups in the ES-2 extract.</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70"/>
        <w:gridCol w:w="2269"/>
        <w:gridCol w:w="2674"/>
        <w:gridCol w:w="1907"/>
      </w:tblGrid>
      <w:tr>
        <w:tblPrEx>
          <w:shd w:val="clear" w:color="auto" w:fill="ced7e7"/>
        </w:tblPrEx>
        <w:trPr>
          <w:trHeight w:val="775" w:hRule="atLeast"/>
        </w:trPr>
        <w:tc>
          <w:tcPr>
            <w:tcW w:type="dxa" w:w="2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Wavenumber (cm</w:t>
            </w:r>
            <w:r>
              <w:rPr>
                <w:rStyle w:val="None"/>
                <w:rFonts w:ascii="Arial Unicode MS" w:hAnsi="Arial Unicode MS" w:hint="default"/>
                <w:kern w:val="0"/>
                <w:sz w:val="24"/>
                <w:szCs w:val="24"/>
                <w:shd w:val="nil" w:color="auto" w:fill="auto"/>
                <w:rtl w:val="0"/>
                <w:lang w:val="en-US"/>
              </w:rPr>
              <w:t>⁻</w:t>
            </w:r>
            <w:r>
              <w:rPr>
                <w:rStyle w:val="None"/>
                <w:rFonts w:ascii="Times New Roman" w:hAnsi="Times New Roman" w:hint="default"/>
                <w:b w:val="1"/>
                <w:bCs w:val="1"/>
                <w:kern w:val="0"/>
                <w:sz w:val="24"/>
                <w:szCs w:val="24"/>
                <w:shd w:val="nil" w:color="auto" w:fill="auto"/>
                <w:rtl w:val="0"/>
                <w:lang w:val="en-US"/>
              </w:rPr>
              <w:t>¹</w:t>
            </w:r>
            <w:r>
              <w:rPr>
                <w:rStyle w:val="None"/>
                <w:rFonts w:ascii="Times New Roman" w:hAnsi="Times New Roman"/>
                <w:b w:val="1"/>
                <w:bCs w:val="1"/>
                <w:kern w:val="0"/>
                <w:sz w:val="24"/>
                <w:szCs w:val="24"/>
                <w:shd w:val="nil" w:color="auto" w:fill="auto"/>
                <w:rtl w:val="0"/>
                <w:lang w:val="en-US"/>
              </w:rPr>
              <w:t>)</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Functional Group</w:t>
            </w:r>
          </w:p>
        </w:tc>
        <w:tc>
          <w:tcPr>
            <w:tcW w:type="dxa" w:w="2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Chemical Class</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Key Property</w:t>
            </w:r>
          </w:p>
        </w:tc>
      </w:tr>
      <w:tr>
        <w:tblPrEx>
          <w:shd w:val="clear" w:color="auto" w:fill="ced7e7"/>
        </w:tblPrEx>
        <w:trPr>
          <w:trHeight w:val="745" w:hRule="atLeast"/>
        </w:trPr>
        <w:tc>
          <w:tcPr>
            <w:tcW w:type="dxa" w:w="2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3335.02</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O</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H / N</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H stretching</w:t>
            </w:r>
          </w:p>
        </w:tc>
        <w:tc>
          <w:tcPr>
            <w:tcW w:type="dxa" w:w="2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Alcohols, phenols, amines</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Antioxidant</w:t>
            </w:r>
          </w:p>
        </w:tc>
      </w:tr>
      <w:tr>
        <w:tblPrEx>
          <w:shd w:val="clear" w:color="auto" w:fill="ced7e7"/>
        </w:tblPrEx>
        <w:trPr>
          <w:trHeight w:val="310" w:hRule="atLeast"/>
        </w:trPr>
        <w:tc>
          <w:tcPr>
            <w:tcW w:type="dxa" w:w="2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2168.03</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N stretching</w:t>
            </w:r>
          </w:p>
        </w:tc>
        <w:tc>
          <w:tcPr>
            <w:tcW w:type="dxa" w:w="2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Nitriles / thiocyanates</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Antimicrobial</w:t>
            </w:r>
          </w:p>
        </w:tc>
      </w:tr>
      <w:tr>
        <w:tblPrEx>
          <w:shd w:val="clear" w:color="auto" w:fill="ced7e7"/>
        </w:tblPrEx>
        <w:trPr>
          <w:trHeight w:val="755" w:hRule="atLeast"/>
        </w:trPr>
        <w:tc>
          <w:tcPr>
            <w:tcW w:type="dxa" w:w="2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1636.65</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C=C stretching</w:t>
            </w:r>
          </w:p>
        </w:tc>
        <w:tc>
          <w:tcPr>
            <w:tcW w:type="dxa" w:w="2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Alkenes / conjugated systems</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Radical scavenging</w:t>
            </w:r>
          </w:p>
        </w:tc>
      </w:tr>
      <w:tr>
        <w:tblPrEx>
          <w:shd w:val="clear" w:color="auto" w:fill="ced7e7"/>
        </w:tblPrEx>
        <w:trPr>
          <w:trHeight w:val="310" w:hRule="atLeast"/>
        </w:trPr>
        <w:tc>
          <w:tcPr>
            <w:tcW w:type="dxa" w:w="2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1265.07</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O stretching</w:t>
            </w:r>
          </w:p>
        </w:tc>
        <w:tc>
          <w:tcPr>
            <w:tcW w:type="dxa" w:w="2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Aromatic esters / ethers</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Antibacterial</w:t>
            </w:r>
          </w:p>
        </w:tc>
      </w:tr>
      <w:tr>
        <w:tblPrEx>
          <w:shd w:val="clear" w:color="auto" w:fill="ced7e7"/>
        </w:tblPrEx>
        <w:trPr>
          <w:trHeight w:val="755" w:hRule="atLeast"/>
        </w:trPr>
        <w:tc>
          <w:tcPr>
            <w:tcW w:type="dxa" w:w="2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1045.16</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S=O / C</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O</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C stretching</w:t>
            </w:r>
          </w:p>
        </w:tc>
        <w:tc>
          <w:tcPr>
            <w:tcW w:type="dxa" w:w="2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Sulfoxides / anhydrides</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Antimicrobial</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study successfully isolated and characterized bioactive marine microorganisms from polluted coastal sediments of Erayumanthurai, Tamil Nadu, identifying Alcaligenes faecalis strain ES-2 as a promising candidate for novel antimicrobial metabolite production. ES-2 demonstrated selective antibacterial efficacy against clinically relevant pathogens, with maximum inhibition against Bacillus subtilis (1.26</w:t>
      </w:r>
      <w:r>
        <w:rPr>
          <w:rStyle w:val="Hyperlink.1"/>
          <w:rtl w:val="0"/>
          <w:lang w:val="en-US"/>
        </w:rPr>
        <w:t>±</w:t>
      </w:r>
      <w:r>
        <w:rPr>
          <w:rStyle w:val="Hyperlink.1"/>
          <w:rtl w:val="0"/>
          <w:lang w:val="en-US"/>
        </w:rPr>
        <w:t>0.04 cm). GC-MS and FTIR profiling revealed diverse lipid derivatives and functional groups consistent with membrane-disrupting, antioxidant, and biosurfactant-like activity. These findings highlight the untapped biotechnological potential of marine Alcaligenes species from contaminated environments as viable alternatives to conventional antibiotics amid rising resistance. Future work should prioritize purification of lead compounds (e.g., ethyl oleate derivatives), yield optimization, and in vivo efficacy and toxicity evaluation to advance pharmaceutical and aquaculture applications.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Newman, D. J., </w:t>
      </w:r>
      <w:r>
        <w:rPr>
          <w:rStyle w:val="None"/>
          <w:rFonts w:ascii="Times New Roman" w:hAnsi="Times New Roman"/>
          <w:b w:val="1"/>
          <w:bCs w:val="1"/>
          <w:kern w:val="0"/>
          <w:sz w:val="24"/>
          <w:szCs w:val="24"/>
          <w:rtl w:val="0"/>
          <w:lang w:val="en-US"/>
        </w:rPr>
        <w:t>and</w:t>
      </w:r>
      <w:r>
        <w:rPr>
          <w:rStyle w:val="None"/>
          <w:rFonts w:ascii="Times New Roman" w:hAnsi="Times New Roman"/>
          <w:b w:val="1"/>
          <w:bCs w:val="1"/>
          <w:kern w:val="0"/>
          <w:sz w:val="24"/>
          <w:szCs w:val="24"/>
          <w:rtl w:val="0"/>
          <w:lang w:val="en-US"/>
        </w:rPr>
        <w:t xml:space="preserve"> Cragg, G. M. </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2012. </w:t>
      </w:r>
      <w:r>
        <w:rPr>
          <w:rStyle w:val="Hyperlink.1"/>
          <w:rtl w:val="0"/>
          <w:lang w:val="en-US"/>
        </w:rPr>
        <w:t xml:space="preserve">Natural products as sources of new drugs over the 30 years from 1981 to 2010. </w:t>
      </w:r>
      <w:r>
        <w:rPr>
          <w:rStyle w:val="None"/>
          <w:rFonts w:ascii="Times New Roman" w:hAnsi="Times New Roman"/>
          <w:i w:val="1"/>
          <w:iCs w:val="1"/>
          <w:kern w:val="0"/>
          <w:sz w:val="24"/>
          <w:szCs w:val="24"/>
          <w:rtl w:val="0"/>
          <w:lang w:val="en-US"/>
        </w:rPr>
        <w:t>Journal of Natural Products,</w:t>
      </w:r>
      <w:r>
        <w:rPr>
          <w:rStyle w:val="Hyperlink.1"/>
          <w:rtl w:val="0"/>
          <w:lang w:val="en-US"/>
        </w:rPr>
        <w:t xml:space="preserve"> 75(3), 311-335.</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Blunt, J. W., Copp, B. R., Keyzers, R. A., Munro, M. H., &amp; Prinsep, M. R.</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2015.</w:t>
      </w:r>
      <w:r>
        <w:rPr>
          <w:rStyle w:val="Hyperlink.1"/>
          <w:rtl w:val="0"/>
          <w:lang w:val="en-US"/>
        </w:rPr>
        <w:t xml:space="preserve"> Marine natural products.</w:t>
      </w:r>
      <w:r>
        <w:rPr>
          <w:rStyle w:val="None"/>
          <w:rFonts w:ascii="Times New Roman" w:hAnsi="Times New Roman"/>
          <w:i w:val="1"/>
          <w:iCs w:val="1"/>
          <w:kern w:val="0"/>
          <w:sz w:val="24"/>
          <w:szCs w:val="24"/>
          <w:rtl w:val="0"/>
          <w:lang w:val="en-US"/>
        </w:rPr>
        <w:t xml:space="preserve"> Natural Product Reports,</w:t>
      </w:r>
      <w:r>
        <w:rPr>
          <w:rStyle w:val="Hyperlink.1"/>
          <w:rtl w:val="0"/>
          <w:lang w:val="en-US"/>
        </w:rPr>
        <w:t xml:space="preserve"> 32(2), 116-211.</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Jim</w:t>
      </w:r>
      <w:r>
        <w:rPr>
          <w:rStyle w:val="None"/>
          <w:rFonts w:ascii="Times New Roman" w:hAnsi="Times New Roman" w:hint="default"/>
          <w:b w:val="1"/>
          <w:bCs w:val="1"/>
          <w:kern w:val="0"/>
          <w:sz w:val="24"/>
          <w:szCs w:val="24"/>
          <w:rtl w:val="0"/>
          <w:lang w:val="en-US"/>
        </w:rPr>
        <w:t>é</w:t>
      </w:r>
      <w:r>
        <w:rPr>
          <w:rStyle w:val="None"/>
          <w:rFonts w:ascii="Times New Roman" w:hAnsi="Times New Roman"/>
          <w:b w:val="1"/>
          <w:bCs w:val="1"/>
          <w:kern w:val="0"/>
          <w:sz w:val="24"/>
          <w:szCs w:val="24"/>
          <w:rtl w:val="0"/>
          <w:lang w:val="en-US"/>
        </w:rPr>
        <w:t>nez, C.</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2018.</w:t>
      </w:r>
      <w:r>
        <w:rPr>
          <w:rStyle w:val="Hyperlink.1"/>
          <w:rtl w:val="0"/>
          <w:lang w:val="en-US"/>
        </w:rPr>
        <w:t xml:space="preserve"> Marine natural products in medicinal chemistry. ACS </w:t>
      </w:r>
      <w:r>
        <w:rPr>
          <w:rStyle w:val="None"/>
          <w:rFonts w:ascii="Times New Roman" w:hAnsi="Times New Roman"/>
          <w:i w:val="1"/>
          <w:iCs w:val="1"/>
          <w:kern w:val="0"/>
          <w:sz w:val="24"/>
          <w:szCs w:val="24"/>
          <w:rtl w:val="0"/>
          <w:lang w:val="en-US"/>
        </w:rPr>
        <w:t>Medicinal Chemistry Letters,</w:t>
      </w:r>
      <w:r>
        <w:rPr>
          <w:rStyle w:val="Hyperlink.1"/>
          <w:rtl w:val="0"/>
          <w:lang w:val="en-US"/>
        </w:rPr>
        <w:t xml:space="preserve"> 9(10), 959-961.</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Carroll, A. R., Copp, B. R., Grkovic, T., Keyzers, R. A.,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Prinsep, M. R.</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2024.</w:t>
      </w:r>
      <w:r>
        <w:rPr>
          <w:rStyle w:val="Hyperlink.1"/>
          <w:rtl w:val="0"/>
          <w:lang w:val="en-US"/>
        </w:rPr>
        <w:t xml:space="preserve"> Marine natural products. </w:t>
      </w:r>
      <w:r>
        <w:rPr>
          <w:rStyle w:val="None"/>
          <w:rFonts w:ascii="Times New Roman" w:hAnsi="Times New Roman"/>
          <w:i w:val="1"/>
          <w:iCs w:val="1"/>
          <w:kern w:val="0"/>
          <w:sz w:val="24"/>
          <w:szCs w:val="24"/>
          <w:rtl w:val="0"/>
          <w:lang w:val="en-US"/>
        </w:rPr>
        <w:t>Natural Product Reports</w:t>
      </w:r>
      <w:r>
        <w:rPr>
          <w:rStyle w:val="Hyperlink.1"/>
          <w:rtl w:val="0"/>
          <w:lang w:val="en-US"/>
        </w:rPr>
        <w:t>, 41(2), 162-207.</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El-Hossary, E. M., Cheng, C., Hamed, M. M., Hamed, A. N. E. S., Ohlsen, K., Hentschel, U.,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Abdelmohsen, U. R.</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2017. </w:t>
      </w:r>
      <w:r>
        <w:rPr>
          <w:rStyle w:val="Hyperlink.1"/>
          <w:rtl w:val="0"/>
          <w:lang w:val="en-US"/>
        </w:rPr>
        <w:t xml:space="preserve">Antifungal potential of marine natural products. European </w:t>
      </w:r>
      <w:r>
        <w:rPr>
          <w:rStyle w:val="None"/>
          <w:rFonts w:ascii="Times New Roman" w:hAnsi="Times New Roman"/>
          <w:i w:val="1"/>
          <w:iCs w:val="1"/>
          <w:kern w:val="0"/>
          <w:sz w:val="24"/>
          <w:szCs w:val="24"/>
          <w:rtl w:val="0"/>
          <w:lang w:val="en-US"/>
        </w:rPr>
        <w:t>Journal of Medicinal Chemistry</w:t>
      </w:r>
      <w:r>
        <w:rPr>
          <w:rStyle w:val="Hyperlink.1"/>
          <w:rtl w:val="0"/>
          <w:lang w:val="en-US"/>
        </w:rPr>
        <w:t>, 126, 631-651.</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Poli, A., Finore, I., Romano, I., Gioiello, A., Lama, L., &amp; Nicolaus, B.</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2017. </w:t>
      </w:r>
      <w:r>
        <w:rPr>
          <w:rStyle w:val="Hyperlink.1"/>
          <w:rtl w:val="0"/>
          <w:lang w:val="en-US"/>
        </w:rPr>
        <w:t xml:space="preserve">Microbial diversity in extreme marine habitats and their biomolecules. </w:t>
      </w:r>
      <w:r>
        <w:rPr>
          <w:rStyle w:val="None"/>
          <w:rFonts w:ascii="Times New Roman" w:hAnsi="Times New Roman"/>
          <w:i w:val="1"/>
          <w:iCs w:val="1"/>
          <w:kern w:val="0"/>
          <w:sz w:val="24"/>
          <w:szCs w:val="24"/>
          <w:rtl w:val="0"/>
          <w:lang w:val="en-US"/>
        </w:rPr>
        <w:t>Microorganisms,</w:t>
      </w:r>
      <w:r>
        <w:rPr>
          <w:rStyle w:val="Hyperlink.1"/>
          <w:rtl w:val="0"/>
          <w:lang w:val="en-US"/>
        </w:rPr>
        <w:t xml:space="preserve"> 5(2), 25.</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Puttaswamygowda, G. H., Olakkaran, S., Antony, A.,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Purayil, A. K.</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2019.</w:t>
      </w:r>
      <w:r>
        <w:rPr>
          <w:rStyle w:val="Hyperlink.1"/>
          <w:rtl w:val="0"/>
          <w:lang w:val="en-US"/>
        </w:rPr>
        <w:t xml:space="preserve"> Present status and future perspectives of marine actinobacterial metabolites. </w:t>
      </w:r>
      <w:r>
        <w:rPr>
          <w:rStyle w:val="None"/>
          <w:rFonts w:ascii="Times New Roman" w:hAnsi="Times New Roman"/>
          <w:i w:val="1"/>
          <w:iCs w:val="1"/>
          <w:kern w:val="0"/>
          <w:sz w:val="24"/>
          <w:szCs w:val="24"/>
          <w:rtl w:val="0"/>
          <w:lang w:val="en-US"/>
        </w:rPr>
        <w:t>Recent Developments in Applied Microbiology and Biochemistry,</w:t>
      </w:r>
      <w:r>
        <w:rPr>
          <w:rStyle w:val="Hyperlink.1"/>
          <w:rtl w:val="0"/>
          <w:lang w:val="en-US"/>
        </w:rPr>
        <w:t xml:space="preserve"> 307-319.</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Ruginescu, R., Enache, M., Popescu, O., Gomoiu, I., Cojoc, R.,</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Batrinescu-Moteau, C., et al.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2022. </w:t>
      </w:r>
      <w:r>
        <w:rPr>
          <w:rStyle w:val="None"/>
          <w:rFonts w:ascii="Times New Roman" w:hAnsi="Times New Roman"/>
          <w:i w:val="1"/>
          <w:iCs w:val="1"/>
          <w:kern w:val="0"/>
          <w:sz w:val="24"/>
          <w:szCs w:val="24"/>
          <w:rtl w:val="0"/>
          <w:lang w:val="en-US"/>
        </w:rPr>
        <w:t xml:space="preserve">Characterization of some salt-tolerant bacterial hydrolases with potential utility in cultural heritage bio-cleaning. </w:t>
      </w:r>
      <w:r>
        <w:rPr>
          <w:rStyle w:val="Hyperlink.1"/>
          <w:rtl w:val="0"/>
          <w:lang w:val="en-US"/>
        </w:rPr>
        <w:t>Microorganisms, 10(3), 644.</w:t>
      </w:r>
    </w:p>
    <w:p>
      <w:pPr>
        <w:pStyle w:val="Normal.0"/>
        <w:spacing w:after="0" w:line="360" w:lineRule="auto"/>
        <w:ind w:left="720" w:hanging="720"/>
        <w:jc w:val="both"/>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kern w:val="0"/>
          <w:sz w:val="24"/>
          <w:szCs w:val="24"/>
          <w:rtl w:val="0"/>
          <w:lang w:val="en-US"/>
        </w:rPr>
        <w:t xml:space="preserve">Collins, C. H., Lyne, P. M.,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Grange, J. M.</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1989</w:t>
      </w:r>
      <w:r>
        <w:rPr>
          <w:rStyle w:val="Hyperlink.1"/>
          <w:rtl w:val="0"/>
          <w:lang w:val="en-US"/>
        </w:rPr>
        <w:t xml:space="preserve">. Collins and Lyne's </w:t>
      </w:r>
      <w:r>
        <w:rPr>
          <w:rStyle w:val="None"/>
          <w:rFonts w:ascii="Times New Roman" w:hAnsi="Times New Roman"/>
          <w:i w:val="1"/>
          <w:iCs w:val="1"/>
          <w:kern w:val="0"/>
          <w:sz w:val="24"/>
          <w:szCs w:val="24"/>
          <w:rtl w:val="0"/>
          <w:lang w:val="en-US"/>
        </w:rPr>
        <w:t>Microbiological Methods.</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Buchanan, R. E.,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Gibbons, N. E. (Eds.).</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1974</w:t>
      </w:r>
      <w:r>
        <w:rPr>
          <w:rStyle w:val="Hyperlink.1"/>
          <w:rtl w:val="0"/>
          <w:lang w:val="en-US"/>
        </w:rPr>
        <w:t xml:space="preserve">. Bergey's </w:t>
      </w:r>
      <w:r>
        <w:rPr>
          <w:rStyle w:val="None"/>
          <w:rFonts w:ascii="Times New Roman" w:hAnsi="Times New Roman"/>
          <w:i w:val="1"/>
          <w:iCs w:val="1"/>
          <w:kern w:val="0"/>
          <w:sz w:val="24"/>
          <w:szCs w:val="24"/>
          <w:rtl w:val="0"/>
          <w:lang w:val="en-US"/>
        </w:rPr>
        <w:t xml:space="preserve">Manual of Determinative Bacteriology </w:t>
      </w:r>
      <w:r>
        <w:rPr>
          <w:rStyle w:val="Hyperlink.1"/>
          <w:rtl w:val="0"/>
          <w:lang w:val="en-US"/>
        </w:rPr>
        <w:t>(8th ed.).</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Desbois, A. P.,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Smith, V. J.</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2010</w:t>
      </w:r>
      <w:r>
        <w:rPr>
          <w:rStyle w:val="Hyperlink.1"/>
          <w:rtl w:val="0"/>
          <w:lang w:val="en-US"/>
        </w:rPr>
        <w:t>. Antibacterial free fatty acids: activities, mechanisms of action and biotechnological potential. Applied Microbiology and Biotechnology, 85(6), 1629-1642.</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Kumar, P. P., Kumaravel, S.,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Lalitha, C.</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2010. </w:t>
      </w:r>
      <w:r>
        <w:rPr>
          <w:rStyle w:val="Hyperlink.1"/>
          <w:rtl w:val="0"/>
          <w:lang w:val="en-US"/>
        </w:rPr>
        <w:t xml:space="preserve">Screening of antioxidant activity, total phenolics and GC-MS study of Vitex negundo. African </w:t>
      </w:r>
      <w:r>
        <w:rPr>
          <w:rStyle w:val="None"/>
          <w:rFonts w:ascii="Times New Roman" w:hAnsi="Times New Roman"/>
          <w:i w:val="1"/>
          <w:iCs w:val="1"/>
          <w:kern w:val="0"/>
          <w:sz w:val="24"/>
          <w:szCs w:val="24"/>
          <w:rtl w:val="0"/>
          <w:lang w:val="en-US"/>
        </w:rPr>
        <w:t xml:space="preserve">Journal of Biochemistry Research, </w:t>
      </w:r>
      <w:r>
        <w:rPr>
          <w:rStyle w:val="Hyperlink.1"/>
          <w:rtl w:val="0"/>
          <w:lang w:val="en-US"/>
        </w:rPr>
        <w:t>4(7), 191-195.</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Rao, C. V., Newmark, H. L.,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Reddy, B. S.</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1998. </w:t>
      </w:r>
      <w:r>
        <w:rPr>
          <w:rStyle w:val="Hyperlink.1"/>
          <w:rtl w:val="0"/>
          <w:lang w:val="en-US"/>
        </w:rPr>
        <w:t>Chemopreventive effect of squalene on colon cancer. Carcinogenesis, 19(2), 287-290.</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Coates, J.</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2000. </w:t>
      </w:r>
      <w:r>
        <w:rPr>
          <w:rStyle w:val="Hyperlink.1"/>
          <w:rtl w:val="0"/>
          <w:lang w:val="en-US"/>
        </w:rPr>
        <w:t>Interpretation of infrared spectra, a practical approach.</w:t>
      </w:r>
      <w:r>
        <w:rPr>
          <w:rStyle w:val="None"/>
          <w:rFonts w:ascii="Times New Roman" w:hAnsi="Times New Roman"/>
          <w:i w:val="1"/>
          <w:iCs w:val="1"/>
          <w:kern w:val="0"/>
          <w:sz w:val="24"/>
          <w:szCs w:val="24"/>
          <w:rtl w:val="0"/>
          <w:lang w:val="en-US"/>
        </w:rPr>
        <w:t xml:space="preserve"> Encyclopedia of Analytical Chemistry</w:t>
      </w:r>
      <w:r>
        <w:rPr>
          <w:rStyle w:val="Hyperlink.1"/>
          <w:rtl w:val="0"/>
          <w:lang w:val="en-US"/>
        </w:rPr>
        <w:t>, 12, 10815-10837.</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Silverstein, R. M., Webster, F. X., Kiemle, D. J.,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Bryce, D. 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2014. </w:t>
      </w:r>
      <w:r>
        <w:rPr>
          <w:rStyle w:val="None"/>
          <w:rFonts w:ascii="Times New Roman" w:hAnsi="Times New Roman"/>
          <w:i w:val="1"/>
          <w:iCs w:val="1"/>
          <w:kern w:val="0"/>
          <w:sz w:val="24"/>
          <w:szCs w:val="24"/>
          <w:rtl w:val="0"/>
          <w:lang w:val="en-US"/>
        </w:rPr>
        <w:t>Spectrometric Identification of Organic Compounds</w:t>
      </w:r>
      <w:r>
        <w:rPr>
          <w:rStyle w:val="Hyperlink.1"/>
          <w:rtl w:val="0"/>
          <w:lang w:val="en-US"/>
        </w:rPr>
        <w:t xml:space="preserve"> (8th ed.). John Wiley &amp; Sons.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Rice-Evans, C. A., Miller, N. J.,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Paganga, G.</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1996.</w:t>
      </w:r>
      <w:r>
        <w:rPr>
          <w:rStyle w:val="Hyperlink.1"/>
          <w:rtl w:val="0"/>
          <w:lang w:val="en-US"/>
        </w:rPr>
        <w:t xml:space="preserve"> Structure-antioxidant activity relationships of flavonoids and phenolic acids. </w:t>
      </w:r>
      <w:r>
        <w:rPr>
          <w:rStyle w:val="None"/>
          <w:rFonts w:ascii="Times New Roman" w:hAnsi="Times New Roman"/>
          <w:i w:val="1"/>
          <w:iCs w:val="1"/>
          <w:kern w:val="0"/>
          <w:sz w:val="24"/>
          <w:szCs w:val="24"/>
          <w:rtl w:val="0"/>
          <w:lang w:val="en-US"/>
        </w:rPr>
        <w:t xml:space="preserve">Free Radical Biology and Medicine, 20(7), </w:t>
      </w:r>
      <w:r>
        <w:rPr>
          <w:rStyle w:val="None"/>
          <w:rFonts w:ascii="Times New Roman" w:hAnsi="Times New Roman"/>
          <w:kern w:val="0"/>
          <w:sz w:val="24"/>
          <w:szCs w:val="24"/>
          <w:rtl w:val="0"/>
          <w:lang w:val="en-US"/>
        </w:rPr>
        <w:t>933-956.</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Cushnie, T. T., Cushnie, B.,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Lamb, A. J.</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2014. </w:t>
      </w:r>
      <w:r>
        <w:rPr>
          <w:rStyle w:val="Hyperlink.1"/>
          <w:rtl w:val="0"/>
          <w:lang w:val="en-US"/>
        </w:rPr>
        <w:t>Alkaloids: An overview of their antibacterial, antibiotic-enhancing and antivirulence activities. I</w:t>
      </w:r>
      <w:r>
        <w:rPr>
          <w:rStyle w:val="None"/>
          <w:rFonts w:ascii="Times New Roman" w:hAnsi="Times New Roman"/>
          <w:i w:val="1"/>
          <w:iCs w:val="1"/>
          <w:kern w:val="0"/>
          <w:sz w:val="24"/>
          <w:szCs w:val="24"/>
          <w:rtl w:val="0"/>
          <w:lang w:val="en-US"/>
        </w:rPr>
        <w:t xml:space="preserve">nternational Journal of Antimicrobial Agents, </w:t>
      </w:r>
      <w:r>
        <w:rPr>
          <w:rStyle w:val="Hyperlink.1"/>
          <w:rtl w:val="0"/>
          <w:lang w:val="en-US"/>
        </w:rPr>
        <w:t>44(5), 377-386.</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Fleming, F. F., Yao, L., Ravikumar, P. C., Funk, L.,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Shook, B. C.</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2010. </w:t>
      </w:r>
      <w:r>
        <w:rPr>
          <w:rStyle w:val="Hyperlink.1"/>
          <w:rtl w:val="0"/>
          <w:lang w:val="en-US"/>
        </w:rPr>
        <w:t>Nitrile-containing pharmaceuticals: efficacious roles of the nitrile pharmacophore.</w:t>
      </w:r>
      <w:r>
        <w:rPr>
          <w:rStyle w:val="None"/>
          <w:rFonts w:ascii="Times New Roman" w:hAnsi="Times New Roman"/>
          <w:i w:val="1"/>
          <w:iCs w:val="1"/>
          <w:kern w:val="0"/>
          <w:sz w:val="24"/>
          <w:szCs w:val="24"/>
          <w:rtl w:val="0"/>
          <w:lang w:val="en-US"/>
        </w:rPr>
        <w:t xml:space="preserve"> Journal of Medicinal Chemistry, 5</w:t>
      </w:r>
      <w:r>
        <w:rPr>
          <w:rStyle w:val="Hyperlink.1"/>
          <w:rtl w:val="0"/>
          <w:lang w:val="en-US"/>
        </w:rPr>
        <w:t>3(22), 7902-7917.</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Valko, M., Leibfritz, D., Moncol, J., Cronin, M. T., Mazur, M.,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Telser, J.</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2007.</w:t>
      </w:r>
      <w:r>
        <w:rPr>
          <w:rStyle w:val="Hyperlink.1"/>
          <w:rtl w:val="0"/>
          <w:lang w:val="en-US"/>
        </w:rPr>
        <w:t xml:space="preserve"> Free radicals and antioxidants in normal physiological functions and human disease. </w:t>
      </w:r>
      <w:r>
        <w:rPr>
          <w:rStyle w:val="None"/>
          <w:rFonts w:ascii="Times New Roman" w:hAnsi="Times New Roman"/>
          <w:i w:val="1"/>
          <w:iCs w:val="1"/>
          <w:kern w:val="0"/>
          <w:sz w:val="24"/>
          <w:szCs w:val="24"/>
          <w:rtl w:val="0"/>
          <w:lang w:val="en-US"/>
        </w:rPr>
        <w:t>The International Journal of Biochemistry &amp; Cell Biology</w:t>
      </w:r>
      <w:r>
        <w:rPr>
          <w:rStyle w:val="Hyperlink.1"/>
          <w:rtl w:val="0"/>
          <w:lang w:val="en-US"/>
        </w:rPr>
        <w:t>, 39(1), 44-84.</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Jacob, C.</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2006. </w:t>
      </w:r>
      <w:r>
        <w:rPr>
          <w:rStyle w:val="Hyperlink.1"/>
          <w:rtl w:val="0"/>
          <w:lang w:val="en-US"/>
        </w:rPr>
        <w:t>A scent of therapy: pharmacological implications of natural products containing redox-active sulfur atoms. Natural Product Reports, 23(6), 851-863.</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Yadav, A., Bhatia, D., Nimi, C., Kaur, G.,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Singh, R.</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2026. </w:t>
      </w:r>
      <w:r>
        <w:rPr>
          <w:rStyle w:val="Hyperlink.1"/>
          <w:rtl w:val="0"/>
          <w:lang w:val="en-US"/>
        </w:rPr>
        <w:t xml:space="preserve">Forensic investigation of red lipstick residue using ATR-FTIR spectroscopy and chemometrics. </w:t>
      </w:r>
      <w:r>
        <w:rPr>
          <w:rStyle w:val="None"/>
          <w:rFonts w:ascii="Times New Roman" w:hAnsi="Times New Roman"/>
          <w:i w:val="1"/>
          <w:iCs w:val="1"/>
          <w:kern w:val="0"/>
          <w:sz w:val="24"/>
          <w:szCs w:val="24"/>
          <w:rtl w:val="0"/>
          <w:lang w:val="en-US"/>
        </w:rPr>
        <w:t>Journal of Forensic Sciences,</w:t>
      </w:r>
      <w:r>
        <w:rPr>
          <w:rStyle w:val="Hyperlink.1"/>
          <w:rtl w:val="0"/>
          <w:lang w:val="en-US"/>
        </w:rPr>
        <w:t xml:space="preserve"> 71(1), 564-573.</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Namuga, C., Muwonge, H., Nasifu, K., Sekandi, P., Sekulima, T., &amp; Kirabira, J. B.</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2024</w:t>
      </w:r>
      <w:r>
        <w:rPr>
          <w:rStyle w:val="Hyperlink.1"/>
          <w:rtl w:val="0"/>
          <w:lang w:val="en-US"/>
        </w:rPr>
        <w:t xml:space="preserve">. Hoslundiaopposita Vahl; a potential source of bioactive compounds with antioxidant and antibiofilm activity for wound healing. </w:t>
      </w:r>
      <w:r>
        <w:rPr>
          <w:rStyle w:val="None"/>
          <w:rFonts w:ascii="Times New Roman" w:hAnsi="Times New Roman"/>
          <w:i w:val="1"/>
          <w:iCs w:val="1"/>
          <w:kern w:val="0"/>
          <w:sz w:val="24"/>
          <w:szCs w:val="24"/>
          <w:rtl w:val="0"/>
          <w:lang w:val="en-US"/>
        </w:rPr>
        <w:t>BMC Complementary Medicine and Therapies</w:t>
      </w:r>
      <w:r>
        <w:rPr>
          <w:rStyle w:val="Hyperlink.1"/>
          <w:rtl w:val="0"/>
          <w:lang w:val="en-US"/>
        </w:rPr>
        <w:t>, 24(1), 236.</w:t>
      </w: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DISTRIBUTION, PHYTOCHEMICAL COMPOSITION, AND ANTICANCER POTENTIAL OF MEDICINAL PLANTS FROM THE SOUTHERN                               WESTERN GHATS OF TAMIL NADU</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kern w:val="0"/>
          <w:sz w:val="24"/>
          <w:szCs w:val="24"/>
          <w:rtl w:val="0"/>
          <w:lang w:val="en-US"/>
        </w:rPr>
        <w:t>Prathika</w:t>
      </w:r>
      <w:r>
        <w:rPr>
          <w:rStyle w:val="None"/>
          <w:rFonts w:ascii="Times New Roman" w:hAnsi="Times New Roman"/>
          <w:kern w:val="0"/>
          <w:sz w:val="24"/>
          <w:szCs w:val="24"/>
          <w:rtl w:val="0"/>
          <w:lang w:val="en-US"/>
        </w:rPr>
        <w:t>.M</w:t>
      </w:r>
      <w:r>
        <w:rPr>
          <w:rStyle w:val="None"/>
          <w:rFonts w:ascii="Times New Roman" w:hAnsi="Times New Roman"/>
          <w:kern w:val="0"/>
          <w:sz w:val="24"/>
          <w:szCs w:val="24"/>
          <w:vertAlign w:val="superscript"/>
          <w:rtl w:val="0"/>
          <w:lang w:val="en-US"/>
        </w:rPr>
        <w:t>1</w:t>
      </w:r>
      <w:r>
        <w:rPr>
          <w:rStyle w:val="None"/>
          <w:rFonts w:ascii="Times New Roman" w:hAnsi="Times New Roman"/>
          <w:kern w:val="0"/>
          <w:sz w:val="24"/>
          <w:szCs w:val="24"/>
          <w:rtl w:val="0"/>
          <w:lang w:val="en-US"/>
        </w:rPr>
        <w:t>.</w:t>
      </w:r>
      <w:r>
        <w:rPr>
          <w:rStyle w:val="None"/>
          <w:rFonts w:ascii="Times New Roman" w:hAnsi="Times New Roman"/>
          <w:kern w:val="0"/>
          <w:sz w:val="24"/>
          <w:szCs w:val="24"/>
          <w:rtl w:val="0"/>
          <w:lang w:val="en-US"/>
        </w:rPr>
        <w:t>, Jenifer Tamizharasi</w:t>
      </w:r>
      <w:r>
        <w:rPr>
          <w:rStyle w:val="None"/>
          <w:rFonts w:ascii="Times New Roman" w:hAnsi="Times New Roman"/>
          <w:kern w:val="0"/>
          <w:sz w:val="24"/>
          <w:szCs w:val="24"/>
          <w:rtl w:val="0"/>
          <w:lang w:val="en-US"/>
        </w:rPr>
        <w:t xml:space="preserve">.M </w:t>
      </w:r>
      <w:r>
        <w:rPr>
          <w:rStyle w:val="None"/>
          <w:rFonts w:ascii="Times New Roman" w:hAnsi="Times New Roman"/>
          <w:kern w:val="0"/>
          <w:sz w:val="24"/>
          <w:szCs w:val="24"/>
          <w:vertAlign w:val="superscript"/>
          <w:rtl w:val="0"/>
          <w:lang w:val="en-US"/>
        </w:rPr>
        <w:t>2</w:t>
      </w:r>
      <w:r>
        <w:rPr>
          <w:rStyle w:val="None"/>
          <w:rFonts w:ascii="Times New Roman" w:hAnsi="Times New Roman"/>
          <w:kern w:val="0"/>
          <w:sz w:val="24"/>
          <w:szCs w:val="24"/>
          <w:rtl w:val="0"/>
          <w:lang w:val="en-US"/>
        </w:rPr>
        <w:t>.</w:t>
      </w:r>
      <w:r>
        <w:rPr>
          <w:rStyle w:val="None"/>
          <w:rFonts w:ascii="Times New Roman" w:hAnsi="Times New Roman"/>
          <w:kern w:val="0"/>
          <w:sz w:val="24"/>
          <w:szCs w:val="24"/>
          <w:rtl w:val="0"/>
          <w:lang w:val="en-US"/>
        </w:rPr>
        <w:t>,</w:t>
      </w:r>
      <w:r>
        <w:rPr>
          <w:rStyle w:val="None"/>
          <w:rFonts w:ascii="Times New Roman" w:hAnsi="Times New Roman"/>
          <w:kern w:val="0"/>
          <w:sz w:val="24"/>
          <w:szCs w:val="24"/>
          <w:rtl w:val="0"/>
          <w:lang w:val="en-US"/>
        </w:rPr>
        <w:t xml:space="preserve"> Sujithra</w:t>
      </w:r>
      <w:r>
        <w:rPr>
          <w:rStyle w:val="None"/>
          <w:rFonts w:ascii="Times New Roman" w:hAnsi="Times New Roman"/>
          <w:kern w:val="0"/>
          <w:sz w:val="24"/>
          <w:szCs w:val="24"/>
          <w:rtl w:val="0"/>
          <w:lang w:val="en-US"/>
        </w:rPr>
        <w:t>,S</w:t>
      </w:r>
      <w:r>
        <w:rPr>
          <w:rStyle w:val="None"/>
          <w:rFonts w:ascii="Times New Roman" w:hAnsi="Times New Roman"/>
          <w:kern w:val="0"/>
          <w:sz w:val="24"/>
          <w:szCs w:val="24"/>
          <w:vertAlign w:val="superscript"/>
          <w:rtl w:val="0"/>
          <w:lang w:val="en-US"/>
        </w:rPr>
        <w:t>3</w:t>
      </w:r>
      <w:r>
        <w:rPr>
          <w:rStyle w:val="None"/>
          <w:rFonts w:ascii="Times New Roman" w:hAnsi="Times New Roman"/>
          <w:kern w:val="0"/>
          <w:sz w:val="24"/>
          <w:szCs w:val="24"/>
          <w:rtl w:val="0"/>
          <w:lang w:val="en-US"/>
        </w:rPr>
        <w:t>.,</w:t>
      </w:r>
      <w:r>
        <w:rPr>
          <w:rStyle w:val="None"/>
          <w:rFonts w:ascii="Times New Roman" w:hAnsi="Times New Roman"/>
          <w:kern w:val="0"/>
          <w:sz w:val="24"/>
          <w:szCs w:val="24"/>
          <w:rtl w:val="0"/>
          <w:lang w:val="en-US"/>
        </w:rPr>
        <w:t xml:space="preserve"> </w:t>
      </w:r>
      <w:r>
        <w:rPr>
          <w:rStyle w:val="None"/>
          <w:rFonts w:ascii="Times New Roman" w:hAnsi="Times New Roman"/>
          <w:kern w:val="0"/>
          <w:sz w:val="24"/>
          <w:szCs w:val="24"/>
          <w:rtl w:val="0"/>
          <w:lang w:val="en-US"/>
        </w:rPr>
        <w:t>a</w:t>
      </w:r>
      <w:r>
        <w:rPr>
          <w:rStyle w:val="None"/>
          <w:rFonts w:ascii="Times New Roman" w:hAnsi="Times New Roman"/>
          <w:kern w:val="0"/>
          <w:sz w:val="24"/>
          <w:szCs w:val="24"/>
          <w:rtl w:val="0"/>
          <w:lang w:val="en-US"/>
        </w:rPr>
        <w:t xml:space="preserve">ndKumaran </w:t>
      </w:r>
      <w:r>
        <w:rPr>
          <w:rStyle w:val="None"/>
          <w:rFonts w:ascii="Times New Roman" w:hAnsi="Times New Roman"/>
          <w:kern w:val="0"/>
          <w:sz w:val="24"/>
          <w:szCs w:val="24"/>
          <w:rtl w:val="0"/>
          <w:lang w:val="en-US"/>
        </w:rPr>
        <w:t>,T</w:t>
      </w:r>
      <w:r>
        <w:rPr>
          <w:rStyle w:val="None"/>
          <w:rFonts w:ascii="Times New Roman" w:hAnsi="Times New Roman"/>
          <w:kern w:val="0"/>
          <w:sz w:val="24"/>
          <w:szCs w:val="24"/>
          <w:vertAlign w:val="superscript"/>
          <w:rtl w:val="0"/>
          <w:lang w:val="en-US"/>
        </w:rPr>
        <w:t>4</w:t>
      </w:r>
      <w:r>
        <w:rPr>
          <w:rStyle w:val="None"/>
          <w:rFonts w:ascii="Times New Roman" w:hAnsi="Times New Roman"/>
          <w:kern w:val="0"/>
          <w:sz w:val="24"/>
          <w:szCs w:val="24"/>
          <w:rtl w:val="0"/>
          <w:lang w:val="en-US"/>
        </w:rPr>
        <w:t>.,</w:t>
      </w:r>
      <w:r>
        <w:rPr>
          <w:rStyle w:val="None"/>
          <w:rFonts w:ascii="Times New Roman" w:hAnsi="Times New Roman" w:hint="default"/>
          <w:kern w:val="0"/>
          <w:sz w:val="24"/>
          <w:szCs w:val="24"/>
          <w:rtl w:val="0"/>
          <w:lang w:val="en-US"/>
        </w:rPr>
        <w:t> </w:t>
      </w:r>
    </w:p>
    <w:p>
      <w:pPr>
        <w:pStyle w:val="Normal.0"/>
        <w:numPr>
          <w:ilvl w:val="0"/>
          <w:numId w:val="30"/>
        </w:numPr>
        <w:bidi w:val="0"/>
        <w:spacing w:after="0" w:line="360" w:lineRule="auto"/>
        <w:ind w:right="0"/>
        <w:jc w:val="both"/>
        <w:rPr>
          <w:rFonts w:ascii="Times New Roman" w:hAnsi="Times New Roman"/>
          <w:i w:val="1"/>
          <w:iCs w:val="1"/>
          <w:sz w:val="24"/>
          <w:szCs w:val="24"/>
          <w:rtl w:val="0"/>
          <w:lang w:val="en-US"/>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Research Scholar, Reg. No- 23113092182001. PG &amp; Research Department of Zoology</w:t>
      </w:r>
      <w:r>
        <w:rPr>
          <w:rStyle w:val="None"/>
          <w:rFonts w:ascii="Times New Roman" w:hAnsi="Times New Roman"/>
          <w:i w:val="0"/>
          <w:iCs w:val="0"/>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Muslim Arts College, Thiruvithancode, Kanyakumari 629174, Tamilnadu, India. ManonmaniamSundaranar University, Abishekapatti, Tirunelveli-627012, Tamilnadu, India.</w:t>
      </w:r>
    </w:p>
    <w:p>
      <w:pPr>
        <w:pStyle w:val="Normal.0"/>
        <w:numPr>
          <w:ilvl w:val="0"/>
          <w:numId w:val="30"/>
        </w:numPr>
        <w:bidi w:val="0"/>
        <w:spacing w:after="0" w:line="360" w:lineRule="auto"/>
        <w:ind w:right="0"/>
        <w:jc w:val="both"/>
        <w:rPr>
          <w:rFonts w:ascii="Times New Roman" w:hAnsi="Times New Roman"/>
          <w:i w:val="1"/>
          <w:iCs w:val="1"/>
          <w:sz w:val="24"/>
          <w:szCs w:val="24"/>
          <w:rtl w:val="0"/>
          <w:lang w:val="en-US"/>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PG &amp; Research Department of Nutrition and Dietetics</w:t>
      </w:r>
      <w:r>
        <w:rPr>
          <w:rStyle w:val="None"/>
          <w:rFonts w:ascii="Times New Roman" w:hAnsi="Times New Roman"/>
          <w:i w:val="0"/>
          <w:iCs w:val="0"/>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Muslim Arts College, Thiruvithancode, Kanyakumari 629174, Tamilnadu, India. ManonmaniamSundaranar University, Abishekapatti, Tirunelveli-627012, Tamilnadu, India.</w:t>
      </w:r>
    </w:p>
    <w:p>
      <w:pPr>
        <w:pStyle w:val="Normal.0"/>
        <w:numPr>
          <w:ilvl w:val="0"/>
          <w:numId w:val="30"/>
        </w:numPr>
        <w:bidi w:val="0"/>
        <w:spacing w:after="0" w:line="360" w:lineRule="auto"/>
        <w:ind w:right="0"/>
        <w:jc w:val="both"/>
        <w:rPr>
          <w:rFonts w:ascii="Times New Roman" w:hAnsi="Times New Roman"/>
          <w:i w:val="1"/>
          <w:iCs w:val="1"/>
          <w:sz w:val="24"/>
          <w:szCs w:val="24"/>
          <w:rtl w:val="0"/>
          <w:lang w:val="en-US"/>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Department of Microbiolgy</w:t>
      </w:r>
      <w:r>
        <w:rPr>
          <w:rStyle w:val="None"/>
          <w:rFonts w:ascii="Times New Roman" w:hAnsi="Times New Roman"/>
          <w:i w:val="0"/>
          <w:iCs w:val="0"/>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Muslim Arts College, Thiruvithancode, Kanyakumari 629174, Tamilnadu, India. ManonmaniamSundaranar University, Abishekapatti, Tirunelveli-627012, Tamilnadu, India.</w:t>
      </w:r>
    </w:p>
    <w:p>
      <w:pPr>
        <w:pStyle w:val="Normal.0"/>
        <w:numPr>
          <w:ilvl w:val="0"/>
          <w:numId w:val="30"/>
        </w:numPr>
        <w:bidi w:val="0"/>
        <w:spacing w:after="0" w:line="360" w:lineRule="auto"/>
        <w:ind w:right="0"/>
        <w:jc w:val="both"/>
        <w:rPr>
          <w:rFonts w:ascii="Times New Roman" w:hAnsi="Times New Roman"/>
          <w:i w:val="1"/>
          <w:iCs w:val="1"/>
          <w:sz w:val="24"/>
          <w:szCs w:val="24"/>
          <w:rtl w:val="0"/>
          <w:lang w:val="en-US"/>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Research Supervisor, PG &amp; Research Department of Zoology</w:t>
      </w:r>
      <w:r>
        <w:rPr>
          <w:rStyle w:val="None"/>
          <w:rFonts w:ascii="Times New Roman" w:hAnsi="Times New Roman"/>
          <w:i w:val="0"/>
          <w:iCs w:val="0"/>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Muslim Arts College, Thiruvithancode, Kanyakumari 629174, Tamilnadu, India. ManonmaniamSundaranar University, Abishekapatti, Tirunelveli-627012, Tamilnadu, India.</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Cancer remains one of the leading causes of morbidity and mortality worldwide, prompting an increasing search for safe and effective therapeutic agents from natural sources. Medicinal plants have long served as valuable reservoirs of bioactive phytochemicals with significant anticancer potential. The Southern Western Ghats of Tamil Nadu, recognized as one of the world's biodiversity hotspots, harbor a rich diversity of medicinal plant species traditionally used for the prevention and treatment of various diseases, including cancer. These plants contain a wide range of secondary metabolites such as alkaloids, flavonoids, terpenoids, phenolics, saponins, tannins, and glycosides that exhibit potent anticancer activities. Herbal medicines exert their therapeutic effects through multiple mechanisms, including inhibition of carcinogen-activating enzymes, modulation of hormone-dependent tumor growth, induction of apoptosis, suppression of cell proliferation, enhancement of DNA repair mechanisms, antioxidant activity, inhibition of angiogenesis and metastasis, and stimulation of host immune responses. Numerous plant-derived compounds have also served as lead molecules for the development of clinically important anticancer drugs. This review highlights the diversity, distribution, phytochemical composition, and anticancer potential of medicinal plants from the Southern Western Ghats of Tamil Nadu. It also summarizes the molecular mechanisms underlying their anticancer activity and discusses their significance in the discovery of novel plant-based chemotherapeutic agents. The review emphasizes the importance of conserving the medicinal plant wealth of the Western Ghats and promoting further pharmacological and clinical investigations to facilitate the development of safe, effective, and sustainable anticancer therapeutics.</w:t>
      </w:r>
    </w:p>
    <w:p>
      <w:pPr>
        <w:pStyle w:val="Normal.0"/>
        <w:spacing w:after="0" w:line="360" w:lineRule="auto"/>
        <w:jc w:val="both"/>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Keywords:</w:t>
      </w:r>
      <w:r>
        <w:rPr>
          <w:rStyle w:val="None"/>
          <w:rFonts w:ascii="Times New Roman" w:hAnsi="Times New Roman"/>
          <w:i w:val="1"/>
          <w:iCs w:val="1"/>
          <w:kern w:val="0"/>
          <w:sz w:val="24"/>
          <w:szCs w:val="24"/>
          <w:rtl w:val="0"/>
          <w:lang w:val="en-US"/>
        </w:rPr>
        <w:t xml:space="preserve"> Southern Western Ghats,</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phytochemicals, biodiversity, apoptosis, natural products, herbal medicine.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Cancer is a major public health burden in both developed and developing countries. It is characterized by multiplication of cells without control. Then these can be invade and destroy healthy tissue including organs (Gatzemeic</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.,1995). Many aspects relate to the cause of cancer besides heredity, food habits, smoking, nutritional behavior, radiation, etc (Lakshmi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2015, Harrison, 1998). There are different types of cancer which include Breast cancer, Prostate cancer, Lung cancer, cancer of colon or rectum, Blood cancer, Ovarian cancer etc (Sanjar</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2013). Cancer is one of the leading causes of death and globally the number of cases cancer are increasing gradually ( Prakash</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2013).</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Current treatment methods and Disadvantages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There are several medicines available in the market to treat the various types of cancer but no drug is found to be fully effective and safe (Prakash</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2013). These treatments can put patient under a lot of strain, damage their health and also costly (Nidhi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2017). Already available conventional therapies for the treatment of cancer are radiotherapy and chemotherapy which have various side effects like neurological, cardiac, renal and pulmonary toxicity, seriously affecting the health of the person. Therefore, an alternative method is required to develop that include less toxic and more potent anticancer drug as compare to the drugs available in the market (WHO, 2017).</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Benefits of Natural Products</w:t>
      </w:r>
      <w:r>
        <w:rPr>
          <w:rStyle w:val="Hyperlink.1"/>
          <w:rtl w:val="0"/>
          <w:lang w:val="en-US"/>
        </w:rPr>
        <w:t>:</w:t>
      </w:r>
    </w:p>
    <w:p>
      <w:pPr>
        <w:pStyle w:val="Normal.0"/>
        <w:spacing w:after="0" w:line="360" w:lineRule="auto"/>
        <w:jc w:val="both"/>
        <w:rPr>
          <w:rStyle w:val="Hyperlink.1"/>
        </w:rPr>
      </w:pPr>
      <w:r>
        <w:rPr>
          <w:rStyle w:val="Hyperlink.1"/>
          <w:rtl w:val="0"/>
        </w:rPr>
        <w:tab/>
        <w:t>Natural products, especially plants have been used for the treatment of various diseases for thousands of years (Samuelsson, 1999). Many natural products and their analogues have been identified as potent anti-cancer agents. They have been found to possess anticancer and chemoprotective effects. The medicinal plants are easily available, cheaper and possess no toxicity (Umadevi</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.,2013). Phytochemicals derived from traditional medicinal plants have been found to possess anticancer and chemoprotective effects. They are safer for long term use in cancer patients. They provide nutrition and reduce the side effects of conventional cancer therapy due to effective antioxidant activity (Jeeva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2013).Approximately 60% of drugs currently used for cancer treatment have been isolated from natural products (Gordaliza,2007) and the plant kingdom has been the most significant source. These include vincaalkaloids, Taxus diterpenes, Camptotheca alkaloids and Podophyllumlignans (SaklaniandKutty,2008).Medicinal plants have various advantages over chemical products, because plant derived compounds are more tolerant and non-toxic to the normal human cells(1)</w:t>
      </w:r>
    </w:p>
    <w:p>
      <w:pPr>
        <w:pStyle w:val="Normal.0"/>
        <w:spacing w:after="0" w:line="360" w:lineRule="auto"/>
        <w:jc w:val="both"/>
        <w:rPr>
          <w:rStyle w:val="Hyperlink.1"/>
        </w:rPr>
      </w:pPr>
      <w:r>
        <w:rPr>
          <w:rStyle w:val="None"/>
          <w:rFonts w:ascii="Times New Roman" w:cs="Times New Roman" w:hAnsi="Times New Roman" w:eastAsia="Times New Roman"/>
          <w:outline w:val="0"/>
          <w:color w:val="000000"/>
          <w:sz w:val="24"/>
          <w:szCs w:val="24"/>
          <w:u w:color="000000"/>
          <w14:textFill>
            <w14:solidFill>
              <w14:srgbClr w14:val="000000"/>
            </w14:solidFill>
          </w14:textFill>
        </w:rPr>
        <w:drawing xmlns:a="http://schemas.openxmlformats.org/drawingml/2006/main">
          <wp:anchor distT="0" distB="0" distL="0" distR="0" simplePos="0" relativeHeight="251664384" behindDoc="0" locked="0" layoutInCell="1" allowOverlap="1">
            <wp:simplePos x="0" y="0"/>
            <wp:positionH relativeFrom="column">
              <wp:posOffset>669289</wp:posOffset>
            </wp:positionH>
            <wp:positionV relativeFrom="line">
              <wp:posOffset>135253</wp:posOffset>
            </wp:positionV>
            <wp:extent cx="4505960" cy="2769872"/>
            <wp:effectExtent l="0" t="0" r="0" b="0"/>
            <wp:wrapNone/>
            <wp:docPr id="1073741892" name="officeArt object" descr="image.png"/>
            <wp:cNvGraphicFramePr/>
            <a:graphic xmlns:a="http://schemas.openxmlformats.org/drawingml/2006/main">
              <a:graphicData uri="http://schemas.openxmlformats.org/drawingml/2006/picture">
                <pic:pic xmlns:pic="http://schemas.openxmlformats.org/drawingml/2006/picture">
                  <pic:nvPicPr>
                    <pic:cNvPr id="1073741892" name="image.png" descr="image.png"/>
                    <pic:cNvPicPr>
                      <a:picLocks noChangeAspect="1"/>
                    </pic:cNvPicPr>
                  </pic:nvPicPr>
                  <pic:blipFill>
                    <a:blip r:embed="rId63">
                      <a:extLst/>
                    </a:blip>
                    <a:stretch>
                      <a:fillRect/>
                    </a:stretch>
                  </pic:blipFill>
                  <pic:spPr>
                    <a:xfrm>
                      <a:off x="0" y="0"/>
                      <a:ext cx="4505960" cy="2769872"/>
                    </a:xfrm>
                    <a:prstGeom prst="rect">
                      <a:avLst/>
                    </a:prstGeom>
                    <a:ln w="12700" cap="flat">
                      <a:noFill/>
                      <a:miter lim="400000"/>
                    </a:ln>
                    <a:effectLst/>
                  </pic:spPr>
                </pic:pic>
              </a:graphicData>
            </a:graphic>
          </wp:anchor>
        </w:drawing>
      </w: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1.1</w:t>
        <w:tab/>
        <w:t>Anticancerous compounds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Plants have been a major source of highly effective conventional drugs for the treatment of many forms of cancer and while the actual compounds isolated from the plant frequently may not serve as the drug, they provide leads for the development of potential novel agents like paclitaxel, vinblastine and vincristine(Iqbal (1993),Ahmad (1987),Yadav and Tripathi (2005),Viqaruddin(1987), Malhotra and Rastogi Ram (2001).The plant species contain biologically active compounds that protect human health. Compounds from plants could act as protective agents with respect to human carcinogenesis, acting against initiation, promotion or progression stages, or destroying/blocking the DNA damaging mutagens, thus avoiding cell mutations. The plant sources of India are likely to provide effective anti-cancer agents (Dimayuga et al., 1991).Anticancerous compounds are bioflavonoids, polyphenols, Terpenes, Alkaloids, Bromelain, curcumin etc., Secondary metabolites like polyphenols, terpenes and alkaloids have been reported to possess antimutagenic and anticancer properties (Gupta ,2004).</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1.2</w:t>
        <w:tab/>
        <w:t>Preventive measures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Cancers can be preventive by proper dietary habits, saying no to tobacco, treatment of inflammatory diseases effectively and taking nutritional supplements that aid immune functions (Madhuri and Pandey, 2009). The discovery of medicinally important herbs and their mechanism of action would provide an alternative and effective treatment towards the cancer prevention (Lee, 1993).</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Anticancerous medicinal plants from mugaliadi hills in western ghats</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7"/>
        <w:gridCol w:w="1835"/>
        <w:gridCol w:w="2012"/>
        <w:gridCol w:w="1890"/>
        <w:gridCol w:w="2716"/>
      </w:tblGrid>
      <w:tr>
        <w:tblPrEx>
          <w:shd w:val="clear" w:color="auto" w:fill="ced7e7"/>
        </w:tblPrEx>
        <w:trPr>
          <w:trHeight w:val="48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S.no</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Botanical name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Tamil name</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Phytochemicals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Action against specific cancer</w:t>
            </w:r>
          </w:p>
        </w:tc>
      </w:tr>
      <w:tr>
        <w:tblPrEx>
          <w:shd w:val="clear" w:color="auto" w:fill="ced7e7"/>
        </w:tblPrEx>
        <w:trPr>
          <w:trHeight w:val="96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Picrorrhiziakurroa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(Scrophulariaceae)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Kadugurrhogni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picrosides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Liver</w:t>
            </w:r>
            <w:r>
              <w:rPr>
                <w:rStyle w:val="None"/>
                <w:rFonts w:ascii="Times New Roman" w:hAnsi="Times New Roman" w:hint="default"/>
                <w:kern w:val="0"/>
                <w:shd w:val="nil" w:color="auto" w:fill="auto"/>
                <w:rtl w:val="0"/>
                <w:lang w:val="en-US"/>
              </w:rPr>
              <w:t xml:space="preserve">  </w:t>
            </w:r>
            <w:r>
              <w:rPr>
                <w:rStyle w:val="None"/>
                <w:rFonts w:ascii="Times New Roman" w:hAnsi="Times New Roman"/>
                <w:kern w:val="0"/>
                <w:shd w:val="nil" w:color="auto" w:fill="auto"/>
                <w:rtl w:val="0"/>
                <w:lang w:val="en-US"/>
              </w:rPr>
              <w:t>cancer</w:t>
            </w:r>
          </w:p>
        </w:tc>
      </w:tr>
      <w:tr>
        <w:tblPrEx>
          <w:shd w:val="clear" w:color="auto" w:fill="ced7e7"/>
        </w:tblPrEx>
        <w:trPr>
          <w:trHeight w:val="72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2.</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Withaniasomnifera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(Solanaceae)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Ammukura</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kern w:val="0"/>
                <w:shd w:val="nil" w:color="auto" w:fill="auto"/>
                <w:rtl w:val="0"/>
                <w:lang w:val="en-US"/>
              </w:rPr>
              <w:t>Withanolides,</w:t>
            </w:r>
          </w:p>
          <w:p>
            <w:pPr>
              <w:pStyle w:val="Normal.0"/>
              <w:bidi w:val="0"/>
              <w:spacing w:after="0" w:line="240" w:lineRule="auto"/>
              <w:ind w:left="0" w:right="0" w:firstLine="0"/>
              <w:jc w:val="center"/>
              <w:rPr>
                <w:rtl w:val="0"/>
              </w:rPr>
            </w:pPr>
            <w:r>
              <w:rPr>
                <w:rStyle w:val="None"/>
                <w:rFonts w:ascii="Times New Roman" w:hAnsi="Times New Roman"/>
                <w:kern w:val="0"/>
                <w:shd w:val="nil" w:color="auto" w:fill="auto"/>
                <w:rtl w:val="0"/>
                <w:lang w:val="en-US"/>
              </w:rPr>
              <w:t>Withaniferin</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Antitumor &amp; radio sensitizing effect</w:t>
            </w:r>
          </w:p>
        </w:tc>
      </w:tr>
      <w:tr>
        <w:tblPrEx>
          <w:shd w:val="clear" w:color="auto" w:fill="ced7e7"/>
        </w:tblPrEx>
        <w:trPr>
          <w:trHeight w:val="73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3.</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Asparagus racemosus</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(Liliaceae)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Thannirvittankizhangu</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kern w:val="0"/>
                <w:shd w:val="nil" w:color="auto" w:fill="auto"/>
                <w:rtl w:val="0"/>
                <w:lang w:val="en-US"/>
              </w:rPr>
              <w:t>Saponin ,</w:t>
            </w:r>
          </w:p>
          <w:p>
            <w:pPr>
              <w:pStyle w:val="Normal.0"/>
              <w:bidi w:val="0"/>
              <w:spacing w:after="0" w:line="240" w:lineRule="auto"/>
              <w:ind w:left="0" w:right="0" w:firstLine="0"/>
              <w:jc w:val="center"/>
              <w:rPr>
                <w:rtl w:val="0"/>
              </w:rPr>
            </w:pPr>
            <w:r>
              <w:rPr>
                <w:rStyle w:val="None"/>
                <w:rFonts w:ascii="Times New Roman" w:hAnsi="Times New Roman"/>
                <w:kern w:val="0"/>
                <w:shd w:val="nil" w:color="auto" w:fill="auto"/>
                <w:rtl w:val="0"/>
                <w:lang w:val="en-US"/>
              </w:rPr>
              <w:t>Fructo oligosaccharide</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Leukemia</w:t>
            </w:r>
          </w:p>
        </w:tc>
      </w:tr>
      <w:tr>
        <w:tblPrEx>
          <w:shd w:val="clear" w:color="auto" w:fill="ced7e7"/>
        </w:tblPrEx>
        <w:trPr>
          <w:trHeight w:val="96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4.</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Tinosporacardifolia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(menispermiaceae)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seenthil</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Tinosporin</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kern w:val="0"/>
                <w:shd w:val="nil" w:color="auto" w:fill="auto"/>
                <w:rtl w:val="0"/>
                <w:lang w:val="en-US"/>
              </w:rPr>
              <w:t>Breast cancer, Leukemia,</w:t>
            </w:r>
          </w:p>
          <w:p>
            <w:pPr>
              <w:pStyle w:val="Normal.0"/>
              <w:bidi w:val="0"/>
              <w:spacing w:after="0" w:line="240" w:lineRule="auto"/>
              <w:ind w:left="0" w:right="0" w:firstLine="0"/>
              <w:jc w:val="center"/>
              <w:rPr>
                <w:rtl w:val="0"/>
              </w:rPr>
            </w:pPr>
            <w:r>
              <w:rPr>
                <w:rStyle w:val="None"/>
                <w:rFonts w:ascii="Times New Roman" w:hAnsi="Times New Roman"/>
                <w:kern w:val="0"/>
                <w:shd w:val="nil" w:color="auto" w:fill="auto"/>
                <w:rtl w:val="0"/>
                <w:lang w:val="en-US"/>
              </w:rPr>
              <w:t>Cervical cancer</w:t>
            </w:r>
          </w:p>
        </w:tc>
      </w:tr>
      <w:tr>
        <w:tblPrEx>
          <w:shd w:val="clear" w:color="auto" w:fill="ced7e7"/>
        </w:tblPrEx>
        <w:trPr>
          <w:trHeight w:val="49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5.</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Vitex negundo</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(verbanaceae)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Nochi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Chrysoplenetin</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Human pancreatic cancer</w:t>
            </w:r>
          </w:p>
        </w:tc>
      </w:tr>
      <w:tr>
        <w:tblPrEx>
          <w:shd w:val="clear" w:color="auto" w:fill="ced7e7"/>
        </w:tblPrEx>
        <w:trPr>
          <w:trHeight w:val="49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6.</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i w:val="1"/>
                <w:iCs w:val="1"/>
                <w:kern w:val="0"/>
                <w:shd w:val="nil" w:color="auto" w:fill="auto"/>
                <w:rtl w:val="0"/>
                <w:lang w:val="en-US"/>
              </w:rPr>
              <w:t>Emblica officinalis</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Nelli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Polyphenols, Flavons, Tannins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kern w:val="0"/>
                <w:shd w:val="nil" w:color="auto" w:fill="auto"/>
                <w:rtl w:val="0"/>
                <w:lang w:val="en-US"/>
              </w:rPr>
              <w:t>Lymphoma,</w:t>
            </w:r>
          </w:p>
          <w:p>
            <w:pPr>
              <w:pStyle w:val="Normal.0"/>
              <w:bidi w:val="0"/>
              <w:spacing w:after="0" w:line="240" w:lineRule="auto"/>
              <w:ind w:left="0" w:right="0" w:firstLine="0"/>
              <w:jc w:val="center"/>
              <w:rPr>
                <w:rtl w:val="0"/>
              </w:rPr>
            </w:pPr>
            <w:r>
              <w:rPr>
                <w:rStyle w:val="None"/>
                <w:rFonts w:ascii="Times New Roman" w:hAnsi="Times New Roman"/>
                <w:kern w:val="0"/>
                <w:shd w:val="nil" w:color="auto" w:fill="auto"/>
                <w:rtl w:val="0"/>
                <w:lang w:val="en-US"/>
              </w:rPr>
              <w:t>Melanoma</w:t>
            </w:r>
          </w:p>
        </w:tc>
      </w:tr>
      <w:tr>
        <w:tblPrEx>
          <w:shd w:val="clear" w:color="auto" w:fill="ced7e7"/>
        </w:tblPrEx>
        <w:trPr>
          <w:trHeight w:val="73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7.</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Andrographis paniculata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(Acanthaceae)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Nilavembu</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Andrographiolide, Andrographiside</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kern w:val="0"/>
                <w:shd w:val="nil" w:color="auto" w:fill="auto"/>
                <w:rtl w:val="0"/>
                <w:lang w:val="en-US"/>
              </w:rPr>
              <w:t>Lymphatic leukemia,</w:t>
            </w:r>
          </w:p>
          <w:p>
            <w:pPr>
              <w:pStyle w:val="Normal.0"/>
              <w:bidi w:val="0"/>
              <w:spacing w:after="0" w:line="240" w:lineRule="auto"/>
              <w:ind w:left="0" w:right="0" w:firstLine="0"/>
              <w:jc w:val="center"/>
              <w:rPr>
                <w:rtl w:val="0"/>
              </w:rPr>
            </w:pPr>
            <w:r>
              <w:rPr>
                <w:rStyle w:val="None"/>
                <w:rFonts w:ascii="Times New Roman" w:hAnsi="Times New Roman"/>
                <w:kern w:val="0"/>
                <w:shd w:val="nil" w:color="auto" w:fill="auto"/>
                <w:rtl w:val="0"/>
                <w:lang w:val="en-US"/>
              </w:rPr>
              <w:t>Squmaous cell carcinoma of nasopharynx</w:t>
            </w:r>
          </w:p>
        </w:tc>
      </w:tr>
      <w:tr>
        <w:tblPrEx>
          <w:shd w:val="clear" w:color="auto" w:fill="ced7e7"/>
        </w:tblPrEx>
        <w:trPr>
          <w:trHeight w:val="49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8.</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Albezia lebbek</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(mimosaceae)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vagai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Budmunchiamine, Favanoids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Sarcoma, Human epidermal carcinoma of nasopharynx</w:t>
            </w:r>
          </w:p>
        </w:tc>
      </w:tr>
      <w:tr>
        <w:tblPrEx>
          <w:shd w:val="clear" w:color="auto" w:fill="ced7e7"/>
        </w:tblPrEx>
        <w:trPr>
          <w:trHeight w:val="96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9.</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Calotropis</w:t>
            </w:r>
            <w:r>
              <w:rPr>
                <w:rStyle w:val="None"/>
                <w:rFonts w:ascii="Times New Roman" w:hAnsi="Times New Roman" w:hint="default"/>
                <w:b w:val="1"/>
                <w:bCs w:val="1"/>
                <w:i w:val="1"/>
                <w:iCs w:val="1"/>
                <w:kern w:val="0"/>
                <w:shd w:val="nil" w:color="auto" w:fill="auto"/>
                <w:rtl w:val="0"/>
                <w:lang w:val="en-US"/>
              </w:rPr>
              <w:t xml:space="preserve">  </w:t>
            </w:r>
            <w:r>
              <w:rPr>
                <w:rStyle w:val="None"/>
                <w:rFonts w:ascii="Times New Roman" w:hAnsi="Times New Roman"/>
                <w:b w:val="1"/>
                <w:bCs w:val="1"/>
                <w:i w:val="1"/>
                <w:iCs w:val="1"/>
                <w:kern w:val="0"/>
                <w:shd w:val="nil" w:color="auto" w:fill="auto"/>
                <w:rtl w:val="0"/>
                <w:lang w:val="en-US"/>
              </w:rPr>
              <w:t>Procera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(Apocyanaceae))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Vellerukku</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Sterols, Flavanoids, Saponins, steroids, cardiac glycosides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Hepatocellular carcinoma</w:t>
            </w:r>
          </w:p>
        </w:tc>
      </w:tr>
      <w:tr>
        <w:tblPrEx>
          <w:shd w:val="clear" w:color="auto" w:fill="ced7e7"/>
        </w:tblPrEx>
        <w:trPr>
          <w:trHeight w:val="73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10.</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Capsicum frutescens</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(Solanaceae)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Chillies pepper</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Capsaicinoid, alkaloid, flavanoid, tannins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Breast cancer, stomach cancer</w:t>
            </w:r>
          </w:p>
        </w:tc>
      </w:tr>
      <w:tr>
        <w:tblPrEx>
          <w:shd w:val="clear" w:color="auto" w:fill="ced7e7"/>
        </w:tblPrEx>
        <w:trPr>
          <w:trHeight w:val="72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11.</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Plumbago indica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(plumbginaceae)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Kodiveli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Plumbagin, Apigenin, Glycosides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Prostate cancer</w:t>
            </w:r>
          </w:p>
        </w:tc>
      </w:tr>
      <w:tr>
        <w:tblPrEx>
          <w:shd w:val="clear" w:color="auto" w:fill="ced7e7"/>
        </w:tblPrEx>
        <w:trPr>
          <w:trHeight w:val="49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12.</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Annona muricata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(Annonaceae)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Mullumunthiri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Annonamine</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All type of cancer</w:t>
            </w:r>
          </w:p>
        </w:tc>
      </w:tr>
      <w:tr>
        <w:tblPrEx>
          <w:shd w:val="clear" w:color="auto" w:fill="ced7e7"/>
        </w:tblPrEx>
        <w:trPr>
          <w:trHeight w:val="73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13.</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Aloe vera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(Liliaceae)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Kumari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Emodin, Aloien,Glycoprotein, Polysachharides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Anti-angiogenic activity</w:t>
            </w:r>
          </w:p>
        </w:tc>
      </w:tr>
      <w:tr>
        <w:tblPrEx>
          <w:shd w:val="clear" w:color="auto" w:fill="ced7e7"/>
        </w:tblPrEx>
        <w:trPr>
          <w:trHeight w:val="72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14.</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Boerrhaviadiffusia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(Boraginaceae)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Mukkiratai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Punarnavine, Boeravionones G&amp;H</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Malignant melanoma, Breast cancer</w:t>
            </w:r>
          </w:p>
        </w:tc>
      </w:tr>
      <w:tr>
        <w:tblPrEx>
          <w:shd w:val="clear" w:color="auto" w:fill="ced7e7"/>
        </w:tblPrEx>
        <w:trPr>
          <w:trHeight w:val="72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15.</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Vitis vinefera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(Vitaceae)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Thiratchai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Resveratol</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Breast cancer, Prostate Cancer, Non-hodgkins lymphoma</w:t>
            </w:r>
          </w:p>
        </w:tc>
      </w:tr>
      <w:tr>
        <w:tblPrEx>
          <w:shd w:val="clear" w:color="auto" w:fill="ced7e7"/>
        </w:tblPrEx>
        <w:trPr>
          <w:trHeight w:val="72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16.</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Rubia cordifolia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(Rubiaceae)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Manjitti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Rubiadin</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Melanoma,Sarcoma, Lung Carcinoma,Lymphaticleukemia</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1.3</w:t>
        <w:tab/>
        <w:t>Phytochemical Constituents Responsible for Anticancer Activity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Medicinal plants from the Southern Western Ghats of Tamil Nadu are recognized as rich reservoirs of structurally diverse phytochemicals that contribute significantly to their anticancer properties. According to Newman and Cragg (2020), nearly half of the anticancer drugs approved over the past several decades have been derived directly or indirectly from natural products, emphasizing the importance of medicinal plants in cancer drug discovery. Researchers have reported that the remarkable therapeutic potential of these plants is largely attributed to the presence of bioactive secondary metabolites such as alkaloids, flavonoids, phenolic acids, terpenoids, saponins, tannins, lignans, coumarins, glycosides, steroids, and essential oils. These compounds exhibit multiple pharmacological activities, including antioxidant, anti-inflammatory, antiproliferative, pro-apoptotic, anti-angiogenic, and antimetastatic effects, which collectively contribute to cancer prevention and treatment (Cragg &amp; Pezzuto, 2016).</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Flavonoids are among the most extensively investigated phytochemicals because of their broad spectrum of biological activities. According to Panche et al. (2016), flavonoids such as quercetin, kaempferol, luteolin, apigenin, and catechins possess potent antioxidant and anticancer properties by neutralizing reactive oxygen species and preventing oxidative DNA damage. Researchers have demonstrated that these compounds inhibit cellular proliferation by inducing cell-cycle arrest at different phases, suppressing oncogene expression, and activating intrinsic apoptotic pathways. Kumar and Pandey (2013) reported that flavonoids also inhibit angiogenesis by downregulating vascular endothelial growth factor (VEGF), thereby restricting tumor vascularization and nutrient supply. Furthermore, flavonoids modulate intracellular signaling pathways including PI3K/Akt, MAPK, NF-</w:t>
      </w:r>
      <w:r>
        <w:rPr>
          <w:rStyle w:val="Hyperlink.1"/>
          <w:rtl w:val="0"/>
          <w:lang w:val="en-US"/>
        </w:rPr>
        <w:t>κ</w:t>
      </w:r>
      <w:r>
        <w:rPr>
          <w:rStyle w:val="Hyperlink.1"/>
          <w:rtl w:val="0"/>
          <w:lang w:val="en-US"/>
        </w:rPr>
        <w:t>B, and Wnt/</w:t>
      </w:r>
      <w:r>
        <w:rPr>
          <w:rStyle w:val="Hyperlink.1"/>
          <w:rtl w:val="0"/>
          <w:lang w:val="en-US"/>
        </w:rPr>
        <w:t>β</w:t>
      </w:r>
      <w:r>
        <w:rPr>
          <w:rStyle w:val="Hyperlink.1"/>
          <w:rtl w:val="0"/>
          <w:lang w:val="en-US"/>
        </w:rPr>
        <w:t>-catenin, resulting in reduced tumor progression and enhanced apoptosis.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Phenolic compounds represent another important class of phytochemicals with demonstrated anticancer activity. According to Dai and Mumper (2010), phenolic acids such as gallic acid, caffeic acid, chlorogenic acid, and ferulic acid exhibit strong free radical scavenging activity and protect cells from oxidative stress-induced carcinogenesis. Researchers have observed that phenolic compounds regulate inflammatory mediators by suppressing cyclooxygenase-2 (COX-2), inducible nitric oxide synthase (iNOS), and pro-inflammatory cytokines, thereby reducing chronic inflammation associated with tumor development. Gonz</w:t>
      </w:r>
      <w:r>
        <w:rPr>
          <w:rStyle w:val="Hyperlink.1"/>
          <w:rtl w:val="0"/>
          <w:lang w:val="en-US"/>
        </w:rPr>
        <w:t>á</w:t>
      </w:r>
      <w:r>
        <w:rPr>
          <w:rStyle w:val="Hyperlink.1"/>
          <w:rtl w:val="0"/>
          <w:lang w:val="en-US"/>
        </w:rPr>
        <w:t>lez-Vallinas et al. (2013) reported that polyphenols also inhibit epithelial-mesenchymal transition (EMT), reducing the invasive and metastatic potential of malignant cells.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Terpenoids constitute one of the largest groups of naturally occurring phytochemicals with promising anticancer potential. According to Thoppil and Bishayee (2011), monoterpenes, diterpenes, triterpenes, and sesquiterpenes induce apoptosis by activating caspase-mediated pathways and disrupting mitochondrial membrane integrity. Researchers have demonstrated that triterpenoids such as ursolic acid, oleanolic acid, and betulinic acid exhibit selective cytotoxicity against various human cancer cell lines while exerting minimal toxicity toward normal cells. These compounds also inhibit tumor angiogenesis, suppress inflammatory signaling, and enhance immune surveillance.</w:t>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5727573" cy="3819607"/>
            <wp:effectExtent l="0" t="0" r="0" b="0"/>
            <wp:docPr id="1073741893" name="officeArt object" descr="image.png"/>
            <wp:cNvGraphicFramePr/>
            <a:graphic xmlns:a="http://schemas.openxmlformats.org/drawingml/2006/main">
              <a:graphicData uri="http://schemas.openxmlformats.org/drawingml/2006/picture">
                <pic:pic xmlns:pic="http://schemas.openxmlformats.org/drawingml/2006/picture">
                  <pic:nvPicPr>
                    <pic:cNvPr id="1073741893" name="image.png" descr="image.png"/>
                    <pic:cNvPicPr>
                      <a:picLocks noChangeAspect="1"/>
                    </pic:cNvPicPr>
                  </pic:nvPicPr>
                  <pic:blipFill>
                    <a:blip r:embed="rId64">
                      <a:extLst/>
                    </a:blip>
                    <a:stretch>
                      <a:fillRect/>
                    </a:stretch>
                  </pic:blipFill>
                  <pic:spPr>
                    <a:xfrm>
                      <a:off x="0" y="0"/>
                      <a:ext cx="5727573" cy="3819607"/>
                    </a:xfrm>
                    <a:prstGeom prst="rect">
                      <a:avLst/>
                    </a:prstGeom>
                    <a:ln w="12700" cap="flat">
                      <a:noFill/>
                      <a:miter lim="400000"/>
                    </a:ln>
                    <a:effectLst/>
                  </pic:spPr>
                </pic:pic>
              </a:graphicData>
            </a:graphic>
          </wp:inline>
        </w:drawing>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Alkaloids have contributed significantly to the development of modern anticancer chemotherapy. According to Cragg and Newman (2013), naturally occurring alkaloids interfere with DNA replication, inhibit topoisomerase enzymes, and disrupt microtubule assembly, thereby preventing mitotic cell division. Researchers have reported that numerous medicinal plants from the Western Ghats contain isoquinoline, indole, quinoline, and pyrrolizidine alkaloids possessing potent cytotoxic activity against cancer cells. Similarly, saponins have gained considerable attention because of their ability to induce apoptosis, increase membrane permeability, activate immune cells, and enhance antitumor immunity (Man et al., 2010). Researchers have demonstrated that plant-derived saponins inhibit tumor growth by activating macrophages, natural killer cells, and cytotoxic T lymphocytes, thereby strengthening host immune responses against cancer.</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addition to these major phytochemical groups, medicinal plants from the Southern Western Ghats also contain tannins, lignans, coumarins, anthraquinones, polysaccharides, and essential oils that exhibit synergistic anticancer effects. According to Greenwell and Rahman (2015), the combined action of multiple phytochemicals often produces greater therapeutic efficacy than isolated compounds because of complementary molecular mechanisms. Researchers have therefore suggested that whole plant extracts and standardized phytochemical formulations may provide effective multi-targeted therapeutic strategies for cancer management while reducing adverse effects commonly associated with synthetic chemotherapeutic agents.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1.4</w:t>
        <w:tab/>
        <w:t>Mechanisms of Anticancer Action of Plant-Derived Phytochemicals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Plant-derived phytochemicals exert anticancer effects through multiple molecular and cellular mechanisms that target different stages of carcinogenesis. According to Hanahan (2022), cancer development involves a complex series of biological processes including uncontrolled cell proliferation, evasion of apoptosis, sustained angiogenesis, metastasis, chronic inflammation, immune escape, and genomic instability. Researchers have reported that medicinal plant phytochemicals interfere with these hallmarks of cancer by regulating numerous intracellular signaling pathways, thereby suppressing tumor initiation, promotion, and progression. Their multitargeted mode of action makes them promising candidates for cancer prevention and complementary therapeutic strategies.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outline w:val="0"/>
          <w:color w:val="000000"/>
          <w:sz w:val="24"/>
          <w:szCs w:val="24"/>
          <w:u w:color="000000"/>
          <w14:textFill>
            <w14:solidFill>
              <w14:srgbClr w14:val="000000"/>
            </w14:solidFill>
          </w14:textFill>
        </w:rPr>
        <w:drawing xmlns:a="http://schemas.openxmlformats.org/drawingml/2006/main">
          <wp:anchor distT="0" distB="0" distL="0" distR="0" simplePos="0" relativeHeight="251665408" behindDoc="0" locked="0" layoutInCell="1" allowOverlap="1">
            <wp:simplePos x="0" y="0"/>
            <wp:positionH relativeFrom="column">
              <wp:posOffset>657225</wp:posOffset>
            </wp:positionH>
            <wp:positionV relativeFrom="line">
              <wp:posOffset>2277110</wp:posOffset>
            </wp:positionV>
            <wp:extent cx="3932555" cy="2622550"/>
            <wp:effectExtent l="0" t="0" r="0" b="0"/>
            <wp:wrapNone/>
            <wp:docPr id="1073741894" name="officeArt object" descr="image.png"/>
            <wp:cNvGraphicFramePr/>
            <a:graphic xmlns:a="http://schemas.openxmlformats.org/drawingml/2006/main">
              <a:graphicData uri="http://schemas.openxmlformats.org/drawingml/2006/picture">
                <pic:pic xmlns:pic="http://schemas.openxmlformats.org/drawingml/2006/picture">
                  <pic:nvPicPr>
                    <pic:cNvPr id="1073741894" name="image.png" descr="image.png"/>
                    <pic:cNvPicPr>
                      <a:picLocks noChangeAspect="1"/>
                    </pic:cNvPicPr>
                  </pic:nvPicPr>
                  <pic:blipFill>
                    <a:blip r:embed="rId65">
                      <a:extLst/>
                    </a:blip>
                    <a:stretch>
                      <a:fillRect/>
                    </a:stretch>
                  </pic:blipFill>
                  <pic:spPr>
                    <a:xfrm>
                      <a:off x="0" y="0"/>
                      <a:ext cx="3932555" cy="2622550"/>
                    </a:xfrm>
                    <a:prstGeom prst="rect">
                      <a:avLst/>
                    </a:prstGeom>
                    <a:ln w="12700" cap="flat">
                      <a:noFill/>
                      <a:miter lim="400000"/>
                    </a:ln>
                    <a:effectLst/>
                  </pic:spPr>
                </pic:pic>
              </a:graphicData>
            </a:graphic>
          </wp:anchor>
        </w:drawing>
      </w:r>
      <w:r>
        <w:rPr>
          <w:rStyle w:val="Hyperlink.1"/>
          <w:rtl w:val="0"/>
          <w:lang w:val="en-US"/>
        </w:rPr>
        <w:t>One of the primary mechanisms involves the induction of programmed cell death (apoptosis). According to Elmore (2007), apoptosis is a tightly regulated cellular process essential for eliminating damaged and malignant cells. Researchers have demonstrated that phytochemicals such as curcumin, quercetin, resveratrol, and betulinic acid activate intrinsic and extrinsic apoptotic pathways by increasing the expression of pro-apoptotic proteins (Bax, Bak, caspase-3, caspase-8, and caspase-9) while suppressing anti-apoptotic proteins including Bcl-2 and Bcl-xL. Fulda (2010) reported that mitochondrial membrane depolarization and cytochrome c release ultimately activate caspase cascades, leading to selective cancer cell death.</w:t>
      </w: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Another important mechanism involves inhibition of uncontrolled cell proliferation through cell-cycle arrest. According to Sherr and Roberts (2004), dysregulation of cyclins and cyclin-dependent kinases (CDKs) is a characteristic feature of cancer cells. Researchers have observed that flavonoids, terpenoids, alkaloids, and polyphenols suppress cyclin D1, CDK2, and CDK4 expression while increasing tumor suppressor proteins such as p21 and p53. This regulation arrests cancer cells at the G0/G1 or G2/M phases of the cell cycle, thereby preventing cellular replication and tumor growth. Numerous phytochemicals isolated from medicinal plants of the Southern Western Ghats have demonstrated potent antiproliferative activity through this mechanism.</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Suppression of oxidative stress and chronic inflammation also represents a major anticancer mechanism. According to Reuter et al. (2010), persistent oxidative stress generates reactive oxygen species (ROS) capable of inducing DNA mutations, lipid peroxidation, and genomic instability. Researchers have reported that phenolic compounds and flavonoids possess strong antioxidant properties that neutralize ROS and enhance endogenous antioxidant enzymes such as superoxide dismutase, catalase, and glutathione peroxidase. Aggarwal and Sung (2009) demonstrated that many phytochemicals simultaneously inhibit NF-</w:t>
      </w:r>
      <w:r>
        <w:rPr>
          <w:rStyle w:val="Hyperlink.1"/>
          <w:rtl w:val="0"/>
          <w:lang w:val="en-US"/>
        </w:rPr>
        <w:t>κ</w:t>
      </w:r>
      <w:r>
        <w:rPr>
          <w:rStyle w:val="Hyperlink.1"/>
          <w:rtl w:val="0"/>
          <w:lang w:val="en-US"/>
        </w:rPr>
        <w:t>B activation, reducing the production of inflammatory cytokines, cyclooxygenase-2 (COX-2), inducible nitric oxide synthase (iNOS), and tumor necrosis factor-</w:t>
      </w:r>
      <w:r>
        <w:rPr>
          <w:rStyle w:val="Hyperlink.1"/>
          <w:rtl w:val="0"/>
          <w:lang w:val="en-US"/>
        </w:rPr>
        <w:t xml:space="preserve">α </w:t>
      </w:r>
      <w:r>
        <w:rPr>
          <w:rStyle w:val="Hyperlink.1"/>
          <w:rtl w:val="0"/>
          <w:lang w:val="en-US"/>
        </w:rPr>
        <w:t>(TNF-</w:t>
      </w:r>
      <w:r>
        <w:rPr>
          <w:rStyle w:val="Hyperlink.1"/>
          <w:rtl w:val="0"/>
          <w:lang w:val="en-US"/>
        </w:rPr>
        <w:t>α</w:t>
      </w:r>
      <w:r>
        <w:rPr>
          <w:rStyle w:val="Hyperlink.1"/>
          <w:rtl w:val="0"/>
          <w:lang w:val="en-US"/>
        </w:rPr>
        <w:t>), thereby suppressing inflammation-associated carcinogenesis.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Plant-derived phytochemicals also inhibit tumor angiogenesis and metastasis. According to Folkman (2002), angiogenesis is essential for supplying oxygen and nutrients required for tumor growth and dissemination. Researchers have demonstrated that compounds such as quercetin, ursolic acid, and epigallocatechin gallate suppress vascular endothelial growth factor (VEGF), matrix metalloproteinases (MMP-2 and MMP-9), and hypoxia-inducible factor-1</w:t>
      </w:r>
      <w:r>
        <w:rPr>
          <w:rStyle w:val="Hyperlink.1"/>
          <w:rtl w:val="0"/>
          <w:lang w:val="en-US"/>
        </w:rPr>
        <w:t xml:space="preserve">α </w:t>
      </w:r>
      <w:r>
        <w:rPr>
          <w:rStyle w:val="Hyperlink.1"/>
          <w:rtl w:val="0"/>
          <w:lang w:val="en-US"/>
        </w:rPr>
        <w:t>(HIF-1</w:t>
      </w:r>
      <w:r>
        <w:rPr>
          <w:rStyle w:val="Hyperlink.1"/>
          <w:rtl w:val="0"/>
          <w:lang w:val="en-US"/>
        </w:rPr>
        <w:t>α</w:t>
      </w:r>
      <w:r>
        <w:rPr>
          <w:rStyle w:val="Hyperlink.1"/>
          <w:rtl w:val="0"/>
          <w:lang w:val="en-US"/>
        </w:rPr>
        <w:t>), thereby preventing new blood vessel formation and extracellular matrix degradation. Gonz</w:t>
      </w:r>
      <w:r>
        <w:rPr>
          <w:rStyle w:val="Hyperlink.1"/>
          <w:rtl w:val="0"/>
          <w:lang w:val="en-US"/>
        </w:rPr>
        <w:t>á</w:t>
      </w:r>
      <w:r>
        <w:rPr>
          <w:rStyle w:val="Hyperlink.1"/>
          <w:rtl w:val="0"/>
          <w:lang w:val="en-US"/>
        </w:rPr>
        <w:t>lez-Vallinas et al. (2013) further reported that inhibition of epithelial-mesenchymal transition reduces migration and invasion of cancer cells, limiting metastatic spread.</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Recent advances in molecular oncology have demonstrated that phytochemicals regulate multiple intracellular signaling pathways involved in cancer progression. According to Prasad et al. (2010), natural compounds modulate PI3K/Akt/mTOR, MAPK, JAK/STAT, Wnt/</w:t>
      </w:r>
      <w:r>
        <w:rPr>
          <w:rStyle w:val="Hyperlink.1"/>
          <w:rtl w:val="0"/>
          <w:lang w:val="en-US"/>
        </w:rPr>
        <w:t>β</w:t>
      </w:r>
      <w:r>
        <w:rPr>
          <w:rStyle w:val="Hyperlink.1"/>
          <w:rtl w:val="0"/>
          <w:lang w:val="en-US"/>
        </w:rPr>
        <w:t>-catenin, Notch, and Hedgehog signaling pathways, leading to suppression of tumor growth and improved apoptosis. Researchers have also reported that several phytochemicals influence epigenetic mechanisms by regulating DNA methylation, histone acetylation, and microRNA expression, thereby restoring normal gene expression patterns in malignant cells. These multitargeted molecular effects enhance therapeutic efficacy and reduce the likelihood of drug resistance.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addition to their direct cytotoxic effects, medicinal plant phytochemicals stimulate host immune responses against tumors. According to Zitvogel et al. (2013), several plant-derived compounds activate macrophages, dendritic cells, natural killer cells, and cytotoxic T lymphocytes, thereby strengthening immune surveillance and promoting elimination of malignant cells. Researchers have concluded that the combined antioxidant, anti-inflammatory, pro-apoptotic, anti-angiogenic, antiproliferative, and immunomodulatory activities of medicinal plant phytochemicals provide a strong scientific basis for their development as novel anticancer agents and complementary therapeutics.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Plant derived phytochemicals possessing anticancer activities have received considerable attention in recent years due to the adverse effects produced by chemotherapy and radiation therapy. It possess anticancer and chemo protective effects. They are safer for long term use in cancer patients. They provide nutrition and reduce the side effects of conventional cancer therapy due to effective antioxidant activity. The cheap herbal drug treatment may highly be recommended to the rural and poor people to treat effectively the cancers of various type is an ideal choice. Traditional medicines are easy to consume by the rural people because they were obtained from the local plant species seen around us.</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Aggarwal, B. B.,</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Sung, B.</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2009. </w:t>
      </w:r>
      <w:r>
        <w:rPr>
          <w:rStyle w:val="Hyperlink.1"/>
          <w:rtl w:val="0"/>
          <w:lang w:val="en-US"/>
        </w:rPr>
        <w:t xml:space="preserve">Pharmacological basis for the role of curcumin in chronic diseases.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Trends in Pharmacological Sciences, 30</w:t>
      </w:r>
      <w:r>
        <w:rPr>
          <w:rStyle w:val="Hyperlink.1"/>
          <w:rtl w:val="0"/>
          <w:lang w:val="en-US"/>
        </w:rPr>
        <w:t>(2), 85</w:t>
      </w:r>
      <w:r>
        <w:rPr>
          <w:rStyle w:val="Hyperlink.1"/>
          <w:rtl w:val="0"/>
          <w:lang w:val="en-US"/>
        </w:rPr>
        <w:t>–</w:t>
      </w:r>
      <w:r>
        <w:rPr>
          <w:rStyle w:val="Hyperlink.1"/>
          <w:rtl w:val="0"/>
          <w:lang w:val="en-US"/>
        </w:rPr>
        <w:t>94.</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Ahmad V.U., Atta-ur-Rahman, Rasheed T, Habib-ur-Rahman.</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Jamtine-N</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1987</w:t>
      </w:r>
      <w:r>
        <w:rPr>
          <w:rStyle w:val="None"/>
          <w:rFonts w:ascii="Times New Roman" w:hAnsi="Times New Roman"/>
          <w:b w:val="1"/>
          <w:bCs w:val="1"/>
          <w:kern w:val="0"/>
          <w:sz w:val="24"/>
          <w:szCs w:val="24"/>
          <w:rtl w:val="0"/>
          <w:lang w:val="en-US"/>
        </w:rPr>
        <w:t xml:space="preserve">. </w:t>
      </w:r>
      <w:r>
        <w:rPr>
          <w:rStyle w:val="Hyperlink.1"/>
          <w:rtl w:val="0"/>
          <w:lang w:val="en-US"/>
        </w:rPr>
        <w:t xml:space="preserve">oxide, a new isoquinoline alkaloid from Cocculushirsutus. </w:t>
      </w:r>
      <w:r>
        <w:rPr>
          <w:rStyle w:val="None"/>
          <w:rFonts w:ascii="Times New Roman" w:hAnsi="Times New Roman"/>
          <w:i w:val="1"/>
          <w:iCs w:val="1"/>
          <w:kern w:val="0"/>
          <w:sz w:val="24"/>
          <w:szCs w:val="24"/>
          <w:rtl w:val="0"/>
          <w:lang w:val="en-US"/>
        </w:rPr>
        <w:t xml:space="preserve">Heterocycles </w:t>
      </w:r>
      <w:r>
        <w:rPr>
          <w:rStyle w:val="None"/>
          <w:rFonts w:ascii="Times New Roman" w:hAnsi="Times New Roman"/>
          <w:i w:val="1"/>
          <w:iCs w:val="1"/>
          <w:kern w:val="0"/>
          <w:sz w:val="24"/>
          <w:szCs w:val="24"/>
          <w:rtl w:val="0"/>
          <w:lang w:val="en-US"/>
        </w:rPr>
        <w:t>.</w:t>
      </w:r>
      <w:r>
        <w:rPr>
          <w:rStyle w:val="None"/>
          <w:rFonts w:ascii="Times New Roman" w:hAnsi="Times New Roman"/>
          <w:kern w:val="0"/>
          <w:sz w:val="24"/>
          <w:szCs w:val="24"/>
          <w:rtl w:val="0"/>
          <w:lang w:val="en-US"/>
        </w:rPr>
        <w:t>26</w:t>
      </w:r>
      <w:r>
        <w:rPr>
          <w:rStyle w:val="Hyperlink.1"/>
          <w:rtl w:val="0"/>
          <w:lang w:val="en-US"/>
        </w:rPr>
        <w:t>:1251-55.</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Balachandran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P</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Govindarajan R </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2005</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w:t>
      </w:r>
      <w:r>
        <w:rPr>
          <w:rStyle w:val="Hyperlink.1"/>
          <w:rtl w:val="0"/>
          <w:lang w:val="en-US"/>
        </w:rPr>
        <w:t xml:space="preserve">Cancer- an ayurvedic perspective. </w:t>
      </w:r>
      <w:r>
        <w:rPr>
          <w:rStyle w:val="None"/>
          <w:rFonts w:ascii="Times New Roman" w:hAnsi="Times New Roman"/>
          <w:i w:val="1"/>
          <w:iCs w:val="1"/>
          <w:kern w:val="0"/>
          <w:sz w:val="24"/>
          <w:szCs w:val="24"/>
          <w:rtl w:val="0"/>
          <w:lang w:val="en-US"/>
        </w:rPr>
        <w:t xml:space="preserve">Pharmacol Res </w:t>
      </w:r>
      <w:r>
        <w:rPr>
          <w:rStyle w:val="Hyperlink.1"/>
          <w:rtl w:val="0"/>
          <w:lang w:val="en-US"/>
        </w:rPr>
        <w:t>51(1): 19-30.</w:t>
      </w:r>
    </w:p>
    <w:p>
      <w:pPr>
        <w:pStyle w:val="Normal.0"/>
        <w:spacing w:after="0" w:line="360" w:lineRule="auto"/>
        <w:ind w:left="720" w:hanging="720"/>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Coseri,</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S.</w:t>
      </w:r>
      <w:r>
        <w:rPr>
          <w:rStyle w:val="None"/>
          <w:rFonts w:ascii="Times New Roman" w:hAnsi="Times New Roman"/>
          <w:b w:val="1"/>
          <w:bCs w:val="1"/>
          <w:kern w:val="0"/>
          <w:sz w:val="24"/>
          <w:szCs w:val="24"/>
          <w:rtl w:val="0"/>
          <w:lang w:val="en-US"/>
        </w:rPr>
        <w:t>, 2009.</w:t>
      </w:r>
      <w:r>
        <w:rPr>
          <w:rStyle w:val="None"/>
          <w:rFonts w:ascii="Times New Roman" w:hAnsi="Times New Roman"/>
          <w:b w:val="1"/>
          <w:bCs w:val="1"/>
          <w:kern w:val="0"/>
          <w:sz w:val="24"/>
          <w:szCs w:val="24"/>
          <w:rtl w:val="0"/>
          <w:lang w:val="en-US"/>
        </w:rPr>
        <w:t xml:space="preserve"> </w:t>
      </w:r>
      <w:r>
        <w:rPr>
          <w:rStyle w:val="Hyperlink.1"/>
          <w:rtl w:val="0"/>
          <w:lang w:val="en-US"/>
        </w:rPr>
        <w:t>“</w:t>
      </w:r>
      <w:r>
        <w:rPr>
          <w:rStyle w:val="Hyperlink.1"/>
          <w:rtl w:val="0"/>
          <w:lang w:val="en-US"/>
        </w:rPr>
        <w:t>Natural products and their analogues as efficient anticancerdrugs,</w:t>
      </w:r>
      <w:r>
        <w:rPr>
          <w:rStyle w:val="None"/>
          <w:rFonts w:ascii="Times New Roman" w:hAnsi="Times New Roman" w:hint="default"/>
          <w:i w:val="1"/>
          <w:iCs w:val="1"/>
          <w:kern w:val="0"/>
          <w:sz w:val="24"/>
          <w:szCs w:val="24"/>
          <w:rtl w:val="0"/>
          <w:lang w:val="en-US"/>
        </w:rPr>
        <w:t>”</w:t>
      </w:r>
      <w:r>
        <w:rPr>
          <w:rStyle w:val="None"/>
          <w:rFonts w:ascii="Times New Roman" w:hAnsi="Times New Roman"/>
          <w:i w:val="1"/>
          <w:iCs w:val="1"/>
          <w:kern w:val="0"/>
          <w:sz w:val="24"/>
          <w:szCs w:val="24"/>
          <w:rtl w:val="0"/>
          <w:lang w:val="en-US"/>
        </w:rPr>
        <w:t>Mini-ReviewsinMedicinalChemistry,vol.</w:t>
      </w:r>
      <w:r>
        <w:rPr>
          <w:rStyle w:val="None"/>
          <w:rFonts w:ascii="Times New Roman" w:hAnsi="Times New Roman"/>
          <w:i w:val="1"/>
          <w:iCs w:val="1"/>
          <w:kern w:val="0"/>
          <w:sz w:val="24"/>
          <w:szCs w:val="24"/>
          <w:rtl w:val="0"/>
          <w:lang w:val="en-US"/>
        </w:rPr>
        <w:t xml:space="preserve"> </w:t>
      </w:r>
      <w:r>
        <w:rPr>
          <w:rStyle w:val="Hyperlink.1"/>
          <w:rtl w:val="0"/>
          <w:lang w:val="en-US"/>
        </w:rPr>
        <w:t>9, no.5,pp.560</w:t>
      </w:r>
      <w:r>
        <w:rPr>
          <w:rStyle w:val="Hyperlink.1"/>
          <w:rtl w:val="0"/>
          <w:lang w:val="en-US"/>
        </w:rPr>
        <w:t>–</w:t>
      </w:r>
      <w:r>
        <w:rPr>
          <w:rStyle w:val="Hyperlink.1"/>
          <w:rtl w:val="0"/>
          <w:lang w:val="en-US"/>
        </w:rPr>
        <w:t>571,</w:t>
      </w:r>
      <w:r>
        <w:rPr>
          <w:rStyle w:val="None"/>
          <w:rFonts w:ascii="Times New Roman" w:hAnsi="Times New Roman"/>
          <w:b w:val="1"/>
          <w:bCs w:val="1"/>
          <w:kern w:val="0"/>
          <w:sz w:val="24"/>
          <w:szCs w:val="24"/>
          <w:rtl w:val="0"/>
          <w:lang w:val="en-US"/>
        </w:rPr>
        <w:t xml:space="preserve">Cragg, G. M., &amp; Newman, </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D. J. 2013.</w:t>
      </w:r>
      <w:r>
        <w:rPr>
          <w:rStyle w:val="Hyperlink.1"/>
          <w:rtl w:val="0"/>
          <w:lang w:val="en-US"/>
        </w:rPr>
        <w:t xml:space="preserve"> Natural products: A continuing source of novel drug leads.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Biochimica et Biophysica Acta, 1830</w:t>
      </w:r>
      <w:r>
        <w:rPr>
          <w:rStyle w:val="Hyperlink.1"/>
          <w:rtl w:val="0"/>
          <w:lang w:val="en-US"/>
        </w:rPr>
        <w:t>(6), 3670</w:t>
      </w:r>
      <w:r>
        <w:rPr>
          <w:rStyle w:val="Hyperlink.1"/>
          <w:rtl w:val="0"/>
          <w:lang w:val="en-US"/>
        </w:rPr>
        <w:t>–</w:t>
      </w:r>
      <w:r>
        <w:rPr>
          <w:rStyle w:val="Hyperlink.1"/>
          <w:rtl w:val="0"/>
          <w:lang w:val="en-US"/>
        </w:rPr>
        <w:t>3695.</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Cragg, G. M.,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Pezzuto, J. M.</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2016. </w:t>
      </w:r>
      <w:r>
        <w:rPr>
          <w:rStyle w:val="Hyperlink.1"/>
          <w:rtl w:val="0"/>
          <w:lang w:val="en-US"/>
        </w:rPr>
        <w:t xml:space="preserve">Natural products as a vital source for the discovery of cancer chemotherapeutic agents.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Medical Principles and Practice, 25</w:t>
      </w:r>
      <w:r>
        <w:rPr>
          <w:rStyle w:val="Hyperlink.1"/>
          <w:rtl w:val="0"/>
          <w:lang w:val="en-US"/>
        </w:rPr>
        <w:t>(Suppl. 2), 41</w:t>
      </w:r>
      <w:r>
        <w:rPr>
          <w:rStyle w:val="Hyperlink.1"/>
          <w:rtl w:val="0"/>
          <w:lang w:val="en-US"/>
        </w:rPr>
        <w:t>–</w:t>
      </w:r>
      <w:r>
        <w:rPr>
          <w:rStyle w:val="Hyperlink.1"/>
          <w:rtl w:val="0"/>
          <w:lang w:val="en-US"/>
        </w:rPr>
        <w:t>59.</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Dai, J.,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Mumper, R. J.</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2010. </w:t>
      </w:r>
      <w:r>
        <w:rPr>
          <w:rStyle w:val="Hyperlink.1"/>
          <w:rtl w:val="0"/>
          <w:lang w:val="en-US"/>
        </w:rPr>
        <w:t xml:space="preserve">Plant phenolics: Extraction, analysis and their antioxidant and anticancer properties.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Molecules, 15</w:t>
      </w:r>
      <w:r>
        <w:rPr>
          <w:rStyle w:val="Hyperlink.1"/>
          <w:rtl w:val="0"/>
          <w:lang w:val="en-US"/>
        </w:rPr>
        <w:t>(10), 7313</w:t>
      </w:r>
      <w:r>
        <w:rPr>
          <w:rStyle w:val="Hyperlink.1"/>
          <w:rtl w:val="0"/>
          <w:lang w:val="en-US"/>
        </w:rPr>
        <w:t>–</w:t>
      </w:r>
      <w:r>
        <w:rPr>
          <w:rStyle w:val="Hyperlink.1"/>
          <w:rtl w:val="0"/>
          <w:lang w:val="en-US"/>
        </w:rPr>
        <w:t>7352.</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Dimayuga R.E and S.K.Garcia.</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1991</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Hyperlink.1"/>
          <w:rtl w:val="0"/>
          <w:lang w:val="en-US"/>
        </w:rPr>
        <w:t xml:space="preserve">Antimicrobial screening of medicinal plants from Baja California sur, Mexico, J. Ethnopharmacol </w:t>
      </w:r>
      <w:r>
        <w:rPr>
          <w:rStyle w:val="Hyperlink.1"/>
          <w:rtl w:val="0"/>
          <w:lang w:val="en-US"/>
        </w:rPr>
        <w:t xml:space="preserve">; </w:t>
      </w:r>
      <w:r>
        <w:rPr>
          <w:rStyle w:val="Hyperlink.1"/>
          <w:rtl w:val="0"/>
          <w:lang w:val="en-US"/>
        </w:rPr>
        <w:t>31:181-192.</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Elmore, S.</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2007.</w:t>
      </w:r>
      <w:r>
        <w:rPr>
          <w:rStyle w:val="Hyperlink.1"/>
          <w:rtl w:val="0"/>
          <w:lang w:val="en-US"/>
        </w:rPr>
        <w:t xml:space="preserve"> Apoptosis: A review of programmed cell death.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Toxicologic Pathology, 35</w:t>
      </w:r>
      <w:r>
        <w:rPr>
          <w:rStyle w:val="Hyperlink.1"/>
          <w:rtl w:val="0"/>
          <w:lang w:val="en-US"/>
        </w:rPr>
        <w:t>(4), 495</w:t>
      </w:r>
      <w:r>
        <w:rPr>
          <w:rStyle w:val="Hyperlink.1"/>
          <w:rtl w:val="0"/>
          <w:lang w:val="en-US"/>
        </w:rPr>
        <w:t>–</w:t>
      </w:r>
      <w:r>
        <w:rPr>
          <w:rStyle w:val="Hyperlink.1"/>
          <w:rtl w:val="0"/>
          <w:lang w:val="en-US"/>
        </w:rPr>
        <w:t>516.</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Elujoba, A.A., Odeleye, O.M, </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Ogunyemi, C.M.</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2005. </w:t>
      </w:r>
      <w:r>
        <w:rPr>
          <w:rStyle w:val="Hyperlink.1"/>
          <w:rtl w:val="0"/>
          <w:lang w:val="en-US"/>
        </w:rPr>
        <w:t xml:space="preserve">Tradicinal medicine development for medical and dental primary health care delivery system in Africa. African Journal of Traditional </w:t>
      </w:r>
      <w:r>
        <w:rPr>
          <w:rStyle w:val="None"/>
          <w:rFonts w:ascii="Times New Roman" w:hAnsi="Times New Roman"/>
          <w:i w:val="1"/>
          <w:iCs w:val="1"/>
          <w:kern w:val="0"/>
          <w:sz w:val="24"/>
          <w:szCs w:val="24"/>
          <w:rtl w:val="0"/>
          <w:lang w:val="en-US"/>
        </w:rPr>
        <w:t>, Complementary and Alternative Medicines 2</w:t>
      </w:r>
      <w:r>
        <w:rPr>
          <w:rStyle w:val="Hyperlink.1"/>
          <w:rtl w:val="0"/>
          <w:lang w:val="en-US"/>
        </w:rPr>
        <w:t>(1): 46-61.</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Folkman, J.</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2002.</w:t>
      </w:r>
      <w:r>
        <w:rPr>
          <w:rStyle w:val="Hyperlink.1"/>
          <w:rtl w:val="0"/>
          <w:lang w:val="en-US"/>
        </w:rPr>
        <w:t xml:space="preserve"> Role of angiogenesis in tumor growth and metastasis.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Seminars in Oncology, 29</w:t>
      </w:r>
      <w:r>
        <w:rPr>
          <w:rStyle w:val="Hyperlink.1"/>
          <w:rtl w:val="0"/>
          <w:lang w:val="en-US"/>
        </w:rPr>
        <w:t>(6 Suppl. 16), 15</w:t>
      </w:r>
      <w:r>
        <w:rPr>
          <w:rStyle w:val="Hyperlink.1"/>
          <w:rtl w:val="0"/>
          <w:lang w:val="en-US"/>
        </w:rPr>
        <w:t>–</w:t>
      </w:r>
      <w:r>
        <w:rPr>
          <w:rStyle w:val="Hyperlink.1"/>
          <w:rtl w:val="0"/>
          <w:lang w:val="en-US"/>
        </w:rPr>
        <w:t>18.</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Fulda, S.</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2010</w:t>
      </w:r>
      <w:r>
        <w:rPr>
          <w:rStyle w:val="Hyperlink.1"/>
          <w:rtl w:val="0"/>
          <w:lang w:val="en-US"/>
        </w:rPr>
        <w:t xml:space="preserve">. Evasion of apoptosis as a cellular stress response in cancer.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International Journal of Cell Biology,</w:t>
      </w:r>
      <w:r>
        <w:rPr>
          <w:rStyle w:val="Hyperlink.1"/>
          <w:rtl w:val="0"/>
          <w:lang w:val="en-US"/>
        </w:rPr>
        <w:t>, 370835.</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Gatzemeier, U</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Heckmayr M</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Neuhauss R</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Schluter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I</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Pawel</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J</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V</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Wagner H</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Dreps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A. </w:t>
      </w:r>
      <w:r>
        <w:rPr>
          <w:rStyle w:val="None"/>
          <w:rFonts w:ascii="Times New Roman" w:hAnsi="Times New Roman"/>
          <w:b w:val="1"/>
          <w:bCs w:val="1"/>
          <w:kern w:val="0"/>
          <w:sz w:val="24"/>
          <w:szCs w:val="24"/>
          <w:rtl w:val="0"/>
          <w:lang w:val="en-US"/>
        </w:rPr>
        <w:t xml:space="preserve">, 1995 . </w:t>
      </w:r>
      <w:r>
        <w:rPr>
          <w:rStyle w:val="None"/>
          <w:rFonts w:ascii="Times New Roman" w:hAnsi="Times New Roman"/>
          <w:i w:val="1"/>
          <w:iCs w:val="1"/>
          <w:kern w:val="0"/>
          <w:sz w:val="24"/>
          <w:szCs w:val="24"/>
          <w:rtl w:val="0"/>
          <w:lang w:val="en-US"/>
        </w:rPr>
        <w:t>Lung Cancer.</w:t>
      </w:r>
      <w:r>
        <w:rPr>
          <w:rStyle w:val="Hyperlink.1"/>
          <w:rtl w:val="0"/>
          <w:lang w:val="en-US"/>
        </w:rPr>
        <w:t xml:space="preserve"> Jun; 12 Suppl 2: S101-6.</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Gonz</w:t>
      </w:r>
      <w:r>
        <w:rPr>
          <w:rStyle w:val="None"/>
          <w:rFonts w:ascii="Times New Roman" w:hAnsi="Times New Roman" w:hint="default"/>
          <w:b w:val="1"/>
          <w:bCs w:val="1"/>
          <w:kern w:val="0"/>
          <w:sz w:val="24"/>
          <w:szCs w:val="24"/>
          <w:rtl w:val="0"/>
          <w:lang w:val="en-US"/>
        </w:rPr>
        <w:t>á</w:t>
      </w:r>
      <w:r>
        <w:rPr>
          <w:rStyle w:val="None"/>
          <w:rFonts w:ascii="Times New Roman" w:hAnsi="Times New Roman"/>
          <w:b w:val="1"/>
          <w:bCs w:val="1"/>
          <w:kern w:val="0"/>
          <w:sz w:val="24"/>
          <w:szCs w:val="24"/>
          <w:rtl w:val="0"/>
          <w:lang w:val="en-US"/>
        </w:rPr>
        <w:t xml:space="preserve">lez-Vallinas, M., et al. 2013. </w:t>
      </w:r>
      <w:r>
        <w:rPr>
          <w:rStyle w:val="Hyperlink.1"/>
          <w:rtl w:val="0"/>
          <w:lang w:val="en-US"/>
        </w:rPr>
        <w:t xml:space="preserve">Dietary phytochemicals in cancer prevention and therapy.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Nutrition Reviews, 71</w:t>
      </w:r>
      <w:r>
        <w:rPr>
          <w:rStyle w:val="Hyperlink.1"/>
          <w:rtl w:val="0"/>
          <w:lang w:val="en-US"/>
        </w:rPr>
        <w:t>(9), 585</w:t>
      </w:r>
      <w:r>
        <w:rPr>
          <w:rStyle w:val="Hyperlink.1"/>
          <w:rtl w:val="0"/>
          <w:lang w:val="en-US"/>
        </w:rPr>
        <w:t>–</w:t>
      </w:r>
      <w:r>
        <w:rPr>
          <w:rStyle w:val="Hyperlink.1"/>
          <w:rtl w:val="0"/>
          <w:lang w:val="en-US"/>
        </w:rPr>
        <w:t>599.</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Gordaliza,M.</w:t>
      </w:r>
      <w:r>
        <w:rPr>
          <w:rStyle w:val="None"/>
          <w:rFonts w:ascii="Times New Roman" w:hAnsi="Times New Roman"/>
          <w:b w:val="1"/>
          <w:bCs w:val="1"/>
          <w:kern w:val="0"/>
          <w:sz w:val="24"/>
          <w:szCs w:val="24"/>
          <w:rtl w:val="0"/>
          <w:lang w:val="en-US"/>
        </w:rPr>
        <w:t xml:space="preserve">, 2007 </w:t>
      </w:r>
      <w:r>
        <w:rPr>
          <w:rStyle w:val="Hyperlink.1"/>
          <w:rtl w:val="0"/>
          <w:lang w:val="en-US"/>
        </w:rPr>
        <w:t xml:space="preserve"> “</w:t>
      </w:r>
      <w:r>
        <w:rPr>
          <w:rStyle w:val="Hyperlink.1"/>
          <w:rtl w:val="0"/>
          <w:lang w:val="en-US"/>
        </w:rPr>
        <w:t>Natural products as leads to anticancer drugs,</w:t>
      </w:r>
      <w:r>
        <w:rPr>
          <w:rStyle w:val="Hyperlink.1"/>
          <w:rtl w:val="0"/>
          <w:lang w:val="en-US"/>
        </w:rPr>
        <w:t xml:space="preserve">” </w:t>
      </w:r>
      <w:r>
        <w:rPr>
          <w:rStyle w:val="None"/>
          <w:rFonts w:ascii="Times New Roman" w:hAnsi="Times New Roman"/>
          <w:i w:val="1"/>
          <w:iCs w:val="1"/>
          <w:kern w:val="0"/>
          <w:sz w:val="24"/>
          <w:szCs w:val="24"/>
          <w:rtl w:val="0"/>
          <w:lang w:val="en-US"/>
        </w:rPr>
        <w:t>Clinical and Translational Oncology,</w:t>
      </w:r>
      <w:r>
        <w:rPr>
          <w:rStyle w:val="Hyperlink.1"/>
          <w:rtl w:val="0"/>
          <w:lang w:val="en-US"/>
        </w:rPr>
        <w:t xml:space="preserve"> vol.9,no.12,pp.767</w:t>
      </w:r>
      <w:r>
        <w:rPr>
          <w:rStyle w:val="Hyperlink.1"/>
          <w:rtl w:val="0"/>
          <w:lang w:val="en-US"/>
        </w:rPr>
        <w:t>–</w:t>
      </w:r>
      <w:r>
        <w:rPr>
          <w:rStyle w:val="Hyperlink.1"/>
          <w:rtl w:val="0"/>
          <w:lang w:val="en-US"/>
        </w:rPr>
        <w:t>776,</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Greenwell, M.,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Rahman, P. K. S. M.</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2015. </w:t>
      </w:r>
      <w:r>
        <w:rPr>
          <w:rStyle w:val="Hyperlink.1"/>
          <w:rtl w:val="0"/>
          <w:lang w:val="en-US"/>
        </w:rPr>
        <w:t xml:space="preserve">Medicinal plants: Their use in anticancer treatment.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International Journal of Pharmaceutical Sciences and Research, 6</w:t>
      </w:r>
      <w:r>
        <w:rPr>
          <w:rStyle w:val="Hyperlink.1"/>
          <w:rtl w:val="0"/>
          <w:lang w:val="en-US"/>
        </w:rPr>
        <w:t>(10), 4103</w:t>
      </w:r>
      <w:r>
        <w:rPr>
          <w:rStyle w:val="Hyperlink.1"/>
          <w:rtl w:val="0"/>
          <w:lang w:val="en-US"/>
        </w:rPr>
        <w:t>–</w:t>
      </w:r>
      <w:r>
        <w:rPr>
          <w:rStyle w:val="Hyperlink.1"/>
          <w:rtl w:val="0"/>
          <w:lang w:val="en-US"/>
        </w:rPr>
        <w:t>4112.</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Gupta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A</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K</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and Tandon</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N.</w:t>
      </w:r>
      <w:r>
        <w:rPr>
          <w:rStyle w:val="None"/>
          <w:rFonts w:ascii="Times New Roman" w:hAnsi="Times New Roman"/>
          <w:b w:val="1"/>
          <w:bCs w:val="1"/>
          <w:kern w:val="0"/>
          <w:sz w:val="24"/>
          <w:szCs w:val="24"/>
          <w:rtl w:val="0"/>
          <w:lang w:val="en-US"/>
        </w:rPr>
        <w:t>, 2004</w:t>
      </w:r>
      <w:r>
        <w:rPr>
          <w:rStyle w:val="None"/>
          <w:rFonts w:ascii="Times New Roman" w:hAnsi="Times New Roman"/>
          <w:b w:val="1"/>
          <w:bCs w:val="1"/>
          <w:kern w:val="0"/>
          <w:sz w:val="24"/>
          <w:szCs w:val="24"/>
          <w:rtl w:val="0"/>
          <w:lang w:val="en-US"/>
        </w:rPr>
        <w:t xml:space="preserve"> </w:t>
      </w:r>
      <w:r>
        <w:rPr>
          <w:rStyle w:val="Hyperlink.1"/>
          <w:rtl w:val="0"/>
          <w:lang w:val="en-US"/>
        </w:rPr>
        <w:t xml:space="preserve">Reviews on Indian Medicinal Plants. New Delhi: </w:t>
      </w:r>
      <w:r>
        <w:rPr>
          <w:rStyle w:val="None"/>
          <w:rFonts w:ascii="Times New Roman" w:hAnsi="Times New Roman"/>
          <w:i w:val="1"/>
          <w:iCs w:val="1"/>
          <w:kern w:val="0"/>
          <w:sz w:val="24"/>
          <w:szCs w:val="24"/>
          <w:rtl w:val="0"/>
          <w:lang w:val="en-US"/>
        </w:rPr>
        <w:t>Indian Council of Medical Research</w:t>
      </w:r>
      <w:r>
        <w:rPr>
          <w:rStyle w:val="None"/>
          <w:rFonts w:ascii="Times New Roman" w:hAnsi="Times New Roman"/>
          <w:i w:val="1"/>
          <w:iCs w:val="1"/>
          <w:kern w:val="0"/>
          <w:sz w:val="24"/>
          <w:szCs w:val="24"/>
          <w:rtl w:val="0"/>
          <w:lang w:val="en-US"/>
        </w:rPr>
        <w:t>.</w:t>
      </w:r>
      <w:r>
        <w:rPr>
          <w:rStyle w:val="Hyperlink.1"/>
          <w:rtl w:val="0"/>
          <w:lang w:val="en-US"/>
        </w:rPr>
        <w:t xml:space="preserve"> </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Hanahan, D.</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2022.</w:t>
      </w:r>
      <w:r>
        <w:rPr>
          <w:rStyle w:val="Hyperlink.1"/>
          <w:rtl w:val="0"/>
          <w:lang w:val="en-US"/>
        </w:rPr>
        <w:t xml:space="preserve"> Hallmarks of cancer: New dimensions.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Cancer Discovery, 12</w:t>
      </w:r>
      <w:r>
        <w:rPr>
          <w:rStyle w:val="Hyperlink.1"/>
          <w:rtl w:val="0"/>
          <w:lang w:val="en-US"/>
        </w:rPr>
        <w:t>(1), 31</w:t>
      </w:r>
      <w:r>
        <w:rPr>
          <w:rStyle w:val="Hyperlink.1"/>
          <w:rtl w:val="0"/>
          <w:lang w:val="en-US"/>
        </w:rPr>
        <w:t>–</w:t>
      </w:r>
      <w:r>
        <w:rPr>
          <w:rStyle w:val="Hyperlink.1"/>
          <w:rtl w:val="0"/>
          <w:lang w:val="en-US"/>
        </w:rPr>
        <w:t>46.</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Harrison, T.R.</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1998</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None"/>
          <w:rFonts w:ascii="Times New Roman" w:hAnsi="Times New Roman"/>
          <w:i w:val="1"/>
          <w:iCs w:val="1"/>
          <w:kern w:val="0"/>
          <w:sz w:val="24"/>
          <w:szCs w:val="24"/>
          <w:rtl w:val="0"/>
          <w:lang w:val="en-US"/>
        </w:rPr>
        <w:t>Principles of internal medicine,</w:t>
      </w:r>
      <w:r>
        <w:rPr>
          <w:rStyle w:val="Hyperlink.1"/>
          <w:rtl w:val="0"/>
          <w:lang w:val="en-US"/>
        </w:rPr>
        <w:t xml:space="preserve"> 14</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th</w:t>
      </w:r>
      <w:r>
        <w:rPr>
          <w:rStyle w:val="Hyperlink.1"/>
          <w:rtl w:val="0"/>
          <w:lang w:val="en-US"/>
        </w:rPr>
        <w:t xml:space="preserve"> edition, McGraw-Hill Book Company.</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Ignacimuthu</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S</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Ayyanar</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M</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Sivaraman</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S</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K</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2006</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Hyperlink.1"/>
          <w:rtl w:val="0"/>
          <w:lang w:val="en-US"/>
        </w:rPr>
        <w:t>Ethnobotanical investigations among tribes in Madurai District of Tamilnadu (India). J EthnobiolEthnomed 2:25.</w:t>
      </w:r>
    </w:p>
    <w:p>
      <w:pPr>
        <w:pStyle w:val="Normal.0"/>
        <w:spacing w:after="0" w:line="360" w:lineRule="auto"/>
        <w:ind w:left="720" w:hanging="720"/>
        <w:jc w:val="both"/>
        <w:rPr>
          <w:rStyle w:val="Hyperlink.1"/>
        </w:rPr>
      </w:pPr>
      <w:r>
        <w:rPr>
          <w:rStyle w:val="Hyperlink.1"/>
          <w:rtl w:val="0"/>
          <w:lang w:val="en-US"/>
        </w:rPr>
        <w:t xml:space="preserve">Iqbal S. </w:t>
      </w:r>
      <w:r>
        <w:rPr>
          <w:rStyle w:val="None"/>
          <w:rFonts w:ascii="Times New Roman" w:hAnsi="Times New Roman"/>
          <w:i w:val="1"/>
          <w:iCs w:val="1"/>
          <w:kern w:val="0"/>
          <w:sz w:val="24"/>
          <w:szCs w:val="24"/>
          <w:rtl w:val="0"/>
          <w:lang w:val="en-US"/>
        </w:rPr>
        <w:t xml:space="preserve">Extended studies on the chemical constituents of Cocculushirsutus </w:t>
      </w:r>
      <w:r>
        <w:rPr>
          <w:rStyle w:val="Hyperlink.1"/>
          <w:rtl w:val="0"/>
          <w:lang w:val="en-US"/>
        </w:rPr>
        <w:t>[dissertation]. Karachi:University of Karachi 1993.</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Kapoor</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L</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D</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2000</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w:t>
      </w:r>
      <w:r>
        <w:rPr>
          <w:rStyle w:val="None"/>
          <w:rFonts w:ascii="Times New Roman" w:hAnsi="Times New Roman"/>
          <w:i w:val="1"/>
          <w:iCs w:val="1"/>
          <w:kern w:val="0"/>
          <w:sz w:val="24"/>
          <w:szCs w:val="24"/>
          <w:rtl w:val="0"/>
          <w:lang w:val="en-US"/>
        </w:rPr>
        <w:t>Handbook of ayurvedic medicinal plants</w:t>
      </w:r>
      <w:r>
        <w:rPr>
          <w:rStyle w:val="Hyperlink.1"/>
          <w:rtl w:val="0"/>
          <w:lang w:val="en-US"/>
        </w:rPr>
        <w:t>. CRC Press, Florida, p.424.</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Kumar, S.,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Pandey, A. K.</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2013</w:t>
      </w:r>
      <w:r>
        <w:rPr>
          <w:rStyle w:val="Hyperlink.1"/>
          <w:rtl w:val="0"/>
          <w:lang w:val="en-US"/>
        </w:rPr>
        <w:t xml:space="preserve">. Chemistry and biological activities of flavonoids.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The Scientific World Journal</w:t>
      </w:r>
      <w:r>
        <w:rPr>
          <w:rStyle w:val="Hyperlink.1"/>
          <w:rtl w:val="0"/>
          <w:lang w:val="en-US"/>
        </w:rPr>
        <w:t>, 162750.</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Lee</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K</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H.</w:t>
      </w:r>
      <w:r>
        <w:rPr>
          <w:rStyle w:val="None"/>
          <w:rFonts w:ascii="Times New Roman" w:hAnsi="Times New Roman"/>
          <w:b w:val="1"/>
          <w:bCs w:val="1"/>
          <w:kern w:val="0"/>
          <w:sz w:val="24"/>
          <w:szCs w:val="24"/>
          <w:rtl w:val="0"/>
          <w:lang w:val="en-US"/>
        </w:rPr>
        <w:t>,</w:t>
      </w:r>
      <w:r>
        <w:rPr>
          <w:rStyle w:val="Hyperlink.1"/>
          <w:rtl w:val="0"/>
          <w:lang w:val="en-US"/>
        </w:rPr>
        <w:t xml:space="preserve"> </w:t>
      </w:r>
      <w:r>
        <w:rPr>
          <w:rStyle w:val="None"/>
          <w:rFonts w:ascii="Times New Roman" w:hAnsi="Times New Roman"/>
          <w:b w:val="1"/>
          <w:bCs w:val="1"/>
          <w:kern w:val="0"/>
          <w:sz w:val="24"/>
          <w:szCs w:val="24"/>
          <w:rtl w:val="0"/>
          <w:lang w:val="en-US"/>
        </w:rPr>
        <w:t xml:space="preserve">1993. </w:t>
      </w:r>
      <w:r>
        <w:rPr>
          <w:rStyle w:val="Hyperlink.1"/>
          <w:rtl w:val="0"/>
          <w:lang w:val="en-US"/>
        </w:rPr>
        <w:t>Human medicinal agents from plants. In: Kinghorn AD, Balandrin M, editors.</w:t>
      </w:r>
      <w:r>
        <w:rPr>
          <w:rStyle w:val="Hyperlink.1"/>
          <w:rtl w:val="0"/>
          <w:lang w:val="en-US"/>
        </w:rPr>
        <w:t xml:space="preserve">  </w:t>
      </w:r>
      <w:r>
        <w:rPr>
          <w:rStyle w:val="Hyperlink.1"/>
          <w:rtl w:val="0"/>
          <w:lang w:val="en-US"/>
        </w:rPr>
        <w:t xml:space="preserve">ACS symposium series No. 534. Washington, DC: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American chemical society</w:t>
      </w:r>
      <w:r>
        <w:rPr>
          <w:rStyle w:val="Hyperlink.1"/>
          <w:rtl w:val="0"/>
          <w:lang w:val="en-US"/>
        </w:rPr>
        <w:t>; chap.12.</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Madhuri,S., and  Pandey.</w:t>
      </w:r>
      <w:r>
        <w:rPr>
          <w:rStyle w:val="None"/>
          <w:rFonts w:ascii="Times New Roman" w:hAnsi="Times New Roman"/>
          <w:b w:val="1"/>
          <w:bCs w:val="1"/>
          <w:kern w:val="0"/>
          <w:sz w:val="24"/>
          <w:szCs w:val="24"/>
          <w:rtl w:val="0"/>
          <w:lang w:val="en-US"/>
        </w:rPr>
        <w:t xml:space="preserve">G.,  2009. </w:t>
      </w:r>
      <w:r>
        <w:rPr>
          <w:rStyle w:val="None"/>
          <w:rFonts w:ascii="Times New Roman" w:hAnsi="Times New Roman"/>
          <w:b w:val="1"/>
          <w:bCs w:val="1"/>
          <w:kern w:val="0"/>
          <w:sz w:val="24"/>
          <w:szCs w:val="24"/>
          <w:rtl w:val="0"/>
          <w:lang w:val="en-US"/>
        </w:rPr>
        <w:t xml:space="preserve"> </w:t>
      </w:r>
      <w:r>
        <w:rPr>
          <w:rStyle w:val="Hyperlink.1"/>
          <w:rtl w:val="0"/>
          <w:lang w:val="en-US"/>
        </w:rPr>
        <w:t xml:space="preserve">Current science; 96, 6, 779 </w:t>
      </w:r>
      <w:r>
        <w:rPr>
          <w:rStyle w:val="Hyperlink.1"/>
          <w:rtl w:val="0"/>
          <w:lang w:val="en-US"/>
        </w:rPr>
        <w:t xml:space="preserve">– </w:t>
      </w:r>
      <w:r>
        <w:rPr>
          <w:rStyle w:val="Hyperlink.1"/>
          <w:rtl w:val="0"/>
          <w:lang w:val="en-US"/>
        </w:rPr>
        <w:t>83.</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Malhotra </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B</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N</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Rastogi Ram.</w:t>
      </w:r>
      <w:r>
        <w:rPr>
          <w:rStyle w:val="None"/>
          <w:rFonts w:ascii="Times New Roman" w:hAnsi="Times New Roman"/>
          <w:b w:val="1"/>
          <w:bCs w:val="1"/>
          <w:kern w:val="0"/>
          <w:sz w:val="24"/>
          <w:szCs w:val="24"/>
          <w:rtl w:val="0"/>
          <w:lang w:val="en-US"/>
        </w:rPr>
        <w:t>, 2001 .</w:t>
      </w:r>
      <w:r>
        <w:rPr>
          <w:rStyle w:val="Hyperlink.1"/>
          <w:rtl w:val="0"/>
          <w:lang w:val="en-US"/>
        </w:rPr>
        <w:t xml:space="preserve"> Compendium of Indian Medicinal Plants Vol.4, reprint ed. Lucknow: CDRI; </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Man, S., Gao, W., Zhang, Y., Huang, L.,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Liu, C.</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2010.</w:t>
      </w:r>
      <w:r>
        <w:rPr>
          <w:rStyle w:val="Hyperlink.1"/>
          <w:rtl w:val="0"/>
          <w:lang w:val="en-US"/>
        </w:rPr>
        <w:t xml:space="preserve"> Chemical study and medical application of saponins.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Fitoterapia, 81</w:t>
      </w:r>
      <w:r>
        <w:rPr>
          <w:rStyle w:val="Hyperlink.1"/>
          <w:rtl w:val="0"/>
          <w:lang w:val="en-US"/>
        </w:rPr>
        <w:t>(7), 703</w:t>
      </w:r>
      <w:r>
        <w:rPr>
          <w:rStyle w:val="Hyperlink.1"/>
          <w:rtl w:val="0"/>
          <w:lang w:val="en-US"/>
        </w:rPr>
        <w:t>–</w:t>
      </w:r>
      <w:r>
        <w:rPr>
          <w:rStyle w:val="Hyperlink.1"/>
          <w:rtl w:val="0"/>
          <w:lang w:val="en-US"/>
        </w:rPr>
        <w:t>714.</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Misra</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B</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BhawaPrakash</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Nighantu.</w:t>
      </w:r>
      <w:r>
        <w:rPr>
          <w:rStyle w:val="None"/>
          <w:rFonts w:ascii="Times New Roman" w:hAnsi="Times New Roman"/>
          <w:b w:val="1"/>
          <w:bCs w:val="1"/>
          <w:kern w:val="0"/>
          <w:sz w:val="24"/>
          <w:szCs w:val="24"/>
          <w:rtl w:val="0"/>
          <w:lang w:val="en-US"/>
        </w:rPr>
        <w:t xml:space="preserve">, </w:t>
      </w:r>
      <w:r>
        <w:rPr>
          <w:rStyle w:val="Hyperlink.1"/>
          <w:rtl w:val="0"/>
          <w:lang w:val="en-US"/>
        </w:rPr>
        <w:t xml:space="preserve"> Chaukhamba publications, Varanasi, India, 1600 AD:298.</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Newman, D. J.,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Cragg, G. M.</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2020. N</w:t>
      </w:r>
      <w:r>
        <w:rPr>
          <w:rStyle w:val="Hyperlink.1"/>
          <w:rtl w:val="0"/>
          <w:lang w:val="en-US"/>
        </w:rPr>
        <w:t xml:space="preserve">atural products as sources of new drugs over nearly four decades.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Natural Products, 83</w:t>
      </w:r>
      <w:r>
        <w:rPr>
          <w:rStyle w:val="Hyperlink.1"/>
          <w:rtl w:val="0"/>
          <w:lang w:val="en-US"/>
        </w:rPr>
        <w:t>(3), 770</w:t>
      </w:r>
      <w:r>
        <w:rPr>
          <w:rStyle w:val="Hyperlink.1"/>
          <w:rtl w:val="0"/>
          <w:lang w:val="en-US"/>
        </w:rPr>
        <w:t>–</w:t>
      </w:r>
      <w:r>
        <w:rPr>
          <w:rStyle w:val="Hyperlink.1"/>
          <w:rtl w:val="0"/>
          <w:lang w:val="en-US"/>
        </w:rPr>
        <w:t>803.</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Panche, A. N., Diwan, A. D.,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Chandra, S. R.</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2016. </w:t>
      </w:r>
      <w:r>
        <w:rPr>
          <w:rStyle w:val="Hyperlink.1"/>
          <w:rtl w:val="0"/>
          <w:lang w:val="en-US"/>
        </w:rPr>
        <w:t xml:space="preserve">Flavonoids: An overview.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Nutritional Science, 5</w:t>
      </w:r>
      <w:r>
        <w:rPr>
          <w:rStyle w:val="Hyperlink.1"/>
          <w:rtl w:val="0"/>
          <w:lang w:val="en-US"/>
        </w:rPr>
        <w:t>, e47.</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Prakash,O., Amit Kumar, Pawan Kumar and Ajeet</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2013 .</w:t>
      </w:r>
      <w:r>
        <w:rPr>
          <w:rStyle w:val="None"/>
          <w:rFonts w:ascii="Times New Roman" w:hAnsi="Times New Roman"/>
          <w:b w:val="1"/>
          <w:bCs w:val="1"/>
          <w:kern w:val="0"/>
          <w:sz w:val="24"/>
          <w:szCs w:val="24"/>
          <w:rtl w:val="0"/>
          <w:lang w:val="en-US"/>
        </w:rPr>
        <w:t xml:space="preserve"> </w:t>
      </w:r>
      <w:r>
        <w:rPr>
          <w:rStyle w:val="Hyperlink.1"/>
          <w:rtl w:val="0"/>
          <w:lang w:val="en-US"/>
        </w:rPr>
        <w:t>“</w:t>
      </w:r>
      <w:r>
        <w:rPr>
          <w:rStyle w:val="Hyperlink.1"/>
          <w:rtl w:val="0"/>
          <w:lang w:val="en-US"/>
        </w:rPr>
        <w:t>Anticancer Potential of plants and Natural Products: A Review.</w:t>
      </w:r>
      <w:r>
        <w:rPr>
          <w:rStyle w:val="Hyperlink.1"/>
          <w:rtl w:val="0"/>
          <w:lang w:val="en-US"/>
        </w:rPr>
        <w:t xml:space="preserve">” </w:t>
      </w:r>
      <w:r>
        <w:rPr>
          <w:rStyle w:val="None"/>
          <w:rFonts w:ascii="Times New Roman" w:hAnsi="Times New Roman"/>
          <w:i w:val="1"/>
          <w:iCs w:val="1"/>
          <w:kern w:val="0"/>
          <w:sz w:val="24"/>
          <w:szCs w:val="24"/>
          <w:rtl w:val="0"/>
          <w:lang w:val="en-US"/>
        </w:rPr>
        <w:t>American Journal of Pharmacological Sciences</w:t>
      </w:r>
      <w:r>
        <w:rPr>
          <w:rStyle w:val="Hyperlink.1"/>
          <w:rtl w:val="0"/>
          <w:lang w:val="en-US"/>
        </w:rPr>
        <w:t xml:space="preserve"> 1, no.6; 104-115.</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Prasad, S., Gupta, S. C.,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Aggarwal, B. B.</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2010</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w:t>
      </w:r>
      <w:r>
        <w:rPr>
          <w:rStyle w:val="Hyperlink.1"/>
          <w:rtl w:val="0"/>
          <w:lang w:val="en-US"/>
        </w:rPr>
        <w:t xml:space="preserve"> Targeting inflammatory pathways by phytochemicals for prevention and therapy of cancer.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Current Drug Targets, 11</w:t>
      </w:r>
      <w:r>
        <w:rPr>
          <w:rStyle w:val="Hyperlink.1"/>
          <w:rtl w:val="0"/>
          <w:lang w:val="en-US"/>
        </w:rPr>
        <w:t>(4), 454</w:t>
      </w:r>
      <w:r>
        <w:rPr>
          <w:rStyle w:val="Hyperlink.1"/>
          <w:rtl w:val="0"/>
          <w:lang w:val="en-US"/>
        </w:rPr>
        <w:t>–</w:t>
      </w:r>
      <w:r>
        <w:rPr>
          <w:rStyle w:val="Hyperlink.1"/>
          <w:rtl w:val="0"/>
          <w:lang w:val="en-US"/>
        </w:rPr>
        <w:t>475.</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Reuter, S., Gupta, S. C., Chaturvedi, M. M.,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Aggarwal, B. B.</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2010.</w:t>
      </w:r>
      <w:r>
        <w:rPr>
          <w:rStyle w:val="Hyperlink.1"/>
          <w:rtl w:val="0"/>
          <w:lang w:val="en-US"/>
        </w:rPr>
        <w:t xml:space="preserve"> Oxidative stress, inflammation, and cancer.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Free Radical Biology and Medicine, 49</w:t>
      </w:r>
      <w:r>
        <w:rPr>
          <w:rStyle w:val="Hyperlink.1"/>
          <w:rtl w:val="0"/>
          <w:lang w:val="en-US"/>
        </w:rPr>
        <w:t>(11), 1603</w:t>
      </w:r>
      <w:r>
        <w:rPr>
          <w:rStyle w:val="Hyperlink.1"/>
          <w:rtl w:val="0"/>
          <w:lang w:val="en-US"/>
        </w:rPr>
        <w:t>–</w:t>
      </w:r>
      <w:r>
        <w:rPr>
          <w:rStyle w:val="Hyperlink.1"/>
          <w:rtl w:val="0"/>
          <w:lang w:val="en-US"/>
        </w:rPr>
        <w:t>1616.</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Saklani,A., and S.K.Kutty</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2008 . </w:t>
      </w:r>
      <w:r>
        <w:rPr>
          <w:rStyle w:val="None"/>
          <w:rFonts w:ascii="Times New Roman" w:hAnsi="Times New Roman" w:hint="default"/>
          <w:b w:val="1"/>
          <w:bCs w:val="1"/>
          <w:kern w:val="0"/>
          <w:sz w:val="24"/>
          <w:szCs w:val="24"/>
          <w:rtl w:val="0"/>
          <w:lang w:val="en-US"/>
        </w:rPr>
        <w:t>“</w:t>
      </w:r>
      <w:r>
        <w:rPr>
          <w:rStyle w:val="Hyperlink.1"/>
          <w:rtl w:val="0"/>
          <w:lang w:val="en-US"/>
        </w:rPr>
        <w:t>Plant-derived compounds in clinical trials,</w:t>
      </w:r>
      <w:r>
        <w:rPr>
          <w:rStyle w:val="Hyperlink.1"/>
          <w:rtl w:val="0"/>
          <w:lang w:val="en-US"/>
        </w:rPr>
        <w:t xml:space="preserve">” </w:t>
      </w:r>
      <w:r>
        <w:rPr>
          <w:rStyle w:val="None"/>
          <w:rFonts w:ascii="Times New Roman" w:hAnsi="Times New Roman"/>
          <w:i w:val="1"/>
          <w:iCs w:val="1"/>
          <w:kern w:val="0"/>
          <w:sz w:val="24"/>
          <w:szCs w:val="24"/>
          <w:rtl w:val="0"/>
          <w:lang w:val="en-US"/>
        </w:rPr>
        <w:t>Drug Discovery Today ,</w:t>
      </w:r>
      <w:r>
        <w:rPr>
          <w:rStyle w:val="Hyperlink.1"/>
          <w:rtl w:val="0"/>
          <w:lang w:val="en-US"/>
        </w:rPr>
        <w:t xml:space="preserve"> vol.13,no.3-4,pp.161</w:t>
      </w:r>
      <w:r>
        <w:rPr>
          <w:rStyle w:val="Hyperlink.1"/>
          <w:rtl w:val="0"/>
          <w:lang w:val="en-US"/>
        </w:rPr>
        <w:t>–</w:t>
      </w:r>
      <w:r>
        <w:rPr>
          <w:rStyle w:val="Hyperlink.1"/>
          <w:rtl w:val="0"/>
          <w:lang w:val="en-US"/>
        </w:rPr>
        <w:t>171,</w:t>
      </w:r>
      <w:r>
        <w:rPr>
          <w:rStyle w:val="Hyperlink.1"/>
          <w:rtl w:val="0"/>
          <w:lang w:val="en-US"/>
        </w:rPr>
        <w:t xml:space="preserve"> </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Samuelsson, G.</w:t>
      </w:r>
      <w:r>
        <w:rPr>
          <w:rStyle w:val="None"/>
          <w:rFonts w:ascii="Times New Roman" w:hAnsi="Times New Roman"/>
          <w:b w:val="1"/>
          <w:bCs w:val="1"/>
          <w:kern w:val="0"/>
          <w:sz w:val="24"/>
          <w:szCs w:val="24"/>
          <w:rtl w:val="0"/>
          <w:lang w:val="en-US"/>
        </w:rPr>
        <w:t xml:space="preserve">, 1999 </w:t>
      </w:r>
      <w:r>
        <w:rPr>
          <w:rStyle w:val="None"/>
          <w:rFonts w:ascii="Times New Roman" w:hAnsi="Times New Roman"/>
          <w:b w:val="1"/>
          <w:bCs w:val="1"/>
          <w:kern w:val="0"/>
          <w:sz w:val="24"/>
          <w:szCs w:val="24"/>
          <w:rtl w:val="0"/>
          <w:lang w:val="en-US"/>
        </w:rPr>
        <w:t xml:space="preserve"> </w:t>
      </w:r>
      <w:r>
        <w:rPr>
          <w:rStyle w:val="Hyperlink.1"/>
          <w:rtl w:val="0"/>
          <w:lang w:val="en-US"/>
        </w:rPr>
        <w:t xml:space="preserve">Drugs of Natural origin: </w:t>
      </w:r>
      <w:r>
        <w:rPr>
          <w:rStyle w:val="None"/>
          <w:rFonts w:ascii="Times New Roman" w:hAnsi="Times New Roman"/>
          <w:i w:val="1"/>
          <w:iCs w:val="1"/>
          <w:kern w:val="0"/>
          <w:sz w:val="24"/>
          <w:szCs w:val="24"/>
          <w:rtl w:val="0"/>
          <w:lang w:val="en-US"/>
        </w:rPr>
        <w:t xml:space="preserve">a text book of pharmacognosy. </w:t>
      </w:r>
      <w:r>
        <w:rPr>
          <w:rStyle w:val="Hyperlink.1"/>
          <w:rtl w:val="0"/>
          <w:lang w:val="en-US"/>
        </w:rPr>
        <w:t>4</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th</w:t>
      </w:r>
      <w:r>
        <w:rPr>
          <w:rStyle w:val="Hyperlink.1"/>
          <w:rtl w:val="0"/>
          <w:lang w:val="en-US"/>
        </w:rPr>
        <w:t xml:space="preserve"> ed., Stockholm, Swedish Pharmaceutical Press.</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SanjarAlam, DeeptiKatiyar, RichaGoel, Amita Vats, Ashu Mittal.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2013.</w:t>
      </w:r>
      <w:r>
        <w:rPr>
          <w:rStyle w:val="Hyperlink.1"/>
          <w:rtl w:val="0"/>
          <w:lang w:val="en-US"/>
        </w:rPr>
        <w:t xml:space="preserve"> Role of herbals in Cancer Treatment. </w:t>
      </w:r>
      <w:r>
        <w:rPr>
          <w:rStyle w:val="None"/>
          <w:rFonts w:ascii="Times New Roman" w:hAnsi="Times New Roman"/>
          <w:i w:val="1"/>
          <w:iCs w:val="1"/>
          <w:kern w:val="0"/>
          <w:sz w:val="24"/>
          <w:szCs w:val="24"/>
          <w:rtl w:val="0"/>
          <w:lang w:val="en-US"/>
        </w:rPr>
        <w:t>The Journal of Pharmacology</w:t>
      </w:r>
      <w:r>
        <w:rPr>
          <w:rStyle w:val="Hyperlink.1"/>
          <w:rtl w:val="0"/>
          <w:lang w:val="en-US"/>
        </w:rPr>
        <w:t xml:space="preserve"> ; 2(6): 46-51.</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Tomlinson, T.R., and Akerele, O.</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1998</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Hyperlink.1"/>
          <w:rtl w:val="0"/>
          <w:lang w:val="en-US"/>
        </w:rPr>
        <w:t xml:space="preserve">Medicinal Plants: their role in health and biodiversity. </w:t>
      </w:r>
      <w:r>
        <w:rPr>
          <w:rStyle w:val="None"/>
          <w:rFonts w:ascii="Times New Roman" w:hAnsi="Times New Roman"/>
          <w:i w:val="1"/>
          <w:iCs w:val="1"/>
          <w:kern w:val="0"/>
          <w:sz w:val="24"/>
          <w:szCs w:val="24"/>
          <w:rtl w:val="0"/>
          <w:lang w:val="en-US"/>
        </w:rPr>
        <w:t xml:space="preserve">University of Pennsylvania Press, </w:t>
      </w:r>
      <w:r>
        <w:rPr>
          <w:rStyle w:val="Hyperlink.1"/>
          <w:rtl w:val="0"/>
          <w:lang w:val="en-US"/>
        </w:rPr>
        <w:t>Pennsylvania, p.240.</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Umadevi</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M</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Sampath Kumar </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K</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P</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Dedjit</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Bhowmik</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Duraivel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S.</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2013.</w:t>
      </w:r>
      <w:r>
        <w:rPr>
          <w:rStyle w:val="Hyperlink.1"/>
          <w:rtl w:val="0"/>
          <w:lang w:val="en-US"/>
        </w:rPr>
        <w:t xml:space="preserve"> Traditionally Used Anticancer Herbs in India. </w:t>
      </w:r>
      <w:r>
        <w:rPr>
          <w:rStyle w:val="None"/>
          <w:rFonts w:ascii="Times New Roman" w:hAnsi="Times New Roman"/>
          <w:i w:val="1"/>
          <w:iCs w:val="1"/>
          <w:kern w:val="0"/>
          <w:sz w:val="24"/>
          <w:szCs w:val="24"/>
          <w:rtl w:val="0"/>
          <w:lang w:val="en-US"/>
        </w:rPr>
        <w:t xml:space="preserve">Journal of Medicinal Plants Studies. </w:t>
      </w:r>
      <w:r>
        <w:rPr>
          <w:rStyle w:val="Hyperlink.1"/>
          <w:rtl w:val="0"/>
          <w:lang w:val="en-US"/>
        </w:rPr>
        <w:t>1(3).56-74.</w:t>
      </w:r>
    </w:p>
    <w:p>
      <w:pPr>
        <w:pStyle w:val="Normal.0"/>
        <w:spacing w:after="0" w:line="360" w:lineRule="auto"/>
        <w:ind w:left="720" w:hanging="720"/>
        <w:jc w:val="both"/>
        <w:rPr>
          <w:rStyle w:val="None"/>
          <w:rFonts w:ascii="Times New Roman" w:cs="Times New Roman" w:hAnsi="Times New Roman" w:eastAsia="Times New Roman"/>
          <w:outline w:val="0"/>
          <w:color w:val="000000"/>
          <w:kern w:val="0"/>
          <w:u w:color="000000"/>
          <w14:textFill>
            <w14:solidFill>
              <w14:srgbClr w14:val="000000"/>
            </w14:solidFill>
          </w14:textFill>
        </w:rPr>
      </w:pPr>
      <w:r>
        <w:rPr>
          <w:rStyle w:val="None"/>
          <w:rFonts w:ascii="Times New Roman" w:hAnsi="Times New Roman"/>
          <w:b w:val="1"/>
          <w:bCs w:val="1"/>
          <w:kern w:val="0"/>
          <w:sz w:val="24"/>
          <w:szCs w:val="24"/>
          <w:rtl w:val="0"/>
          <w:lang w:val="en-US"/>
        </w:rPr>
        <w:t>Viqaruddin.</w:t>
      </w:r>
      <w:r>
        <w:rPr>
          <w:rStyle w:val="None"/>
          <w:rFonts w:ascii="Times New Roman" w:hAnsi="Times New Roman"/>
          <w:b w:val="1"/>
          <w:bCs w:val="1"/>
          <w:kern w:val="0"/>
          <w:sz w:val="24"/>
          <w:szCs w:val="24"/>
          <w:rtl w:val="0"/>
          <w:lang w:val="en-US"/>
        </w:rPr>
        <w:t>,198.7</w:t>
      </w:r>
      <w:r>
        <w:rPr>
          <w:rStyle w:val="Hyperlink.1"/>
          <w:rtl w:val="0"/>
          <w:lang w:val="en-US"/>
        </w:rPr>
        <w:t xml:space="preserve"> Chemical constituents of Cocculushirsutus [dissertation]. Karachi: University of Karachi</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WHO</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2017</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Hyperlink.1"/>
          <w:rtl w:val="0"/>
          <w:lang w:val="en-US"/>
        </w:rPr>
        <w:t>fact sheet. World Health Organisation committee 186.</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Yadav</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S</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B</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Tripathi V. A</w:t>
      </w:r>
      <w:r>
        <w:rPr>
          <w:rStyle w:val="None"/>
          <w:rFonts w:ascii="Times New Roman" w:hAnsi="Times New Roman"/>
          <w:b w:val="1"/>
          <w:bCs w:val="1"/>
          <w:kern w:val="0"/>
          <w:sz w:val="24"/>
          <w:szCs w:val="24"/>
          <w:rtl w:val="0"/>
          <w:lang w:val="en-US"/>
        </w:rPr>
        <w:t xml:space="preserve">., 2005 </w:t>
      </w:r>
      <w:r>
        <w:rPr>
          <w:rStyle w:val="Hyperlink.1"/>
          <w:rtl w:val="0"/>
          <w:lang w:val="en-US"/>
        </w:rPr>
        <w:t xml:space="preserve"> Minor phenolic alkaloid from Cocculushirsutus Diels.</w:t>
      </w:r>
      <w:r>
        <w:rPr>
          <w:rStyle w:val="Hyperlink.1"/>
          <w:rtl w:val="0"/>
          <w:lang w:val="en-US"/>
        </w:rPr>
        <w:t xml:space="preserve">  </w:t>
      </w:r>
      <w:r>
        <w:rPr>
          <w:rStyle w:val="Hyperlink.1"/>
          <w:rtl w:val="0"/>
          <w:lang w:val="en-US"/>
        </w:rPr>
        <w:t>Ind J Chem</w:t>
      </w:r>
      <w:r>
        <w:rPr>
          <w:rStyle w:val="Hyperlink.1"/>
          <w:rtl w:val="0"/>
          <w:lang w:val="en-US"/>
        </w:rPr>
        <w:t xml:space="preserve"> </w:t>
      </w:r>
      <w:r>
        <w:rPr>
          <w:rStyle w:val="Hyperlink.1"/>
          <w:rtl w:val="0"/>
          <w:lang w:val="en-US"/>
        </w:rPr>
        <w:t>; 44(1):212-14.</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Zitvogel, L., Galluzzi, L., Smyth, M. J.,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Kroemer, G.</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2013. </w:t>
      </w:r>
      <w:r>
        <w:rPr>
          <w:rStyle w:val="Hyperlink.1"/>
          <w:rtl w:val="0"/>
          <w:lang w:val="en-US"/>
        </w:rPr>
        <w:t xml:space="preserve">Mechanism of action of conventional and targeted anticancer therapies: Reinstating immunosurveillance.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Immunity, 39</w:t>
      </w:r>
      <w:r>
        <w:rPr>
          <w:rStyle w:val="Hyperlink.1"/>
          <w:rtl w:val="0"/>
          <w:lang w:val="en-US"/>
        </w:rPr>
        <w:t>(1), 74</w:t>
      </w:r>
      <w:r>
        <w:rPr>
          <w:rStyle w:val="Hyperlink.1"/>
          <w:rtl w:val="0"/>
          <w:lang w:val="en-US"/>
        </w:rPr>
        <w:t>–</w:t>
      </w:r>
      <w:r>
        <w:rPr>
          <w:rStyle w:val="Hyperlink.1"/>
          <w:rtl w:val="0"/>
          <w:lang w:val="en-US"/>
        </w:rPr>
        <w:t>88.</w:t>
      </w: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EXPLORING THE PROBIOTIC MICROBIOTA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PALMYRA                                 (BORASSUS FLABELLIFER)</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INFLORESCENCE SAP FOR                                    FUNCTIONAL FOOD APPLICATIONS</w:t>
      </w:r>
    </w:p>
    <w:p>
      <w:pPr>
        <w:pStyle w:val="Normal.0"/>
        <w:spacing w:after="0" w:line="360" w:lineRule="auto"/>
        <w:ind w:left="720" w:firstLine="720"/>
        <w:rPr>
          <w:rStyle w:val="None"/>
          <w:rFonts w:ascii="Times New Roman" w:cs="Times New Roman" w:hAnsi="Times New Roman" w:eastAsia="Times New Roman"/>
          <w:i w:val="1"/>
          <w:iCs w:val="1"/>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None"/>
          <w:rFonts w:ascii="Times New Roman" w:hAnsi="Times New Roman"/>
          <w:i w:val="1"/>
          <w:iCs w:val="1"/>
          <w:kern w:val="0"/>
          <w:sz w:val="24"/>
          <w:szCs w:val="24"/>
          <w:rtl w:val="0"/>
          <w:lang w:val="en-US"/>
        </w:rPr>
        <w:t>Jebajosilin</w:t>
      </w:r>
      <w:r>
        <w:rPr>
          <w:rStyle w:val="None"/>
          <w:rFonts w:ascii="Times New Roman" w:hAnsi="Times New Roman"/>
          <w:i w:val="1"/>
          <w:iCs w:val="1"/>
          <w:kern w:val="0"/>
          <w:sz w:val="24"/>
          <w:szCs w:val="24"/>
          <w:rtl w:val="0"/>
          <w:lang w:val="en-US"/>
        </w:rPr>
        <w:t>,B.,</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and</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Kumaran</w:t>
      </w:r>
      <w:r>
        <w:rPr>
          <w:rStyle w:val="None"/>
          <w:rFonts w:ascii="Times New Roman" w:hAnsi="Times New Roman"/>
          <w:i w:val="1"/>
          <w:iCs w:val="1"/>
          <w:kern w:val="0"/>
          <w:sz w:val="24"/>
          <w:szCs w:val="24"/>
          <w:rtl w:val="0"/>
          <w:lang w:val="en-US"/>
        </w:rPr>
        <w:t>,T.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1.Reg no :23113092272002, Research scholar, PG and Research Department of Zoology, Muslim arts college, Thruvithancode, Affiliated to Manonmanium</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Sundaranar University, Abishekapatti, Tirunelveli -627012, Tamil Nadu, India</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2.Research Supervisor /Associate Professor, PG and Research Department of Zoology, Muslim arts college, Thruvithancode, Affiliated to Manonmanium</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sundaranar University, Abishekapatti, Tirunelveli -627012, Tamil Nadu, India</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Palmyra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xml:space="preserve"> L.) is a multipurpose palm species widely distributed throughout tropical Asia and Africa. Among its numerous edible products, fresh inflorescence sap (commonly known as Neera) has attracted considerable attention because of its rich nutritional composition and naturally occurring beneficial microorganisms. Fresh Palmyra sap contains an abundance of sugars, amino acids, vitamins, minerals, organic acids, antioxidants, and phenolic compounds that create a favorable environment for the growth of probiotic microorganisms. Recent microbiological investigations have demonstrated that Palmyra sap harbors diverse populations of lactic acid bacteria, probiotic yeasts, and beneficial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Bacillus</w:t>
      </w:r>
      <w:r>
        <w:rPr>
          <w:rStyle w:val="Hyperlink.1"/>
          <w:rtl w:val="0"/>
          <w:lang w:val="en-US"/>
        </w:rPr>
        <w:t xml:space="preserve"> species capable of producing antimicrobial compounds, digestive enzymes, vitamins, and bioactive metabolites. These indigenous microorganisms exhibit several desirable probiotic characteristics, including acid and bile tolerance, antimicrobial activity against foodborne pathogens, adhesion to intestinal epithelial cells, antioxidant activity, immunomodulatory effects, and the ability to improve intestinal microbial balance. Consequently, Palmyra sap represents an excellent natural reservoir of probiotic microorganisms with promising applications in functional foods, nutraceuticals, and biotechnology. The increasing demand for plant-based probiotic beverages has further stimulated interest in exploiting Palmyra sap as an alternative source of non-dairy probiotics. This review summarizes the nutritional properties of Palmyra inflorescence sap, explores the diversity and functional characteristics of its probiotic microbiota, discusses methods for microbial isolation and characterization, and highlights current and future applications of Palmyra-derived probiotics in functional food development. The review also identifies existing research gaps and proposes future directions for translating laboratory findings into commercial probiotic products.</w:t>
      </w:r>
    </w:p>
    <w:p>
      <w:pPr>
        <w:pStyle w:val="Normal.0"/>
        <w:spacing w:after="0" w:line="360" w:lineRule="auto"/>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Keywords:</w:t>
      </w:r>
      <w:r>
        <w:rPr>
          <w:rStyle w:val="None"/>
          <w:rFonts w:ascii="Times New Roman" w:hAnsi="Times New Roman"/>
          <w:b w:val="1"/>
          <w:bCs w:val="1"/>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Borassus flabellifer</w:t>
      </w:r>
      <w:r>
        <w:rPr>
          <w:rStyle w:val="None"/>
          <w:rFonts w:ascii="Times New Roman" w:hAnsi="Times New Roman"/>
          <w:i w:val="1"/>
          <w:iCs w:val="1"/>
          <w:kern w:val="0"/>
          <w:sz w:val="24"/>
          <w:szCs w:val="24"/>
          <w:rtl w:val="0"/>
          <w:lang w:val="en-US"/>
        </w:rPr>
        <w:t>, Palmyra palm, Neera, Probiotics, Functional foods, Lactic acid bacteria, Microbial diversity, Nutraceuticals.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1. </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relationship between diet and health has become one of the most rapidly expanding areas of nutritional science during the past two decades. Consumers increasingly seek foods that not only provide essential nutrients but also contribute to disease prevention, immune enhancement, and overall well-being. This growing interest has led to the development of functional foods, defined as foods that confer physiological benefits beyond basic nutrition. Among the various components of functional foods, probiotics have emerged as one of the most extensively studied owing to their beneficial effects on gastrointestinal health, immune function, metabolic regulation, and protection against infectious diseases. According to the International Scientific Association for Probiotics and Prebiotics (ISAPP), probiotics are "live microorganisms that, when administered in adequate amounts, confer a health benefit on the host" (Hill et al., 2014).</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Traditionally, probiotic microorganisms have been isolated from fermented dairy products such as yogurt, kefir, and cheese. However, the increasing prevalence of lactose intolerance, milk allergies, vegan dietary preferences, and demand for plant-based foods has encouraged researchers to identify alternative, non-dairy sources of probiotics. Natural plant-derived fermented products, fruit juices, cereal beverages, and palm saps have attracted considerable interest because they naturally support the growth of beneficial microorganisms while providing valuable nutrients and phytochemicals. These beverages often possess high concentrations of fermentable carbohydrates, vitamins, minerals, antioxidants, and polyphenolic compounds that enhance microbial survival and metabolic activity.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Among plant-based beverages, Palmyra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xml:space="preserve"> L.) inflorescence sap, commonly referred to as Neera, represents an underutilized yet highly promising substrate for probiotic microorganisms. Fresh sap collected hygienically from unopened inflorescences is a sweet, translucent liquid rich in sucrose, glucose, fructose, proteins, amino acids, vitamin C, B-complex vitamins, potassium, calcium, magnesium, phosphorus, and iron. Immediately after tapping, the sap contains relatively low microbial populations; however, naturally occurring beneficial microorganisms rapidly colonize the nutrient-rich medium, initiating spontaneous fermentation under ambient tropical conditions. During fermentation, microbial metabolism produces organic acids, vitamins, exopolysaccharides, antimicrobial peptides, and other bioactive compounds that contribute to the beverage's functional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microbial ecology of Palmyra sap is remarkably diverse. Previous investigations have identified numerous lactic acid bacteria, including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Lactobacillus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Lacticaseibacillus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Leuconostoc</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Pediococcus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Lactococcus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Weissella</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Enterococcus</w:t>
      </w:r>
      <w:r>
        <w:rPr>
          <w:rStyle w:val="Hyperlink.1"/>
          <w:rtl w:val="0"/>
          <w:lang w:val="en-US"/>
        </w:rPr>
        <w:t xml:space="preserve"> species, along with probiotic yeasts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Saccharomyces cerevisiae</w:t>
      </w:r>
      <w:r>
        <w:rPr>
          <w:rStyle w:val="Hyperlink.1"/>
          <w:rtl w:val="0"/>
          <w:lang w:val="en-US"/>
        </w:rPr>
        <w:t xml:space="preserve"> and beneficial spore-forming bacteria including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Bacillus</w:t>
      </w:r>
      <w:r>
        <w:rPr>
          <w:rStyle w:val="Hyperlink.1"/>
          <w:rtl w:val="0"/>
          <w:lang w:val="en-US"/>
        </w:rPr>
        <w:t xml:space="preserve"> species. These microorganisms participate in natural fermentation while simultaneously improving the nutritional quality, safety, flavor, and shelf life of the sap. Many isolates demonstrate probiotic characteristics, including acid resistance, bile salt tolerance, antimicrobial activity against pathogens, antioxidant potential, cholesterol-lowering ability, and immunomodulatory effects, making them promising candidates for functional food and nutraceutical applications.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functional potential of Palmyra sap extends beyond its microbial composition. The beverage contains natural antioxidants, phenolic compounds, flavonoids, vitamins, amino acids, and minerals that may synergistically interact with probiotic microorganisms to promote human health. This interaction between probiotic microbes and plant-derived bioactive compounds creates opportunities for developing synbiotic beverages, where probiotics and naturally occurring prebiotic substrates coexist to improve microbial survival and efficacy.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Advances in molecular microbiology, high-throughput sequencing, metagenomics, and metabolomics have significantly enhanced our understanding of microbial communities associated with traditional fermented foods. These techniques allow comprehensive identification of previously unculturable microorganisms, characterization of microbial succession during fermentation, and evaluation of metabolic pathways responsible for probiotic functions. Such knowledge facilitates the selection of superior probiotic strains suitable for commercial production and industrial application. In recent years, Palmyra sap-derived microorganisms have also gained attention for applications beyond human nutrition. Beneficial isolates have demonstrated potential as probiotics in aquaculture, livestock production, food preservation, enzyme production, and biotechnological processes. Their ability to produce antimicrobial metabolites, digestive enzymes, exopolysaccharides, and vitamins offers promising opportunities for sustainable agriculture and food biotechnology.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Despite these advantages, several challenges remain. Rapid spontaneous fermentation limits the shelf life of fresh sap, and variations in tapping practices, climatic conditions, geographical location, and storage methods influence microbial composition. Furthermore, comprehensive safety assessments, clinical validation, and standardized processing methods are necessary before Palmyra-derived probiotic cultures can be widely commercialized. Therefore, this review aims to summarize current knowledge regarding the probiotic microbiota of Palmyra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inflorescence sap, with emphasis on microbial diversity, probiotic characteristics, health-promoting properties, and functional food applications. The review also discusses modern approaches for microbial identification, highlights industrial prospects, and outlines future research directions to facilitate the development of scientifically validated Palmyra-based probiotic products.</w:t>
      </w:r>
    </w:p>
    <w:p>
      <w:pPr>
        <w:pStyle w:val="Normal.0"/>
        <w:spacing w:after="0" w:line="360" w:lineRule="auto"/>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w:t>
        <w:tab/>
        <w:t xml:space="preserve">BOTANICAL DESCRIPTION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BORASSUS FLABELLIFER</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xml:space="preserve"> L., commonly known as the Palmyra palm, is one of the most important multipurpose palm species belonging to the family Arecaceae. The genus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w:t>
      </w:r>
      <w:r>
        <w:rPr>
          <w:rStyle w:val="Hyperlink.1"/>
          <w:rtl w:val="0"/>
          <w:lang w:val="en-US"/>
        </w:rPr>
        <w:t xml:space="preserve"> comprises several species distributed across tropical Africa and Asia, of which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 flabellifer</w:t>
      </w:r>
      <w:r>
        <w:rPr>
          <w:rStyle w:val="Hyperlink.1"/>
          <w:rtl w:val="0"/>
          <w:lang w:val="en-US"/>
        </w:rPr>
        <w:t xml:space="preserve"> is the predominant species in South and Southeast Asia. The species has been cultivated for thousands of years owing to its remarkable adaptability, longevity, and economic importance. It is widely distributed in India, Sri Lanka, Bangladesh, Myanmar, Thailand, Cambodia, Indonesia, Malaysia, and several African countries, where it serves as a valuable source of food, beverages, medicine, timber, fiber, and numerous industrial raw materials (Morton, 1988; Bayton, 2007). The palm is popularly known as the "Tree of Life" because nearly every component of the tree can be utilized for human welfare, making it one of the most sustainable tree species in tropical agriculture (Jansz et al., 2002).</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Palmyra palm is a slow-growing, perennial, dioecious monocot capable of surviving for more than a century under favorable environmental conditions. Mature trees generally attain heights of 20</w:t>
      </w:r>
      <w:r>
        <w:rPr>
          <w:rStyle w:val="Hyperlink.1"/>
          <w:rtl w:val="0"/>
          <w:lang w:val="en-US"/>
        </w:rPr>
        <w:t>–</w:t>
      </w:r>
      <w:r>
        <w:rPr>
          <w:rStyle w:val="Hyperlink.1"/>
          <w:rtl w:val="0"/>
          <w:lang w:val="en-US"/>
        </w:rPr>
        <w:t>30 m with straight cylindrical trunks measuring 30</w:t>
      </w:r>
      <w:r>
        <w:rPr>
          <w:rStyle w:val="Hyperlink.1"/>
          <w:rtl w:val="0"/>
          <w:lang w:val="en-US"/>
        </w:rPr>
        <w:t>–</w:t>
      </w:r>
      <w:r>
        <w:rPr>
          <w:rStyle w:val="Hyperlink.1"/>
          <w:rtl w:val="0"/>
          <w:lang w:val="en-US"/>
        </w:rPr>
        <w:t xml:space="preserve">60 cm in diameter. The trunk is characterized by distinct leaf scars formed by the shedding of mature leaves and contains densely packed vascular bundles embedded within fibrous tissues, providing exceptional mechanical strength and durability. Unlike many fruit trees that require intensive management,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 flabellifer</w:t>
      </w:r>
      <w:r>
        <w:rPr>
          <w:rStyle w:val="Hyperlink.1"/>
          <w:rtl w:val="0"/>
          <w:lang w:val="en-US"/>
        </w:rPr>
        <w:t xml:space="preserve"> thrives under minimal agronomic inputs and tolerates prolonged drought, high temperatures, saline soils, and nutrient-deficient environments, making it particularly suitable for cultivation in semi-arid and coastal ecosystems (Orwa et al., 2009). The extensive root system penetrates deeply into the soil profile, enabling efficient water absorption during dry seasons while contributing to soil stabilization and erosion control.</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crown of the Palmyra palm consists of approximately 25</w:t>
      </w:r>
      <w:r>
        <w:rPr>
          <w:rStyle w:val="Hyperlink.1"/>
          <w:rtl w:val="0"/>
          <w:lang w:val="en-US"/>
        </w:rPr>
        <w:t>–</w:t>
      </w:r>
      <w:r>
        <w:rPr>
          <w:rStyle w:val="Hyperlink.1"/>
          <w:rtl w:val="0"/>
          <w:lang w:val="en-US"/>
        </w:rPr>
        <w:t>40 large costapalmate (fan-shaped) leaves arranged in a circular canopy. Individual leaves may reach 2</w:t>
      </w:r>
      <w:r>
        <w:rPr>
          <w:rStyle w:val="Hyperlink.1"/>
          <w:rtl w:val="0"/>
          <w:lang w:val="en-US"/>
        </w:rPr>
        <w:t>–</w:t>
      </w:r>
      <w:r>
        <w:rPr>
          <w:rStyle w:val="Hyperlink.1"/>
          <w:rtl w:val="0"/>
          <w:lang w:val="en-US"/>
        </w:rPr>
        <w:t>3 m in diameter and are supported by strong petioles extending up to 2 m in length. The leaf margins are armed with sharp black spines that protect the palm against herbivorous animals. A thick waxy cuticle covering the leaf surface reduces transpiration and contributes significantly to the remarkable drought resistance exhibited by the species. Owing to their durability and flexibility, mature leaves have traditionally been used for roofing, basketry, mats, fans, handicrafts, and the preparation of palm-leaf manuscripts, which preserved historical and religious literature throughout South Asia for centuries (Jansz et al., 2002).</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As a dioecious species, male and female flowers are produced on separate trees. Male inflorescences are long, slender, and catkin-like, bearing numerous small flowers enclosed within leathery spathes, whereas female inflorescences are shorter and contain relatively fewer but considerably larger flowers. Pollination occurs primarily through wind and insects, ultimately leading to the development of large spherical fruits that generally contain one to three seeds. The immature gelatinous endosperm, commonly known as "ice apple," is highly valued as a refreshing summer fruit because of its high water content, natural sugars, vitamins, and minerals. During maturation, the fruit pulp develops an intense yellow-orange color owing to the accumulation of carotenoids, polyphenols, and dietary fiber, which contribute to its nutritional and antioxidant properties (Morton, 1988).</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Among the numerous products derived from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 flabellifer</w:t>
      </w:r>
      <w:r>
        <w:rPr>
          <w:rStyle w:val="Hyperlink.1"/>
          <w:rtl w:val="0"/>
          <w:lang w:val="en-US"/>
        </w:rPr>
        <w:t>, the fresh inflorescence sap, commonly known as Neera, is considered one of the most valuable because of its exceptional nutritional composition and versatility. The sap is obtained by tapping unopened male or female inflorescences under hygienic conditions and is characterized by a pleasant sweet taste resulting from its high sucrose concentration. Freshly collected Neera contains glucose, fructose, amino acids, proteins, vitamin C, B-complex vitamins, potassium, calcium, phosphorus, magnesium, iron, zinc, organic acids, phenolic compounds, and natural antioxidants that collectively contribute to its nutritional value (Hebbar et al., 2015). These nutrients also provide an ideal ecological niche for the proliferation of beneficial microorganisms, particularly lactic acid bacteria and probiotic yeasts, which initiate spontaneous fermentation if the sap is not refrigerated immediately after collection.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remarkable adaptability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 flabellifer</w:t>
      </w:r>
      <w:r>
        <w:rPr>
          <w:rStyle w:val="Hyperlink.1"/>
          <w:rtl w:val="0"/>
          <w:lang w:val="en-US"/>
        </w:rPr>
        <w:t xml:space="preserve"> has enabled its cultivation across diverse agroecological regions. The palm performs well under annual rainfall ranging from 500 to 1500 mm and temperatures between 25 and 40</w:t>
      </w:r>
      <w:r>
        <w:rPr>
          <w:rStyle w:val="Hyperlink.1"/>
          <w:rtl w:val="0"/>
          <w:lang w:val="en-US"/>
        </w:rPr>
        <w:t>°</w:t>
      </w:r>
      <w:r>
        <w:rPr>
          <w:rStyle w:val="Hyperlink.1"/>
          <w:rtl w:val="0"/>
          <w:lang w:val="en-US"/>
        </w:rPr>
        <w:t>C. It tolerates alkaline and saline soils better than many economically important fruit crops and survives prolonged drought through efficient water conservation mechanisms. Consequently, Palmyra plantations contribute substantially to climate-resilient agriculture, sustainable land use, and rural livelihoods in tropical regions. In India, particularly in Tamil Nadu, Andhra Pradesh, Odisha, West Bengal, and Kerala, millions of rural households depend on Palmyra-based industries for employment and income generation through the production of Neera, palm jaggery, palm sugar, handicrafts, edible fruits, and timber (FAO, 1998). Similar socioeconomic importance has been documented in Sri Lanka, Bangladesh, Cambodia, and Indonesia, where traditional knowledge associated with Palmyra utilization has been transmitted across generations.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Beyond its economic significance,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 flabellifer</w:t>
      </w:r>
      <w:r>
        <w:rPr>
          <w:rStyle w:val="Hyperlink.1"/>
          <w:rtl w:val="0"/>
          <w:lang w:val="en-US"/>
        </w:rPr>
        <w:t xml:space="preserve"> has attracted increasing scientific interest because of its diverse phytochemical constituents and medicinal properties. Various plant parts contain flavonoids, phenolic acids, tannins, saponins, steroids, carotenoids, polysaccharides, and dietary fibers exhibiting antioxidant, antimicrobial, anti-inflammatory, antidiabetic, hepatoprotective, and immunomodulatory activities (Saraswathi et al., 2016). Fresh Palmyra sap, in particular, has emerged as a promising natural functional beverage because it combines abundant nutrients with indigenous probiotic microorganisms capable of promoting gut health and producing valuable bioactive metabolites. Recent advances in food microbiology have further demonstrated that naturally occurring microbial communities within Palmyra sap may serve as an important source of novel probiotic strains suitable for the development of plant-based functional foods, fermented beverages, nutraceuticals, and biopharmaceutical applications (Marco et al., 2021; Tamang et al., 2016). Consequently, understanding the botanical characteristics and ecological adaptations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 flabellifer</w:t>
      </w:r>
      <w:r>
        <w:rPr>
          <w:rStyle w:val="Hyperlink.1"/>
          <w:rtl w:val="0"/>
          <w:lang w:val="en-US"/>
        </w:rPr>
        <w:t xml:space="preserve"> is fundamental for appreciating the biological processes governing sap production, microbial colonization, and the functional attributes that underpin its growing importance in probiotic research.</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 </w:t>
        <w:tab/>
        <w:t>PALMYRA INFLORESCENCE SAP (NEERA): COLLECTION, NUTRITIONAL COMPOSITION AND BIOACTIVE COMPOUNDS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Palmyra inflorescence sap (Neera) is a naturally sweet, non-alcoholic beverage collected from the unopened male or female inflorescences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Fresh sap is obtained by tapping the inflorescence under hygienic conditions, preferably during the early morning hours, to minimize spontaneous fermentation. Owing to its high sugar content and nutrient-rich composition, the sap rapidly undergoes microbial fermentation at ambient temperatures unless immediately cooled or pasteurized. Fresh Neera contains sucrose as the major carbohydrate along with glucose and fructose, providing an excellent energy source for indigenous microorganisms. It also contains essential amino acids, proteins, vitamins (vitamin C and B-complex), minerals such as potassium, calcium, magnesium, iron, zinc, and phosphorus, as well as organic acids and dietary antioxidants. Phytochemical studies have identified phenolic compounds, flavonoids, carotenoids, and other antioxidant metabolites that contribute to its free radical scavenging activity and health-promoting potential. The combination of nutrients and bioactive compounds makes Palmyra sap an ideal natural substrate for probiotic microorganisms and an attractive ingredient for functional food development. However, maintaining sap quality through proper collection, preservation, and processing remains essential to retain its nutritional and microbial integrity (Jansz et al., 2002; Hebbar et al., 2015; Tamang et al., 2016; Marco et al., 2021).</w:t>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3711575" cy="5033646"/>
            <wp:effectExtent l="0" t="0" r="0" b="0"/>
            <wp:docPr id="1073741895" name="officeArt object" descr="image.png"/>
            <wp:cNvGraphicFramePr/>
            <a:graphic xmlns:a="http://schemas.openxmlformats.org/drawingml/2006/main">
              <a:graphicData uri="http://schemas.openxmlformats.org/drawingml/2006/picture">
                <pic:pic xmlns:pic="http://schemas.openxmlformats.org/drawingml/2006/picture">
                  <pic:nvPicPr>
                    <pic:cNvPr id="1073741895" name="image.png" descr="image.png"/>
                    <pic:cNvPicPr>
                      <a:picLocks noChangeAspect="1"/>
                    </pic:cNvPicPr>
                  </pic:nvPicPr>
                  <pic:blipFill>
                    <a:blip r:embed="rId66">
                      <a:extLst/>
                    </a:blip>
                    <a:stretch>
                      <a:fillRect/>
                    </a:stretch>
                  </pic:blipFill>
                  <pic:spPr>
                    <a:xfrm>
                      <a:off x="0" y="0"/>
                      <a:ext cx="3711575" cy="5033646"/>
                    </a:xfrm>
                    <a:prstGeom prst="rect">
                      <a:avLst/>
                    </a:prstGeom>
                    <a:ln w="12700" cap="flat">
                      <a:noFill/>
                      <a:miter lim="400000"/>
                    </a:ln>
                    <a:effectLst/>
                  </pic:spPr>
                </pic:pic>
              </a:graphicData>
            </a:graphic>
          </wp:inline>
        </w:drawing>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5. </w:t>
        <w:tab/>
        <w:t>Microbial Ecology of Palmyra Inflorescence Sap</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Fresh Palmyra sap supports a dynamic microbial ecosystem because of its abundance of fermentable sugars, minerals, and growth-promoting factors. Shortly after tapping, naturally occurring microorganisms originating from the inflorescence, surrounding environment, tapping equipment, and insects colonize the sap. The dominant microbial groups include lactic acid bacteria, acetic acid bacteria, beneficial yeasts, and selected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Bacillus</w:t>
      </w:r>
      <w:r>
        <w:rPr>
          <w:rStyle w:val="Hyperlink.1"/>
          <w:rtl w:val="0"/>
          <w:lang w:val="en-US"/>
        </w:rPr>
        <w:t xml:space="preserve"> species. During spontaneous fermentation, these microorganisms metabolize sugars into lactic acid, ethanol, acetic acid, carbon dioxide, and numerous volatile flavor compounds, resulting in progressive changes in pH, aroma, and nutritional quality. Environmental conditions, tapping practices, season, geographical location, and storage temperature strongly influence microbial diversity and succession. Modern molecular techniques such as 16S rRNA sequencing and metagenomics have revealed a greater microbial diversity than previously recognized using conventional culture methods. Understanding the microbial ecology of Palmyra sap is fundamental for selecting beneficial probiotic strains and developing standardized fermentation processes for functional food applications (Tamang et al., 2016; Marco et al., 2021; Ray &amp; Didier, 2014).</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6. </w:t>
        <w:tab/>
        <w:t>Beneficial Probiotic Microorganisms in Palmyra Inflorescence Sap</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Palmyra inflorescence sap harbors several beneficial microorganisms with probiotic potential. Lactic acid bacteria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Lactobacillus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Lacticaseibacillus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Leuconostoc</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Pediococcus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Lactococcus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Weissella</w:t>
      </w:r>
      <w:r>
        <w:rPr>
          <w:rStyle w:val="Hyperlink.1"/>
          <w:rtl w:val="0"/>
          <w:lang w:val="en-US"/>
        </w:rPr>
        <w:t xml:space="preserve"> are commonly associated with fresh and mildly fermented sap. Beneficial yeasts including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Saccharomyces cerevisiae</w:t>
      </w:r>
      <w:r>
        <w:rPr>
          <w:rStyle w:val="Hyperlink.1"/>
          <w:rtl w:val="0"/>
          <w:lang w:val="en-US"/>
        </w:rPr>
        <w:t xml:space="preserve"> and selected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Bacillus</w:t>
      </w:r>
      <w:r>
        <w:rPr>
          <w:rStyle w:val="Hyperlink.1"/>
          <w:rtl w:val="0"/>
          <w:lang w:val="en-US"/>
        </w:rPr>
        <w:t xml:space="preserve"> species have also been isolated from Palmyra sap. These microorganisms produce organic acids, bacteriocins, vitamins, digestive enzymes, exopolysaccharides, and antioxidant metabolites that suppress pathogenic bacteria while enhancing intestinal microbial balance. Many isolates exhibit desirable probiotic characteristics such as acid and bile tolerance, antimicrobial activity, cholesterol assimilation, antioxidant capacity, and immunomodulatory properties. Consequently, Palmyra sap represents a promising natural reservoir of plant-derived probiotics for functional beverages, dietary supplements, and nutraceutical formulations (Hill et al., 2014; Marco et al., 2021; Tamang et al., 2016).</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7. </w:t>
        <w:tab/>
        <w:t>Isolation and Characterization of Probiotic Microorganisms</w:t>
      </w:r>
    </w:p>
    <w:p>
      <w:pPr>
        <w:pStyle w:val="Normal.0"/>
        <w:spacing w:after="0" w:line="360" w:lineRule="auto"/>
        <w:ind w:firstLine="720"/>
        <w:jc w:val="both"/>
        <w:rPr>
          <w:rStyle w:val="Hyperlink.1"/>
        </w:rPr>
      </w:pPr>
      <w:r>
        <w:rPr>
          <w:rStyle w:val="Hyperlink.1"/>
          <w:rtl w:val="0"/>
          <w:lang w:val="en-US"/>
        </w:rPr>
        <w:t>Isolation of probiotic microorganisms from Palmyra sap generally begins with aseptic sample collection followed by serial dilution and cultivation on selective media such as MRS agar for lactic acid bacteria and yeast extract media for probiotic yeasts. Purified isolates are characterized using morphological, physiological, biochemical, and molecular techniques. Molecular identification based on 16S rRNA gene sequencing for bacteria and ITS sequencing for yeasts provides accurate taxonomic classification. Candidate probiotic strains are further evaluated for acid tolerance, bile salt resistance, antimicrobial activity, antibiotic susceptibility, cell surface hydrophobicity, auto-aggregation, co-aggregation, and adhesion to intestinal epithelial cells. Whole-genome sequencing and metagenomic approaches have recently improved the understanding of probiotic diversity and functional genes associated with Palmyra sap microbiota, facilitating the selection of superior strains for commercial applications (Hill et al., 2014; Tamang et al., 2016).</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8. Functional Properties of Palmyra Sap-Derived Probiotics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Probiotic microorganisms isolated from Palmyra sap possess several functional characteristics that support their application in functional foods. These microorganisms survive acidic gastric conditions and bile salts, enabling successful colonization of the gastrointestinal tract. They produce lactic acid, bacteriocins, hydrogen peroxide, digestive enzymes, and exopolysaccharides that inhibit foodborne pathogens and improve intestinal health. Many isolates also exhibit antioxidant activity by scavenging reactive oxygen species and enhancing host antioxidant defenses. Additional functional attributes include cholesterol reduction, vitamin synthesis, immune modulation, anti-inflammatory activity, and enhancement of gut microbial diversity. Such multifunctional properties make Palmyra-derived probiotics promising candidates for developing plant-based probiotic beverages and nutraceutical products with significant health benefits (Marco et al., 2021; Gibson et al., 2017; Hill et al., 2014).</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9. </w:t>
        <w:tab/>
        <w:t>Health Benefits of Palmyra Sap-Derived Probiotics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Consumption of probiotics derived from Palmyra sap may provide numerous health benefits by improving gut microbiota composition and strengthening host immunity. These beneficial microorganisms enhance intestinal barrier function, inhibit colonization by pathogenic bacteria, and improve nutrient absorption. Several probiotic strains produce antimicrobial peptides, short-chain fatty acids, and bioactive metabolites that contribute to gastrointestinal health and reduce inflammation. Emerging evidence also suggests potential roles in cholesterol reduction, glycemic control, antioxidant defense, immune regulation, and protection against metabolic disorders. The synergistic interaction between probiotic microorganisms and naturally occurring phytochemicals in Palmyra sap further enhances its value as a functional beverage. Although additional clinical studies are needed, existing evidence supports the incorporation of Palmyra-derived probiotics into health-promoting dietary interventions (Hill et al., 2014; Marco et al., 2021; Gibson et al., 2017).</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10. </w:t>
        <w:tab/>
        <w:t>Functional Food and Nutraceutical Applications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growing demand for plant-based functional foods has stimulated interest in Palmyra sap as a natural source of probiotic microorganisms and bioactive compounds. Fresh Neera and its probiotic isolates can be incorporated into fermented beverages, synbiotic drinks, dietary supplements, freeze-dried probiotic powders, and functional food formulations. These microorganisms also possess potential applications in dairy alternatives, aquaculture probiotics, livestock nutrition, food preservation, and biopharmaceutical production. Advances in fermentation technology, encapsulation, and strain selection have improved probiotic stability and shelf life, enhancing commercial feasibility. Standardization of sap collection, quality control, and regulatory approval will further support the development of Palmyra-based functional foods and nutraceuticals with broad consumer acceptance (Marco et al., 2021; Tamang et al., 2016).</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11. </w:t>
        <w:tab/>
        <w:t>Challenges, Research Gaps and Future Perspectives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Despite its considerable potential, several challenges limit the commercial utilization of Palmyra sap-derived probiotics. Rapid spontaneous fermentation, seasonal availability, lack of standardized tapping procedures, and limited shelf life affect product quality and consistency. Comprehensive genomic characterization, safety evaluation, and human clinical trials remain limited. Future research should focus on metagenomics, metabolomics, strain improvement, encapsulation technologies, and large-scale industrial production to develop scientifically validated probiotic products from Palmyra sap. Collaborative research involving microbiologists, food technologists, and industry partners will facilitate commercialization and global acceptance.</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ind w:firstLine="720"/>
        <w:jc w:val="both"/>
        <w:rPr>
          <w:rStyle w:val="Hyperlink.1"/>
        </w:rPr>
      </w:pPr>
      <w:r>
        <w:rPr>
          <w:rStyle w:val="Hyperlink.1"/>
          <w:rtl w:val="0"/>
          <w:lang w:val="en-US"/>
        </w:rPr>
        <w:t>Palmyra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inflorescence sap is a nutrient-rich natural beverage that supports a diverse community of beneficial probiotic microorganisms. Its unique combination of carbohydrates, vitamins, minerals, phytochemicals, and indigenous microbiota makes it an excellent candidate for functional food and nutraceutical applications. Advances in microbial characterization and fermentation technology have highlighted the potential of Palmyra sap-derived probiotics to promote gut health, enhance immunity, and produce valuable bioactive metabolites. Further multidisciplinary research and standardized processing methods will facilitate the development of safe, effective, and commercially viable Palmyra-based probiotic products, contributing to sustainable nutrition and future functional food innovation.</w:t>
      </w:r>
    </w:p>
    <w:p>
      <w:pPr>
        <w:pStyle w:val="Normal.0"/>
        <w:spacing w:after="0" w:line="360" w:lineRule="auto"/>
        <w:ind w:firstLine="720"/>
        <w:jc w:val="both"/>
        <w:rPr>
          <w:rStyle w:val="Hyperlink.1"/>
        </w:rPr>
      </w:pPr>
    </w:p>
    <w:p>
      <w:pPr>
        <w:pStyle w:val="Normal.0"/>
        <w:spacing w:after="0" w:line="360" w:lineRule="auto"/>
        <w:ind w:firstLine="720"/>
        <w:jc w:val="both"/>
        <w:rPr>
          <w:rStyle w:val="Hyperlink.1"/>
        </w:rPr>
      </w:pP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outlineLvl w:val="2"/>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Bayton, R</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P.</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2007. </w:t>
      </w:r>
      <w:r>
        <w:rPr>
          <w:rStyle w:val="Hyperlink.1"/>
          <w:rtl w:val="0"/>
          <w:lang w:val="en-US"/>
        </w:rPr>
        <w:t xml:space="preserve">A revision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w:t>
      </w:r>
      <w:r>
        <w:rPr>
          <w:rStyle w:val="Hyperlink.1"/>
          <w:rtl w:val="0"/>
          <w:lang w:val="en-US"/>
        </w:rPr>
        <w:t xml:space="preserve"> (Arecaceae).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Kew Bulletin, 62</w:t>
      </w:r>
      <w:r>
        <w:rPr>
          <w:rStyle w:val="Hyperlink.1"/>
          <w:rtl w:val="0"/>
          <w:lang w:val="en-US"/>
        </w:rPr>
        <w:t>(4), 561</w:t>
      </w:r>
      <w:r>
        <w:rPr>
          <w:rStyle w:val="Hyperlink.1"/>
          <w:rtl w:val="0"/>
          <w:lang w:val="en-US"/>
        </w:rPr>
        <w:t>–</w:t>
      </w:r>
      <w:r>
        <w:rPr>
          <w:rStyle w:val="Hyperlink.1"/>
          <w:rtl w:val="0"/>
          <w:lang w:val="en-US"/>
        </w:rPr>
        <w:t xml:space="preserve">589. Food and Agriculture Organization (FAO). (1998). </w:t>
      </w:r>
      <w:r>
        <w:rPr>
          <w:rStyle w:val="None"/>
          <w:rFonts w:ascii="Times New Roman" w:hAnsi="Times New Roman"/>
          <w:kern w:val="0"/>
          <w:sz w:val="24"/>
          <w:szCs w:val="24"/>
          <w:rtl w:val="0"/>
          <w:lang w:val="en-US"/>
        </w:rPr>
        <w:t>Non-wood forest products: Palms and palm products</w:t>
      </w:r>
      <w:r>
        <w:rPr>
          <w:rStyle w:val="None"/>
          <w:rFonts w:ascii="Times New Roman" w:hAnsi="Times New Roman"/>
          <w:kern w:val="0"/>
          <w:sz w:val="24"/>
          <w:szCs w:val="24"/>
          <w:rtl w:val="0"/>
          <w:lang w:val="en-US"/>
        </w:rPr>
        <w:t>.</w:t>
      </w:r>
      <w:r>
        <w:rPr>
          <w:rStyle w:val="Hyperlink.1"/>
          <w:rtl w:val="0"/>
          <w:lang w:val="en-US"/>
        </w:rPr>
        <w:t xml:space="preserve"> </w:t>
      </w:r>
      <w:r>
        <w:rPr>
          <w:rStyle w:val="None"/>
          <w:rFonts w:ascii="Times New Roman" w:hAnsi="Times New Roman"/>
          <w:i w:val="1"/>
          <w:iCs w:val="1"/>
          <w:kern w:val="0"/>
          <w:sz w:val="24"/>
          <w:szCs w:val="24"/>
          <w:rtl w:val="0"/>
          <w:lang w:val="en-US"/>
        </w:rPr>
        <w:t>Food and Agriculture Organization of the United Nation</w:t>
      </w:r>
      <w:r>
        <w:rPr>
          <w:rStyle w:val="Hyperlink.1"/>
          <w:rtl w:val="0"/>
          <w:lang w:val="en-US"/>
        </w:rPr>
        <w:t>s, Rome.</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Gibson, G. R., Hutkins, R., Sanders, M. E., Prescott, S. L., Reimer, R. A., Salminen, S. J., Scott, K., Stanton, C., Swanson, K. S., Cani, P. D., Verbeke, K., &amp; Reid, G.</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2017. </w:t>
      </w:r>
      <w:r>
        <w:rPr>
          <w:rStyle w:val="Hyperlink.1"/>
          <w:rtl w:val="0"/>
          <w:lang w:val="en-US"/>
        </w:rPr>
        <w:t xml:space="preserve">The International Scientific Association for Probiotics and Prebiotics (ISAPP) consensus statement on the definition and scope of prebiotics.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Nature Reviews Gastroenterology &amp; Hepatology, 14</w:t>
      </w:r>
      <w:r>
        <w:rPr>
          <w:rStyle w:val="Hyperlink.1"/>
          <w:rtl w:val="0"/>
          <w:lang w:val="en-US"/>
        </w:rPr>
        <w:t>(8), 491</w:t>
      </w:r>
      <w:r>
        <w:rPr>
          <w:rStyle w:val="Hyperlink.1"/>
          <w:rtl w:val="0"/>
          <w:lang w:val="en-US"/>
        </w:rPr>
        <w:t>–</w:t>
      </w:r>
      <w:r>
        <w:rPr>
          <w:rStyle w:val="Hyperlink.1"/>
          <w:rtl w:val="0"/>
          <w:lang w:val="en-US"/>
        </w:rPr>
        <w:t xml:space="preserve">502. </w:t>
      </w:r>
      <w:r>
        <w:rPr>
          <w:rStyle w:val="Hyperlink.4"/>
        </w:rPr>
        <w:fldChar w:fldCharType="begin" w:fldLock="0"/>
      </w:r>
      <w:r>
        <w:rPr>
          <w:rStyle w:val="Hyperlink.4"/>
        </w:rPr>
        <w:instrText xml:space="preserve"> HYPERLINK "https://doi.org/10.1038/nrgastro.2017.75"</w:instrText>
      </w:r>
      <w:r>
        <w:rPr>
          <w:rStyle w:val="Hyperlink.4"/>
        </w:rPr>
        <w:fldChar w:fldCharType="separate" w:fldLock="0"/>
      </w:r>
      <w:r>
        <w:rPr>
          <w:rStyle w:val="Hyperlink.4"/>
          <w:rtl w:val="0"/>
          <w:lang w:val="en-US"/>
        </w:rPr>
        <w:t>https:/ /doi.or g/10.1038 /nrgastro. 2017.75</w:t>
      </w:r>
      <w:r>
        <w:rPr/>
        <w:fldChar w:fldCharType="end" w:fldLock="0"/>
      </w:r>
      <w:r>
        <w:rPr>
          <w:rStyle w:val="Hyperlink.1"/>
          <w:rtl w:val="0"/>
          <w:lang w:val="en-US"/>
        </w:rPr>
        <w:t xml:space="preserve"> (</w:t>
      </w:r>
      <w:r>
        <w:rPr>
          <w:rStyle w:val="Hyperlink.4"/>
        </w:rPr>
        <w:fldChar w:fldCharType="begin" w:fldLock="0"/>
      </w:r>
      <w:r>
        <w:rPr>
          <w:rStyle w:val="Hyperlink.4"/>
        </w:rPr>
        <w:instrText xml:space="preserve"> HYPERLINK "https://www.frontiersin.org/journals/microbiology/articles/10.3389/fmicb.2021.812536/full?utm_source=chatgpt.com"</w:instrText>
      </w:r>
      <w:r>
        <w:rPr>
          <w:rStyle w:val="Hyperlink.4"/>
        </w:rPr>
        <w:fldChar w:fldCharType="separate" w:fldLock="0"/>
      </w:r>
      <w:r>
        <w:rPr>
          <w:rStyle w:val="Hyperlink.4"/>
          <w:rtl w:val="0"/>
          <w:lang w:val="en-US"/>
        </w:rPr>
        <w:t>Frontiers</w:t>
      </w:r>
      <w:r>
        <w:rPr/>
        <w:fldChar w:fldCharType="end" w:fldLock="0"/>
      </w:r>
      <w:r>
        <w:rPr>
          <w:rStyle w:val="Hyperlink.1"/>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Hebbar, K. B., Arivalagan, M., Manikantan, M. R., Mathew, A. C., Thamban, C., Thomas, G. V.,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Chowdappa, P.</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2015. </w:t>
      </w:r>
      <w:r>
        <w:rPr>
          <w:rStyle w:val="Hyperlink.1"/>
          <w:rtl w:val="0"/>
          <w:lang w:val="en-US"/>
        </w:rPr>
        <w:t>Coconut inflorescence sap and its value addition as sugar</w:t>
      </w:r>
      <w:r>
        <w:rPr>
          <w:rStyle w:val="Hyperlink.1"/>
          <w:rtl w:val="0"/>
          <w:lang w:val="en-US"/>
        </w:rPr>
        <w:t>—</w:t>
      </w:r>
      <w:r>
        <w:rPr>
          <w:rStyle w:val="Hyperlink.1"/>
          <w:rtl w:val="0"/>
          <w:lang w:val="en-US"/>
        </w:rPr>
        <w:t xml:space="preserve">Collection techniques, yield, properties and market perspective.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Current Science, 109</w:t>
      </w:r>
      <w:r>
        <w:rPr>
          <w:rStyle w:val="Hyperlink.1"/>
          <w:rtl w:val="0"/>
          <w:lang w:val="en-US"/>
        </w:rPr>
        <w:t>(8), 1411</w:t>
      </w:r>
      <w:r>
        <w:rPr>
          <w:rStyle w:val="Hyperlink.1"/>
          <w:rtl w:val="0"/>
          <w:lang w:val="en-US"/>
        </w:rPr>
        <w:t>–</w:t>
      </w:r>
      <w:r>
        <w:rPr>
          <w:rStyle w:val="Hyperlink.1"/>
          <w:rtl w:val="0"/>
          <w:lang w:val="en-US"/>
        </w:rPr>
        <w:t>1417.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Hill, C., Guarner, F., Reid, G., Gibson, G. R., Merenstein, D. J., Pot, B., Morelli, L., Canani, R. B., Flint, H. J., Salminen, S., Calder, P. C.,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Sanders, M. E.</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2014.</w:t>
      </w:r>
      <w:r>
        <w:rPr>
          <w:rStyle w:val="Hyperlink.1"/>
          <w:rtl w:val="0"/>
          <w:lang w:val="en-US"/>
        </w:rPr>
        <w:t xml:space="preserve"> Expert consensus document: The International Scientific Association for Probiotics and Prebiotics consensus statement on the scope and appropriate use of the term probiotic.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Nature Reviews Gastroenterology &amp; Hepatology, 11</w:t>
      </w:r>
      <w:r>
        <w:rPr>
          <w:rStyle w:val="Hyperlink.1"/>
          <w:rtl w:val="0"/>
          <w:lang w:val="en-US"/>
        </w:rPr>
        <w:t>(8), 506</w:t>
      </w:r>
      <w:r>
        <w:rPr>
          <w:rStyle w:val="Hyperlink.1"/>
          <w:rtl w:val="0"/>
          <w:lang w:val="en-US"/>
        </w:rPr>
        <w:t>–</w:t>
      </w:r>
      <w:r>
        <w:rPr>
          <w:rStyle w:val="Hyperlink.1"/>
          <w:rtl w:val="0"/>
          <w:lang w:val="en-US"/>
        </w:rPr>
        <w:t xml:space="preserve">514. </w:t>
      </w:r>
      <w:r>
        <w:rPr>
          <w:rStyle w:val="Hyperlink.4"/>
        </w:rPr>
        <w:fldChar w:fldCharType="begin" w:fldLock="0"/>
      </w:r>
      <w:r>
        <w:rPr>
          <w:rStyle w:val="Hyperlink.4"/>
        </w:rPr>
        <w:instrText xml:space="preserve"> HYPERLINK "https://doi.org/10.1038/nrgastro.2014.66"</w:instrText>
      </w:r>
      <w:r>
        <w:rPr>
          <w:rStyle w:val="Hyperlink.4"/>
        </w:rPr>
        <w:fldChar w:fldCharType="separate" w:fldLock="0"/>
      </w:r>
      <w:r>
        <w:rPr>
          <w:rStyle w:val="Hyperlink.4"/>
          <w:rtl w:val="0"/>
          <w:lang w:val="en-US"/>
        </w:rPr>
        <w:t>https://doi.org/10.1038/nrgastro.2014.66</w:t>
      </w:r>
      <w:r>
        <w:rPr/>
        <w:fldChar w:fldCharType="end" w:fldLock="0"/>
      </w:r>
      <w:r>
        <w:rPr>
          <w:rStyle w:val="Hyperlink.1"/>
          <w:rtl w:val="0"/>
          <w:lang w:val="en-US"/>
        </w:rPr>
        <w:t xml:space="preserve"> (</w:t>
      </w:r>
      <w:r>
        <w:rPr>
          <w:rStyle w:val="Hyperlink.4"/>
        </w:rPr>
        <w:fldChar w:fldCharType="begin" w:fldLock="0"/>
      </w:r>
      <w:r>
        <w:rPr>
          <w:rStyle w:val="Hyperlink.4"/>
        </w:rPr>
        <w:instrText xml:space="preserve"> HYPERLINK "https://www.sciencedirect.com/science/article/pii/S2772502225004986?utm_source=chatgpt.com"</w:instrText>
      </w:r>
      <w:r>
        <w:rPr>
          <w:rStyle w:val="Hyperlink.4"/>
        </w:rPr>
        <w:fldChar w:fldCharType="separate" w:fldLock="0"/>
      </w:r>
      <w:r>
        <w:rPr>
          <w:rStyle w:val="Hyperlink.4"/>
          <w:rtl w:val="0"/>
          <w:lang w:val="en-US"/>
        </w:rPr>
        <w:t>ScienceDirect</w:t>
      </w:r>
      <w:r>
        <w:rPr/>
        <w:fldChar w:fldCharType="end" w:fldLock="0"/>
      </w:r>
      <w:r>
        <w:rPr>
          <w:rStyle w:val="Hyperlink.1"/>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Jansz, E. R., Wickramasekara, N. T.,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Sumuduni, K. A. V.</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2002. </w:t>
      </w:r>
      <w:r>
        <w:rPr>
          <w:rStyle w:val="Hyperlink.1"/>
          <w:rtl w:val="0"/>
          <w:lang w:val="en-US"/>
        </w:rPr>
        <w:t>Uses of Palmyrah palm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the National Science Foundation of Sri Lanka, 30</w:t>
      </w:r>
      <w:r>
        <w:rPr>
          <w:rStyle w:val="Hyperlink.1"/>
          <w:rtl w:val="0"/>
          <w:lang w:val="en-US"/>
        </w:rPr>
        <w:t>(1</w:t>
      </w:r>
      <w:r>
        <w:rPr>
          <w:rStyle w:val="Hyperlink.1"/>
          <w:rtl w:val="0"/>
          <w:lang w:val="en-US"/>
        </w:rPr>
        <w:t>–</w:t>
      </w:r>
      <w:r>
        <w:rPr>
          <w:rStyle w:val="Hyperlink.1"/>
          <w:rtl w:val="0"/>
          <w:lang w:val="en-US"/>
        </w:rPr>
        <w:t>2), 61</w:t>
      </w:r>
      <w:r>
        <w:rPr>
          <w:rStyle w:val="Hyperlink.1"/>
          <w:rtl w:val="0"/>
          <w:lang w:val="en-US"/>
        </w:rPr>
        <w:t>–</w:t>
      </w:r>
      <w:r>
        <w:rPr>
          <w:rStyle w:val="Hyperlink.1"/>
          <w:rtl w:val="0"/>
          <w:lang w:val="en-US"/>
        </w:rPr>
        <w:t>87.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Marco, M. L., Hutkins, R.,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Hill, C., et al.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2021. </w:t>
      </w:r>
      <w:r>
        <w:rPr>
          <w:rStyle w:val="Hyperlink.1"/>
          <w:rtl w:val="0"/>
          <w:lang w:val="en-US"/>
        </w:rPr>
        <w:t xml:space="preserve">Health benefits of fermented foods: Microbiota and beyond.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Nature Reviews Gastroenterology &amp; Hepatology, 18</w:t>
      </w:r>
      <w:r>
        <w:rPr>
          <w:rStyle w:val="Hyperlink.1"/>
          <w:rtl w:val="0"/>
          <w:lang w:val="en-US"/>
        </w:rPr>
        <w:t>(3), 196</w:t>
      </w:r>
      <w:r>
        <w:rPr>
          <w:rStyle w:val="Hyperlink.1"/>
          <w:rtl w:val="0"/>
          <w:lang w:val="en-US"/>
        </w:rPr>
        <w:t>–</w:t>
      </w:r>
      <w:r>
        <w:rPr>
          <w:rStyle w:val="Hyperlink.1"/>
          <w:rtl w:val="0"/>
          <w:lang w:val="en-US"/>
        </w:rPr>
        <w:t>208.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Morton, J. F.</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1988.</w:t>
      </w:r>
      <w:r>
        <w:rPr>
          <w:rStyle w:val="Hyperlink.1"/>
          <w:rtl w:val="0"/>
          <w:lang w:val="en-US"/>
        </w:rPr>
        <w:t xml:space="preserve"> Notes on distribution, propagation, and products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w:t>
      </w:r>
      <w:r>
        <w:rPr>
          <w:rStyle w:val="Hyperlink.1"/>
          <w:rtl w:val="0"/>
          <w:lang w:val="en-US"/>
        </w:rPr>
        <w:t xml:space="preserve"> palms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Arecaceae</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Economic Botany, 42</w:t>
      </w:r>
      <w:r>
        <w:rPr>
          <w:rStyle w:val="Hyperlink.1"/>
          <w:rtl w:val="0"/>
          <w:lang w:val="en-US"/>
        </w:rPr>
        <w:t>(3), 420</w:t>
      </w:r>
      <w:r>
        <w:rPr>
          <w:rStyle w:val="Hyperlink.1"/>
          <w:rtl w:val="0"/>
          <w:lang w:val="en-US"/>
        </w:rPr>
        <w:t>–</w:t>
      </w:r>
      <w:r>
        <w:rPr>
          <w:rStyle w:val="Hyperlink.1"/>
          <w:rtl w:val="0"/>
          <w:lang w:val="en-US"/>
        </w:rPr>
        <w:t>441.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Orwa, C., Mutua, A., Kindt, R., Jamnadass, R.,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Simons, A.</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2009.</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Agroforestree database: A tree reference and selection guide</w:t>
      </w:r>
      <w:r>
        <w:rPr>
          <w:rStyle w:val="Hyperlink.1"/>
          <w:rtl w:val="0"/>
          <w:lang w:val="en-US"/>
        </w:rPr>
        <w:t xml:space="preserve"> (Version 4.0). World Agroforestry Centre (ICRAF).</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Ray, R. C., &amp; Didier, M.</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(Eds.).</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2014.</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Microorganisms and fermentation of traditional foods</w:t>
      </w:r>
      <w:r>
        <w:rPr>
          <w:rStyle w:val="Hyperlink.1"/>
          <w:rtl w:val="0"/>
          <w:lang w:val="en-US"/>
        </w:rPr>
        <w:t>. CRC Press.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Sanders, M. E., Merenstein, D. J., Reid, G., Gibson, G. R.,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Rastall, R. A.</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2019. </w:t>
      </w:r>
      <w:r>
        <w:rPr>
          <w:rStyle w:val="Hyperlink.1"/>
          <w:rtl w:val="0"/>
          <w:lang w:val="en-US"/>
        </w:rPr>
        <w:t xml:space="preserve">Probiotics and prebiotics in intestinal health and disease: From biology to the clinic.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Nature Reviews Gastroenterology &amp; Hepatology, 16</w:t>
      </w:r>
      <w:r>
        <w:rPr>
          <w:rStyle w:val="Hyperlink.1"/>
          <w:rtl w:val="0"/>
          <w:lang w:val="en-US"/>
        </w:rPr>
        <w:t>(10), 605</w:t>
      </w:r>
      <w:r>
        <w:rPr>
          <w:rStyle w:val="Hyperlink.1"/>
          <w:rtl w:val="0"/>
          <w:lang w:val="en-US"/>
        </w:rPr>
        <w:t>–</w:t>
      </w:r>
      <w:r>
        <w:rPr>
          <w:rStyle w:val="Hyperlink.1"/>
          <w:rtl w:val="0"/>
          <w:lang w:val="en-US"/>
        </w:rPr>
        <w:t>616.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Saraswathi, U., Vasantha, S.,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Mohan, V. R.</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2016.</w:t>
      </w:r>
      <w:r>
        <w:rPr>
          <w:rStyle w:val="Hyperlink.1"/>
          <w:rtl w:val="0"/>
          <w:lang w:val="en-US"/>
        </w:rPr>
        <w:t xml:space="preserve"> Phytochemical constituents and medicinal importance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xml:space="preserve">: A review.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International Journal of Pharmaceutical Sciences Review and Research, 38</w:t>
      </w:r>
      <w:r>
        <w:rPr>
          <w:rStyle w:val="Hyperlink.1"/>
          <w:rtl w:val="0"/>
          <w:lang w:val="en-US"/>
        </w:rPr>
        <w:t>(1), 150</w:t>
      </w:r>
      <w:r>
        <w:rPr>
          <w:rStyle w:val="Hyperlink.1"/>
          <w:rtl w:val="0"/>
          <w:lang w:val="en-US"/>
        </w:rPr>
        <w:t>–</w:t>
      </w:r>
      <w:r>
        <w:rPr>
          <w:rStyle w:val="Hyperlink.1"/>
          <w:rtl w:val="0"/>
          <w:lang w:val="en-US"/>
        </w:rPr>
        <w:t>155.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Tamang, J. P., Watanabe, K.,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Holzapfel, W. H.</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2016.</w:t>
      </w:r>
      <w:r>
        <w:rPr>
          <w:rStyle w:val="None"/>
          <w:rFonts w:ascii="Times New Roman" w:hAnsi="Times New Roman"/>
          <w:kern w:val="0"/>
          <w:sz w:val="24"/>
          <w:szCs w:val="24"/>
          <w:rtl w:val="0"/>
          <w:lang w:val="en-US"/>
        </w:rPr>
        <w:t xml:space="preserve"> D</w:t>
      </w:r>
      <w:r>
        <w:rPr>
          <w:rStyle w:val="Hyperlink.1"/>
          <w:rtl w:val="0"/>
          <w:lang w:val="en-US"/>
        </w:rPr>
        <w:t xml:space="preserve">iversity of microorganisms in global fermented foods and beverages.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Frontiers in Microbiology, 7</w:t>
      </w:r>
      <w:r>
        <w:rPr>
          <w:rStyle w:val="Hyperlink.1"/>
          <w:rtl w:val="0"/>
          <w:lang w:val="en-US"/>
        </w:rPr>
        <w:t xml:space="preserve">, 377. </w:t>
      </w:r>
      <w:r>
        <w:rPr>
          <w:rStyle w:val="Hyperlink.4"/>
        </w:rPr>
        <w:fldChar w:fldCharType="begin" w:fldLock="0"/>
      </w:r>
      <w:r>
        <w:rPr>
          <w:rStyle w:val="Hyperlink.4"/>
        </w:rPr>
        <w:instrText xml:space="preserve"> HYPERLINK "https://doi.org/10.3389/fmicb.2016.00377"</w:instrText>
      </w:r>
      <w:r>
        <w:rPr>
          <w:rStyle w:val="Hyperlink.4"/>
        </w:rPr>
        <w:fldChar w:fldCharType="separate" w:fldLock="0"/>
      </w:r>
      <w:r>
        <w:rPr>
          <w:rStyle w:val="Hyperlink.4"/>
          <w:rtl w:val="0"/>
          <w:lang w:val="en-US"/>
        </w:rPr>
        <w:t>https://doi.org/10.3389/fmicb.2016.00377</w:t>
      </w:r>
      <w:r>
        <w:rPr/>
        <w:fldChar w:fldCharType="end" w:fldLock="0"/>
      </w:r>
      <w:r>
        <w:rPr>
          <w:rStyle w:val="Hyperlink.1"/>
          <w:rtl w:val="0"/>
          <w:lang w:val="en-US"/>
        </w:rPr>
        <w:t xml:space="preserve"> (</w:t>
      </w:r>
      <w:r>
        <w:rPr>
          <w:rStyle w:val="Hyperlink.4"/>
        </w:rPr>
        <w:fldChar w:fldCharType="begin" w:fldLock="0"/>
      </w:r>
      <w:r>
        <w:rPr>
          <w:rStyle w:val="Hyperlink.4"/>
        </w:rPr>
        <w:instrText xml:space="preserve"> HYPERLINK "https://www.frontiersin.org/journals/microbiology/articles/10.3389/fmicb.2019.00424/full?utm_source=chatgpt.com"</w:instrText>
      </w:r>
      <w:r>
        <w:rPr>
          <w:rStyle w:val="Hyperlink.4"/>
        </w:rPr>
        <w:fldChar w:fldCharType="separate" w:fldLock="0"/>
      </w:r>
      <w:r>
        <w:rPr>
          <w:rStyle w:val="Hyperlink.4"/>
          <w:rtl w:val="0"/>
          <w:lang w:val="en-US"/>
        </w:rPr>
        <w:t>Frontiers</w:t>
      </w:r>
      <w:r>
        <w:rPr/>
        <w:fldChar w:fldCharType="end" w:fldLock="0"/>
      </w:r>
      <w:r>
        <w:rPr>
          <w:rStyle w:val="Hyperlink.1"/>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Tamang, J. P., Shin, D. H., Jung, S. J., &amp; Chae, S. W.</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2016</w:t>
      </w:r>
      <w:r>
        <w:rPr>
          <w:rStyle w:val="Hyperlink.1"/>
          <w:rtl w:val="0"/>
          <w:lang w:val="en-US"/>
        </w:rPr>
        <w:t xml:space="preserve">. Functional properties of microorganisms in fermented foods.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Frontiers in Microbiology, 7</w:t>
      </w:r>
      <w:r>
        <w:rPr>
          <w:rStyle w:val="Hyperlink.1"/>
          <w:rtl w:val="0"/>
          <w:lang w:val="en-US"/>
        </w:rPr>
        <w:t>, 578.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Bayton, R. P.</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2007.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revision of Borassus (Arecaceae).</w:t>
      </w:r>
      <w:r>
        <w:rPr>
          <w:rStyle w:val="Hyperlink.1"/>
          <w:rtl w:val="0"/>
          <w:lang w:val="en-US"/>
        </w:rPr>
        <w:t xml:space="preserve"> Kew Bulletin, 62, 561</w:t>
      </w:r>
      <w:r>
        <w:rPr>
          <w:rStyle w:val="Hyperlink.1"/>
          <w:rtl w:val="0"/>
          <w:lang w:val="en-US"/>
        </w:rPr>
        <w:t>–</w:t>
      </w:r>
      <w:r>
        <w:rPr>
          <w:rStyle w:val="Hyperlink.1"/>
          <w:rtl w:val="0"/>
          <w:lang w:val="en-US"/>
        </w:rPr>
        <w:t>589.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Hyperlink.1"/>
          <w:rtl w:val="0"/>
          <w:lang w:val="en-US"/>
        </w:rPr>
        <w:t xml:space="preserve">FAO. (1998).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Non-Wood Forest Products: Palms and Palm Products.</w:t>
      </w:r>
      <w:r>
        <w:rPr>
          <w:rStyle w:val="Hyperlink.1"/>
          <w:rtl w:val="0"/>
          <w:lang w:val="en-US"/>
        </w:rPr>
        <w:t xml:space="preserve"> Food and Agriculture Organization, Rome.</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Hebbar, K. B., Arivalagan, M., Manikantan, M. R., Mathew, A. C., Thamban, C., Thomas, G. V.,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Chowdappa, P.</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2015. </w:t>
      </w:r>
      <w:r>
        <w:rPr>
          <w:rStyle w:val="Hyperlink.1"/>
          <w:rtl w:val="0"/>
          <w:lang w:val="en-US"/>
        </w:rPr>
        <w:t>Coconut inflorescence sap and its value addition as sugar</w:t>
      </w:r>
      <w:r>
        <w:rPr>
          <w:rStyle w:val="Hyperlink.1"/>
          <w:rtl w:val="0"/>
          <w:lang w:val="en-US"/>
        </w:rPr>
        <w:t>—</w:t>
      </w:r>
      <w:r>
        <w:rPr>
          <w:rStyle w:val="Hyperlink.1"/>
          <w:rtl w:val="0"/>
          <w:lang w:val="en-US"/>
        </w:rPr>
        <w:t xml:space="preserve">Collection techniques, yield, properties and market perspective.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Current Science</w:t>
      </w:r>
      <w:r>
        <w:rPr>
          <w:rStyle w:val="Hyperlink.1"/>
          <w:rtl w:val="0"/>
          <w:lang w:val="en-US"/>
        </w:rPr>
        <w:t>, 109(8), 1411</w:t>
      </w:r>
      <w:r>
        <w:rPr>
          <w:rStyle w:val="Hyperlink.1"/>
          <w:rtl w:val="0"/>
          <w:lang w:val="en-US"/>
        </w:rPr>
        <w:t>–</w:t>
      </w:r>
      <w:r>
        <w:rPr>
          <w:rStyle w:val="Hyperlink.1"/>
          <w:rtl w:val="0"/>
          <w:lang w:val="en-US"/>
        </w:rPr>
        <w:t>1417. (Provides comparative information on palm sap composition.)</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Jansz, E. R., Wickramasekara, N. T.,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Sumuduni, K. A. V.</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2002. </w:t>
      </w:r>
      <w:r>
        <w:rPr>
          <w:rStyle w:val="Hyperlink.1"/>
          <w:rtl w:val="0"/>
          <w:lang w:val="en-US"/>
        </w:rPr>
        <w:t>Uses of Palmyrah palm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the National Science Foundation of Sri Lanka</w:t>
      </w:r>
      <w:r>
        <w:rPr>
          <w:rStyle w:val="Hyperlink.1"/>
          <w:rtl w:val="0"/>
          <w:lang w:val="en-US"/>
        </w:rPr>
        <w:t>, 30, 61</w:t>
      </w:r>
      <w:r>
        <w:rPr>
          <w:rStyle w:val="Hyperlink.1"/>
          <w:rtl w:val="0"/>
          <w:lang w:val="en-US"/>
        </w:rPr>
        <w:t>–</w:t>
      </w:r>
      <w:r>
        <w:rPr>
          <w:rStyle w:val="Hyperlink.1"/>
          <w:rtl w:val="0"/>
          <w:lang w:val="en-US"/>
        </w:rPr>
        <w:t>87.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Marco, M. L., et al.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2021</w:t>
      </w:r>
      <w:r>
        <w:rPr>
          <w:rStyle w:val="Hyperlink.1"/>
          <w:rtl w:val="0"/>
          <w:lang w:val="en-US"/>
        </w:rPr>
        <w:t xml:space="preserve">. Health benefits of fermented foods: Microbiota and beyond.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Nature Reviews Gastroenterology &amp; Hepatology</w:t>
      </w:r>
      <w:r>
        <w:rPr>
          <w:rStyle w:val="Hyperlink.1"/>
          <w:rtl w:val="0"/>
          <w:lang w:val="en-US"/>
        </w:rPr>
        <w:t>, 18, 196</w:t>
      </w:r>
      <w:r>
        <w:rPr>
          <w:rStyle w:val="Hyperlink.1"/>
          <w:rtl w:val="0"/>
          <w:lang w:val="en-US"/>
        </w:rPr>
        <w:t>–</w:t>
      </w:r>
      <w:r>
        <w:rPr>
          <w:rStyle w:val="Hyperlink.1"/>
          <w:rtl w:val="0"/>
          <w:lang w:val="en-US"/>
        </w:rPr>
        <w:t>208.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Morton, J. F.</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1988.</w:t>
      </w:r>
      <w:r>
        <w:rPr>
          <w:rStyle w:val="Hyperlink.1"/>
          <w:rtl w:val="0"/>
          <w:lang w:val="en-US"/>
        </w:rPr>
        <w:t xml:space="preserve"> Notes on distribution, propagation, and products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w:t>
      </w:r>
      <w:r>
        <w:rPr>
          <w:rStyle w:val="Hyperlink.1"/>
          <w:rtl w:val="0"/>
          <w:lang w:val="en-US"/>
        </w:rPr>
        <w:t xml:space="preserve"> palms.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Economic Botany</w:t>
      </w:r>
      <w:r>
        <w:rPr>
          <w:rStyle w:val="Hyperlink.1"/>
          <w:rtl w:val="0"/>
          <w:lang w:val="en-US"/>
        </w:rPr>
        <w:t>, 42, 420</w:t>
      </w:r>
      <w:r>
        <w:rPr>
          <w:rStyle w:val="Hyperlink.1"/>
          <w:rtl w:val="0"/>
          <w:lang w:val="en-US"/>
        </w:rPr>
        <w:t>–</w:t>
      </w:r>
      <w:r>
        <w:rPr>
          <w:rStyle w:val="Hyperlink.1"/>
          <w:rtl w:val="0"/>
          <w:lang w:val="en-US"/>
        </w:rPr>
        <w:t>441.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Orwa, C., et al.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2009.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Agroforestree Database: A Tree Reference and Selection Guide.</w:t>
      </w:r>
      <w:r>
        <w:rPr>
          <w:rStyle w:val="Hyperlink.1"/>
          <w:rtl w:val="0"/>
          <w:lang w:val="en-US"/>
        </w:rPr>
        <w:t xml:space="preserve"> World Agroforestry Centre (ICRAF).</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Saraswathi, U., et al.</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2016.</w:t>
      </w:r>
      <w:r>
        <w:rPr>
          <w:rStyle w:val="Hyperlink.1"/>
          <w:rtl w:val="0"/>
          <w:lang w:val="en-US"/>
        </w:rPr>
        <w:t xml:space="preserve"> Phytochemical constituents and medicinal importance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xml:space="preserve">: A review.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International Journal of Pharmaceutical Sciences Review and Research</w:t>
      </w:r>
      <w:r>
        <w:rPr>
          <w:rStyle w:val="Hyperlink.1"/>
          <w:rtl w:val="0"/>
          <w:lang w:val="en-US"/>
        </w:rPr>
        <w:t>, 38, 150</w:t>
      </w:r>
      <w:r>
        <w:rPr>
          <w:rStyle w:val="Hyperlink.1"/>
          <w:rtl w:val="0"/>
          <w:lang w:val="en-US"/>
        </w:rPr>
        <w:t>–</w:t>
      </w:r>
      <w:r>
        <w:rPr>
          <w:rStyle w:val="Hyperlink.1"/>
          <w:rtl w:val="0"/>
          <w:lang w:val="en-US"/>
        </w:rPr>
        <w:t>155.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 xml:space="preserve">Tamang, J. P., Watanabe, K., </w:t>
      </w:r>
      <w:r>
        <w:rPr>
          <w:rStyle w:val="None"/>
          <w:rFonts w:ascii="Times New Roman" w:hAnsi="Times New Roman"/>
          <w:b w:val="1"/>
          <w:bCs w:val="1"/>
          <w:kern w:val="0"/>
          <w:sz w:val="24"/>
          <w:szCs w:val="24"/>
          <w:rtl w:val="0"/>
          <w:lang w:val="en-US"/>
        </w:rPr>
        <w:t>and</w:t>
      </w:r>
      <w:r>
        <w:rPr>
          <w:rStyle w:val="None"/>
          <w:rFonts w:ascii="Times New Roman" w:hAnsi="Times New Roman"/>
          <w:b w:val="1"/>
          <w:bCs w:val="1"/>
          <w:kern w:val="0"/>
          <w:sz w:val="24"/>
          <w:szCs w:val="24"/>
          <w:rtl w:val="0"/>
          <w:lang w:val="en-US"/>
        </w:rPr>
        <w:t xml:space="preserve"> Holzapfel, W. H.</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2016. </w:t>
      </w:r>
      <w:r>
        <w:rPr>
          <w:rStyle w:val="Hyperlink.1"/>
          <w:rtl w:val="0"/>
          <w:lang w:val="en-US"/>
        </w:rPr>
        <w:t xml:space="preserve">Diversity of microorganisms in global fermented foods and beverages.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Frontiers in Microbiology</w:t>
      </w:r>
      <w:r>
        <w:rPr>
          <w:rStyle w:val="Hyperlink.1"/>
          <w:rtl w:val="0"/>
          <w:lang w:val="en-US"/>
        </w:rPr>
        <w:t>, 7, 377.</w:t>
      </w:r>
    </w:p>
    <w:p>
      <w:pPr>
        <w:pStyle w:val="Normal.0"/>
        <w:spacing w:after="0" w:line="360" w:lineRule="auto"/>
        <w:ind w:left="720" w:hanging="720"/>
        <w:jc w:val="both"/>
        <w:rPr>
          <w:rStyle w:val="Hyperlink.1"/>
        </w:rPr>
      </w:pPr>
      <w:r>
        <w:rPr>
          <w:rStyle w:val="Hyperlink.1"/>
          <w:rtl w:val="0"/>
          <w:lang w:val="en-US"/>
        </w:rPr>
        <w:t xml:space="preserve">FAO. (1998).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Fermented Fruits and Vegetables: A Global Perspective</w:t>
      </w:r>
      <w:r>
        <w:rPr>
          <w:rStyle w:val="Hyperlink.1"/>
          <w:rtl w:val="0"/>
          <w:lang w:val="en-US"/>
        </w:rPr>
        <w:t>. Food and Agriculture Organization, Rome.</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Gibson, G. R., et al.</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2017. </w:t>
      </w:r>
      <w:r>
        <w:rPr>
          <w:rStyle w:val="None"/>
          <w:rFonts w:ascii="Times New Roman" w:hAnsi="Times New Roman"/>
          <w:kern w:val="0"/>
          <w:sz w:val="24"/>
          <w:szCs w:val="24"/>
          <w:rtl w:val="0"/>
          <w:lang w:val="en-US"/>
        </w:rPr>
        <w:t xml:space="preserve">The </w:t>
      </w:r>
      <w:r>
        <w:rPr>
          <w:rStyle w:val="Hyperlink.1"/>
          <w:rtl w:val="0"/>
          <w:lang w:val="en-US"/>
        </w:rPr>
        <w:t xml:space="preserve">nternational Scientific Association for Probiotics and Prebiotics (ISAPP) consensus statement on the definition and scope of prebiotics.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Nature Reviews Gastroenterology &amp; Hepatology</w:t>
      </w:r>
      <w:r>
        <w:rPr>
          <w:rStyle w:val="Hyperlink.1"/>
          <w:rtl w:val="0"/>
          <w:lang w:val="en-US"/>
        </w:rPr>
        <w:t>, 14, 491</w:t>
      </w:r>
      <w:r>
        <w:rPr>
          <w:rStyle w:val="Hyperlink.1"/>
          <w:rtl w:val="0"/>
          <w:lang w:val="en-US"/>
        </w:rPr>
        <w:t>–</w:t>
      </w:r>
      <w:r>
        <w:rPr>
          <w:rStyle w:val="Hyperlink.1"/>
          <w:rtl w:val="0"/>
          <w:lang w:val="en-US"/>
        </w:rPr>
        <w:t>502.</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Hill, C., et al.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2014. </w:t>
      </w:r>
      <w:r>
        <w:rPr>
          <w:rStyle w:val="Hyperlink.1"/>
          <w:rtl w:val="0"/>
          <w:lang w:val="en-US"/>
        </w:rPr>
        <w:t xml:space="preserve">Expert consensus document: The ISAPP consensus statement on probiotics.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Nature Reviews Gastroenterology &amp; Hepatology</w:t>
      </w:r>
      <w:r>
        <w:rPr>
          <w:rStyle w:val="Hyperlink.1"/>
          <w:rtl w:val="0"/>
          <w:lang w:val="en-US"/>
        </w:rPr>
        <w:t>, 11, 506</w:t>
      </w:r>
      <w:r>
        <w:rPr>
          <w:rStyle w:val="Hyperlink.1"/>
          <w:rtl w:val="0"/>
          <w:lang w:val="en-US"/>
        </w:rPr>
        <w:t>–</w:t>
      </w:r>
      <w:r>
        <w:rPr>
          <w:rStyle w:val="Hyperlink.1"/>
          <w:rtl w:val="0"/>
          <w:lang w:val="en-US"/>
        </w:rPr>
        <w:t>514.</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Marco, M. L., et al.</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2021.</w:t>
      </w:r>
      <w:r>
        <w:rPr>
          <w:rStyle w:val="Hyperlink.1"/>
          <w:rtl w:val="0"/>
          <w:lang w:val="en-US"/>
        </w:rPr>
        <w:t xml:space="preserve"> Health benefits of fermented foods: Microbiota and beyond.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Nature Reviews Gastroenterology &amp; Hepatology</w:t>
      </w:r>
      <w:r>
        <w:rPr>
          <w:rStyle w:val="Hyperlink.1"/>
          <w:rtl w:val="0"/>
          <w:lang w:val="en-US"/>
        </w:rPr>
        <w:t>, 18, 196</w:t>
      </w:r>
      <w:r>
        <w:rPr>
          <w:rStyle w:val="Hyperlink.1"/>
          <w:rtl w:val="0"/>
          <w:lang w:val="en-US"/>
        </w:rPr>
        <w:t>–</w:t>
      </w:r>
      <w:r>
        <w:rPr>
          <w:rStyle w:val="Hyperlink.1"/>
          <w:rtl w:val="0"/>
          <w:lang w:val="en-US"/>
        </w:rPr>
        <w:t>208.</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Ojha, P., et al.</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2023. </w:t>
      </w:r>
      <w:r>
        <w:rPr>
          <w:rStyle w:val="Hyperlink.1"/>
          <w:rtl w:val="0"/>
          <w:lang w:val="en-US"/>
        </w:rPr>
        <w:t xml:space="preserve">Palm sap: Nutritional composition, fermentation and functional applications.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Food Bioscience</w:t>
      </w:r>
      <w:r>
        <w:rPr>
          <w:rStyle w:val="Hyperlink.1"/>
          <w:rtl w:val="0"/>
          <w:lang w:val="en-US"/>
        </w:rPr>
        <w:t>, 54, 102887.</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Ray, R. C.,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Didier, M. (Eds.).</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2014.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Microorganisms and Fermentation of Traditional Foods</w:t>
      </w:r>
      <w:r>
        <w:rPr>
          <w:rStyle w:val="Hyperlink.1"/>
          <w:rtl w:val="0"/>
          <w:lang w:val="en-US"/>
        </w:rPr>
        <w:t>. CRC Press.</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Swaminathan, M.</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1993. </w:t>
      </w:r>
      <w:r>
        <w:rPr>
          <w:rStyle w:val="None"/>
          <w:rFonts w:ascii="Times New Roman" w:hAnsi="Times New Roman"/>
          <w:b w:val="1"/>
          <w:bCs w:val="1"/>
          <w:i w:val="1"/>
          <w:iCs w:val="1"/>
          <w:kern w:val="0"/>
          <w:sz w:val="24"/>
          <w:szCs w:val="24"/>
          <w:rtl w:val="0"/>
          <w:lang w:val="en-US"/>
        </w:rPr>
        <w:t>F</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ood Science, Chemistry and Experimental Foods</w:t>
      </w:r>
      <w:r>
        <w:rPr>
          <w:rStyle w:val="Hyperlink.1"/>
          <w:rtl w:val="0"/>
          <w:lang w:val="en-US"/>
        </w:rPr>
        <w:t>. Bangalore Printing.</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Tamang, J. P., et al.</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2016</w:t>
      </w:r>
      <w:r>
        <w:rPr>
          <w:rStyle w:val="Hyperlink.1"/>
          <w:rtl w:val="0"/>
          <w:lang w:val="en-US"/>
        </w:rPr>
        <w:t xml:space="preserve">. Fermented foods and beverages of the world.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Frontiers in Microbiology</w:t>
      </w:r>
      <w:r>
        <w:rPr>
          <w:rStyle w:val="Hyperlink.1"/>
          <w:rtl w:val="0"/>
          <w:lang w:val="en-US"/>
        </w:rPr>
        <w:t>, 7, 377.</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 xml:space="preserve">Tamang, J. P., Watanabe, K.,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Holzapfel, W. H.</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2016.</w:t>
      </w:r>
      <w:r>
        <w:rPr>
          <w:rStyle w:val="Hyperlink.1"/>
          <w:rtl w:val="0"/>
          <w:lang w:val="en-US"/>
        </w:rPr>
        <w:t xml:space="preserve"> Review: Diversity of microorganisms in global fermented foods.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Frontiers in Microbiology</w:t>
      </w:r>
      <w:r>
        <w:rPr>
          <w:rStyle w:val="Hyperlink.1"/>
          <w:rtl w:val="0"/>
          <w:lang w:val="en-US"/>
        </w:rPr>
        <w:t>, 7, 377.</w:t>
      </w:r>
    </w:p>
    <w:p>
      <w:pPr>
        <w:pStyle w:val="Normal.0"/>
        <w:spacing w:after="0" w:line="360" w:lineRule="auto"/>
        <w:ind w:left="720" w:hanging="720"/>
        <w:jc w:val="both"/>
        <w:rPr>
          <w:rStyle w:val="None"/>
          <w:rFonts w:ascii="Times New Roman" w:cs="Times New Roman" w:hAnsi="Times New Roman" w:eastAsia="Times New Roman"/>
          <w:kern w:val="0"/>
        </w:rPr>
      </w:pPr>
      <w:r>
        <w:rPr>
          <w:rStyle w:val="None"/>
          <w:rFonts w:ascii="Times New Roman" w:hAnsi="Times New Roman"/>
          <w:b w:val="1"/>
          <w:bCs w:val="1"/>
          <w:kern w:val="0"/>
          <w:sz w:val="24"/>
          <w:szCs w:val="24"/>
          <w:rtl w:val="0"/>
          <w:lang w:val="en-US"/>
        </w:rPr>
        <w:t xml:space="preserve">Vanga, S. K.,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 Raghavan, V.</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2018</w:t>
      </w:r>
      <w:r>
        <w:rPr>
          <w:rStyle w:val="Hyperlink.1"/>
          <w:rtl w:val="0"/>
          <w:lang w:val="en-US"/>
        </w:rPr>
        <w:t xml:space="preserve">. How well do plant-based alternatives fare nutritionally compared to cow's milk?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Journal of Food Science and Technology</w:t>
      </w:r>
      <w:r>
        <w:rPr>
          <w:rStyle w:val="Hyperlink.1"/>
          <w:rtl w:val="0"/>
          <w:lang w:val="en-US"/>
        </w:rPr>
        <w:t>, 55, 10</w:t>
      </w:r>
      <w:r>
        <w:rPr>
          <w:rStyle w:val="Hyperlink.1"/>
          <w:rtl w:val="0"/>
          <w:lang w:val="en-US"/>
        </w:rPr>
        <w:t>–</w:t>
      </w:r>
      <w:r>
        <w:rPr>
          <w:rStyle w:val="Hyperlink.1"/>
          <w:rtl w:val="0"/>
          <w:lang w:val="en-US"/>
        </w:rPr>
        <w:t>20</w:t>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 (Web)"/>
        <w:spacing w:after="0" w:line="360" w:lineRule="auto"/>
        <w:ind w:right="26"/>
        <w:jc w:val="center"/>
        <w:rPr>
          <w:rStyle w:val="None"/>
          <w:kern w:val="0"/>
        </w:rPr>
      </w:pPr>
      <w:r>
        <w:rPr>
          <w:rStyle w:val="None"/>
          <w:b w:val="1"/>
          <w:bCs w:val="1"/>
          <w:outline w:val="0"/>
          <w:color w:val="000000"/>
          <w:kern w:val="0"/>
          <w:u w:color="000000"/>
          <w:rtl w:val="0"/>
          <w:lang w:val="en-US"/>
          <w14:textFill>
            <w14:solidFill>
              <w14:srgbClr w14:val="000000"/>
            </w14:solidFill>
          </w14:textFill>
        </w:rPr>
        <w:t>INVESTIGATING ANTIBIOTIC RESISTANCE BACTERIA                                                        IN NON -CLINICAL ENVIRONMENT</w:t>
      </w:r>
    </w:p>
    <w:p>
      <w:pPr>
        <w:pStyle w:val="Normal.0"/>
        <w:spacing w:after="0" w:line="360" w:lineRule="auto"/>
        <w:ind w:right="3305"/>
        <w:jc w:val="right"/>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Navya.B.S</w:t>
      </w:r>
      <w:r>
        <w:rPr>
          <w:rStyle w:val="None"/>
          <w:rFonts w:ascii="Times New Roman" w:hAnsi="Times New Roman"/>
          <w:i w:val="1"/>
          <w:iCs w:val="1"/>
          <w:kern w:val="0"/>
          <w:sz w:val="24"/>
          <w:szCs w:val="24"/>
          <w:vertAlign w:val="superscript"/>
          <w:rtl w:val="0"/>
          <w:lang w:val="en-US"/>
        </w:rPr>
        <w:t xml:space="preserve">1 </w:t>
      </w:r>
      <w:r>
        <w:rPr>
          <w:rStyle w:val="None"/>
          <w:rFonts w:ascii="Times New Roman" w:hAnsi="Times New Roman"/>
          <w:i w:val="1"/>
          <w:iCs w:val="1"/>
          <w:kern w:val="0"/>
          <w:sz w:val="24"/>
          <w:szCs w:val="24"/>
          <w:rtl w:val="0"/>
          <w:lang w:val="en-US"/>
        </w:rPr>
        <w:t>and Dhivya</w:t>
      </w:r>
      <w:r>
        <w:rPr>
          <w:rStyle w:val="None"/>
          <w:rFonts w:ascii="Times New Roman" w:hAnsi="Times New Roman" w:hint="default"/>
          <w:i w:val="1"/>
          <w:iCs w:val="1"/>
          <w:kern w:val="0"/>
          <w:sz w:val="24"/>
          <w:szCs w:val="24"/>
          <w:rtl w:val="0"/>
          <w:lang w:val="en-US"/>
        </w:rPr>
        <w:t> </w:t>
      </w:r>
      <w:r>
        <w:rPr>
          <w:rStyle w:val="None"/>
          <w:rFonts w:ascii="Times New Roman" w:hAnsi="Times New Roman"/>
          <w:i w:val="1"/>
          <w:iCs w:val="1"/>
          <w:kern w:val="0"/>
          <w:sz w:val="24"/>
          <w:szCs w:val="24"/>
          <w:rtl w:val="0"/>
          <w:lang w:val="en-US"/>
        </w:rPr>
        <w:t>,R.S</w:t>
      </w:r>
      <w:r>
        <w:rPr>
          <w:rStyle w:val="None"/>
          <w:rFonts w:ascii="Times New Roman" w:hAnsi="Times New Roman"/>
          <w:i w:val="1"/>
          <w:iCs w:val="1"/>
          <w:kern w:val="0"/>
          <w:sz w:val="24"/>
          <w:szCs w:val="24"/>
          <w:vertAlign w:val="superscript"/>
          <w:rtl w:val="0"/>
          <w:lang w:val="en-US"/>
        </w:rPr>
        <w:t>2</w:t>
      </w:r>
      <w:r>
        <w:rPr>
          <w:rStyle w:val="None"/>
          <w:rFonts w:ascii="Times New Roman" w:hAnsi="Times New Roman"/>
          <w:i w:val="1"/>
          <w:iCs w:val="1"/>
          <w:kern w:val="0"/>
          <w:sz w:val="24"/>
          <w:szCs w:val="24"/>
          <w:rtl w:val="0"/>
          <w:lang w:val="en-US"/>
        </w:rPr>
        <w:t>.</w:t>
      </w:r>
    </w:p>
    <w:p>
      <w:pPr>
        <w:pStyle w:val="Normal.0"/>
        <w:spacing w:after="0" w:line="360" w:lineRule="auto"/>
        <w:ind w:right="2434"/>
        <w:jc w:val="right"/>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vertAlign w:val="superscript"/>
          <w:rtl w:val="0"/>
          <w:lang w:val="en-US"/>
        </w:rPr>
        <w:t>1</w:t>
      </w:r>
      <w:r>
        <w:rPr>
          <w:rStyle w:val="None"/>
          <w:rFonts w:ascii="Times New Roman" w:hAnsi="Times New Roman"/>
          <w:i w:val="1"/>
          <w:iCs w:val="1"/>
          <w:kern w:val="0"/>
          <w:sz w:val="24"/>
          <w:szCs w:val="24"/>
          <w:rtl w:val="0"/>
          <w:lang w:val="en-US"/>
        </w:rPr>
        <w:t>Research scholar, Muslim Arts College Thiruvithancode</w:t>
      </w:r>
      <w:r>
        <w:rPr>
          <w:rStyle w:val="None"/>
          <w:rFonts w:ascii="Times New Roman" w:hAnsi="Times New Roman" w:hint="default"/>
          <w:i w:val="1"/>
          <w:iCs w:val="1"/>
          <w:kern w:val="0"/>
          <w:sz w:val="24"/>
          <w:szCs w:val="24"/>
          <w:rtl w:val="0"/>
          <w:lang w:val="en-US"/>
        </w:rPr>
        <w:t> </w:t>
      </w:r>
    </w:p>
    <w:p>
      <w:pPr>
        <w:pStyle w:val="Normal.0"/>
        <w:spacing w:after="0" w:line="360" w:lineRule="auto"/>
        <w:ind w:right="26"/>
        <w:jc w:val="right"/>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vertAlign w:val="superscript"/>
          <w:rtl w:val="0"/>
          <w:lang w:val="en-US"/>
        </w:rPr>
        <w:t>2</w:t>
      </w:r>
      <w:r>
        <w:rPr>
          <w:rStyle w:val="None"/>
          <w:rFonts w:ascii="Times New Roman" w:hAnsi="Times New Roman"/>
          <w:i w:val="1"/>
          <w:iCs w:val="1"/>
          <w:kern w:val="0"/>
          <w:sz w:val="24"/>
          <w:szCs w:val="24"/>
          <w:rtl w:val="0"/>
          <w:lang w:val="en-US"/>
        </w:rPr>
        <w:t>Associate professor of Zoology ,Sree Devi Kumari Women's College, Kuzhithurai</w:t>
      </w:r>
      <w:r>
        <w:rPr>
          <w:rStyle w:val="None"/>
          <w:rFonts w:ascii="Times New Roman" w:hAnsi="Times New Roman" w:hint="default"/>
          <w:i w:val="1"/>
          <w:iCs w:val="1"/>
          <w:kern w:val="0"/>
          <w:sz w:val="24"/>
          <w:szCs w:val="24"/>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84" w:firstLine="720"/>
        <w:jc w:val="both"/>
        <w:rPr>
          <w:rStyle w:val="None"/>
          <w:rFonts w:ascii="Times New Roman" w:cs="Times New Roman" w:hAnsi="Times New Roman" w:eastAsia="Times New Roman"/>
          <w:kern w:val="0"/>
          <w:sz w:val="24"/>
          <w:szCs w:val="24"/>
        </w:rPr>
      </w:pPr>
      <w:r>
        <w:rPr>
          <w:rStyle w:val="Hyperlink.1"/>
          <w:rtl w:val="0"/>
          <w:lang w:val="en-US"/>
        </w:rPr>
        <w:t>The rise of antibiotic-resistant bacteria poses a significant challenge to global health,</w:t>
      </w:r>
      <w:r>
        <w:rPr>
          <w:rStyle w:val="Hyperlink.1"/>
          <w:rtl w:val="0"/>
          <w:lang w:val="en-US"/>
        </w:rPr>
        <w:t xml:space="preserve">  </w:t>
      </w:r>
      <w:r>
        <w:rPr>
          <w:rStyle w:val="Hyperlink.1"/>
          <w:rtl w:val="0"/>
          <w:lang w:val="en-US"/>
        </w:rPr>
        <w:t>necessitating rapid and accurate identification methods. This study aimed to isolate and identify antibiotic-resistant bacterial strains using both culture-based and molecular techniques. Bacterial isolates were initially screened for resistance by culturing on nutrient</w:t>
      </w:r>
      <w:r>
        <w:rPr>
          <w:rStyle w:val="Hyperlink.1"/>
          <w:rtl w:val="0"/>
          <w:lang w:val="en-US"/>
        </w:rPr>
        <w:t xml:space="preserve">  </w:t>
      </w:r>
      <w:r>
        <w:rPr>
          <w:rStyle w:val="Hyperlink.1"/>
          <w:rtl w:val="0"/>
          <w:lang w:val="en-US"/>
        </w:rPr>
        <w:t>agar supplemented with the antibiotics canamycin and gentamycin. Two distinct isolates,</w:t>
      </w:r>
      <w:r>
        <w:rPr>
          <w:rStyle w:val="Hyperlink.1"/>
          <w:rtl w:val="0"/>
          <w:lang w:val="en-US"/>
        </w:rPr>
        <w:t xml:space="preserve">  </w:t>
      </w:r>
      <w:r>
        <w:rPr>
          <w:rStyle w:val="Hyperlink.1"/>
          <w:rtl w:val="0"/>
          <w:lang w:val="en-US"/>
        </w:rPr>
        <w:t>designated as C1 and C2, demonstrated successful growth on the selective media. To accurately</w:t>
      </w:r>
      <w:r>
        <w:rPr>
          <w:rStyle w:val="Hyperlink.1"/>
          <w:rtl w:val="0"/>
          <w:lang w:val="en-US"/>
        </w:rPr>
        <w:t xml:space="preserve">  </w:t>
      </w:r>
      <w:r>
        <w:rPr>
          <w:rStyle w:val="Hyperlink.1"/>
          <w:rtl w:val="0"/>
          <w:lang w:val="en-US"/>
        </w:rPr>
        <w:t>identify these resistant strains, genomic DNA was extracted and subjected to Polymerase Chain</w:t>
      </w:r>
      <w:r>
        <w:rPr>
          <w:rStyle w:val="Hyperlink.1"/>
          <w:rtl w:val="0"/>
          <w:lang w:val="en-US"/>
        </w:rPr>
        <w:t xml:space="preserve">  </w:t>
      </w:r>
      <w:r>
        <w:rPr>
          <w:rStyle w:val="Hyperlink.1"/>
          <w:rtl w:val="0"/>
          <w:lang w:val="en-US"/>
        </w:rPr>
        <w:t>Reaction (PCR) amplification targeting the highly conserved 16S rRNA gene using specific</w:t>
      </w:r>
      <w:r>
        <w:rPr>
          <w:rStyle w:val="Hyperlink.1"/>
          <w:rtl w:val="0"/>
          <w:lang w:val="en-US"/>
        </w:rPr>
        <w:t xml:space="preserve">  </w:t>
      </w:r>
      <w:r>
        <w:rPr>
          <w:rStyle w:val="Hyperlink.1"/>
          <w:rtl w:val="0"/>
          <w:lang w:val="en-US"/>
        </w:rPr>
        <w:t>primer sets. Following gel electrophoresis and elution, the amplicons were sequenced using a</w:t>
      </w:r>
      <w:r>
        <w:rPr>
          <w:rStyle w:val="Hyperlink.1"/>
          <w:rtl w:val="0"/>
          <w:lang w:val="en-US"/>
        </w:rPr>
        <w:t xml:space="preserve">  </w:t>
      </w:r>
      <w:r>
        <w:rPr>
          <w:rStyle w:val="Hyperlink.1"/>
          <w:rtl w:val="0"/>
          <w:lang w:val="en-US"/>
        </w:rPr>
        <w:t>capillary automated DNA sequencer. Sequence analysis and homology searches utilizing the</w:t>
      </w:r>
      <w:r>
        <w:rPr>
          <w:rStyle w:val="Hyperlink.1"/>
          <w:rtl w:val="0"/>
          <w:lang w:val="en-US"/>
        </w:rPr>
        <w:t xml:space="preserve">  </w:t>
      </w:r>
      <w:r>
        <w:rPr>
          <w:rStyle w:val="Hyperlink.1"/>
          <w:rtl w:val="0"/>
          <w:lang w:val="en-US"/>
        </w:rPr>
        <w:t>NCBI BLAST database conclusively identified isolate C1 as Escherichia coli and isolate C2 as</w:t>
      </w:r>
      <w:r>
        <w:rPr>
          <w:rStyle w:val="Hyperlink.1"/>
          <w:rtl w:val="0"/>
          <w:lang w:val="en-US"/>
        </w:rPr>
        <w:t xml:space="preserve">  </w:t>
      </w:r>
      <w:r>
        <w:rPr>
          <w:rStyle w:val="Hyperlink.1"/>
          <w:rtl w:val="0"/>
          <w:lang w:val="en-US"/>
        </w:rPr>
        <w:t>Staphylococcus arlettae. Furthermore, subsequent PCR analysis using specifically designed</w:t>
      </w:r>
      <w:r>
        <w:rPr>
          <w:rStyle w:val="Hyperlink.1"/>
          <w:rtl w:val="0"/>
          <w:lang w:val="en-US"/>
        </w:rPr>
        <w:t xml:space="preserve">  </w:t>
      </w:r>
      <w:r>
        <w:rPr>
          <w:rStyle w:val="Hyperlink.1"/>
          <w:rtl w:val="0"/>
          <w:lang w:val="en-US"/>
        </w:rPr>
        <w:t>primers confirmed the presence of genes encoding antibiotic-resistance enzymes within these</w:t>
      </w:r>
      <w:r>
        <w:rPr>
          <w:rStyle w:val="Hyperlink.1"/>
          <w:rtl w:val="0"/>
          <w:lang w:val="en-US"/>
        </w:rPr>
        <w:t xml:space="preserve">  </w:t>
      </w:r>
      <w:r>
        <w:rPr>
          <w:rStyle w:val="Hyperlink.1"/>
          <w:rtl w:val="0"/>
          <w:lang w:val="en-US"/>
        </w:rPr>
        <w:t>isolates. The findings demonstrate that combining selective culturing with 16S rRNA</w:t>
      </w:r>
      <w:r>
        <w:rPr>
          <w:rStyle w:val="Hyperlink.1"/>
          <w:rtl w:val="0"/>
          <w:lang w:val="en-US"/>
        </w:rPr>
        <w:t xml:space="preserve">  </w:t>
      </w:r>
      <w:r>
        <w:rPr>
          <w:rStyle w:val="Hyperlink.1"/>
          <w:rtl w:val="0"/>
          <w:lang w:val="en-US"/>
        </w:rPr>
        <w:t>sequencing and targeted PCR provides a highly sensitive, reliable, and cost-effective approach</w:t>
      </w:r>
      <w:r>
        <w:rPr>
          <w:rStyle w:val="Hyperlink.1"/>
          <w:rtl w:val="0"/>
          <w:lang w:val="en-US"/>
        </w:rPr>
        <w:t xml:space="preserve">  </w:t>
      </w:r>
      <w:r>
        <w:rPr>
          <w:rStyle w:val="Hyperlink.1"/>
          <w:rtl w:val="0"/>
          <w:lang w:val="en-US"/>
        </w:rPr>
        <w:t>for the characterization of antibiotic-resistant microorganisms</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102"/>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Keywords: Antibiotic Resistance, 16S rRNA, Polymerase Chain Reaction (PCR), Escherichia</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coli, Staphylococcus arlettae, Molecular Identification.</w:t>
      </w:r>
      <w:r>
        <w:rPr>
          <w:rStyle w:val="None"/>
          <w:rFonts w:ascii="Times New Roman" w:hAnsi="Times New Roman" w:hint="default"/>
          <w:i w:val="1"/>
          <w:iCs w:val="1"/>
          <w:kern w:val="0"/>
          <w:sz w:val="24"/>
          <w:szCs w:val="24"/>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89" w:firstLine="720"/>
        <w:jc w:val="both"/>
        <w:rPr>
          <w:rStyle w:val="Hyperlink.1"/>
        </w:rPr>
      </w:pPr>
      <w:r>
        <w:rPr>
          <w:rStyle w:val="Hyperlink.1"/>
          <w:rtl w:val="0"/>
          <w:lang w:val="en-US"/>
        </w:rPr>
        <w:t>Selman Waksman, a prominent researcher in the field of actinomycetes in the early part</w:t>
      </w:r>
      <w:r>
        <w:rPr>
          <w:rStyle w:val="Hyperlink.1"/>
          <w:rtl w:val="0"/>
          <w:lang w:val="en-US"/>
        </w:rPr>
        <w:t xml:space="preserve">  </w:t>
      </w:r>
      <w:r>
        <w:rPr>
          <w:rStyle w:val="Hyperlink.1"/>
          <w:rtl w:val="0"/>
          <w:lang w:val="en-US"/>
        </w:rPr>
        <w:t>of the twentieth century, described the term antibiotic as a chemical compound generated from</w:t>
      </w:r>
      <w:r>
        <w:rPr>
          <w:rStyle w:val="Hyperlink.1"/>
          <w:rtl w:val="0"/>
          <w:lang w:val="en-US"/>
        </w:rPr>
        <w:t xml:space="preserve">  </w:t>
      </w:r>
      <w:r>
        <w:rPr>
          <w:rStyle w:val="Hyperlink.1"/>
          <w:rtl w:val="0"/>
          <w:lang w:val="en-US"/>
        </w:rPr>
        <w:t>microorganisms that inhibits or destroys other microbes (Hopwood, 2007; Davies and Davies,</w:t>
      </w:r>
      <w:r>
        <w:rPr>
          <w:rStyle w:val="Hyperlink.1"/>
          <w:rtl w:val="0"/>
          <w:lang w:val="en-US"/>
        </w:rPr>
        <w:t xml:space="preserve">  </w:t>
      </w:r>
      <w:r>
        <w:rPr>
          <w:rStyle w:val="Hyperlink.1"/>
          <w:rtl w:val="0"/>
          <w:lang w:val="en-US"/>
        </w:rPr>
        <w:t>2010). Most antibiotics in use today originated from the phylum Actinobacteria with nearly 80% of antibacterial-derived antibiotics produced by soil dwelling bacteria of the genus</w:t>
      </w:r>
      <w:r>
        <w:rPr>
          <w:rStyle w:val="Hyperlink.1"/>
          <w:rtl w:val="0"/>
          <w:lang w:val="en-US"/>
        </w:rPr>
        <w:t xml:space="preserve">  </w:t>
      </w:r>
      <w:r>
        <w:rPr>
          <w:rStyle w:val="Hyperlink.1"/>
          <w:rtl w:val="0"/>
          <w:lang w:val="en-US"/>
        </w:rPr>
        <w:t xml:space="preserve">Streptomyces (Barka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2016). Before the discovery of natural antibiotics, synthetic</w:t>
      </w:r>
      <w:r>
        <w:rPr>
          <w:rStyle w:val="Hyperlink.1"/>
          <w:rtl w:val="0"/>
          <w:lang w:val="en-US"/>
        </w:rPr>
        <w:t xml:space="preserve">  </w:t>
      </w:r>
      <w:r>
        <w:rPr>
          <w:rStyle w:val="Hyperlink.1"/>
          <w:rtl w:val="0"/>
          <w:lang w:val="en-US"/>
        </w:rPr>
        <w:t>compounds, including salvarsan, sulpha drugs and quinolones, were in use as chemotherapeutic</w:t>
      </w:r>
      <w:r>
        <w:rPr>
          <w:rStyle w:val="Hyperlink.1"/>
          <w:rtl w:val="0"/>
          <w:lang w:val="en-US"/>
        </w:rPr>
        <w:t xml:space="preserve">  </w:t>
      </w:r>
      <w:r>
        <w:rPr>
          <w:rStyle w:val="Hyperlink.1"/>
          <w:rtl w:val="0"/>
          <w:lang w:val="en-US"/>
        </w:rPr>
        <w:t>agents (Aminov, 2010). Penicillin was the first natural antibiotic to be discovered accidentally</w:t>
      </w:r>
      <w:r>
        <w:rPr>
          <w:rStyle w:val="Hyperlink.1"/>
          <w:rtl w:val="0"/>
          <w:lang w:val="en-US"/>
        </w:rPr>
        <w:t xml:space="preserve">  </w:t>
      </w:r>
      <w:r>
        <w:rPr>
          <w:rStyle w:val="Hyperlink.1"/>
          <w:rtl w:val="0"/>
          <w:lang w:val="en-US"/>
        </w:rPr>
        <w:t>by Alexander Fleming in 1928 when the Penicillium fungus contaminated a culture plate in his</w:t>
      </w:r>
      <w:r>
        <w:rPr>
          <w:rStyle w:val="Hyperlink.1"/>
          <w:rtl w:val="0"/>
          <w:lang w:val="en-US"/>
        </w:rPr>
        <w:t xml:space="preserve">  </w:t>
      </w:r>
      <w:r>
        <w:rPr>
          <w:rStyle w:val="Hyperlink.1"/>
          <w:rtl w:val="0"/>
          <w:lang w:val="en-US"/>
        </w:rPr>
        <w:t>laboratory, however, penicillin was not developed for use until the late 1930s (Hopwood, 2007).</w:t>
      </w:r>
      <w:r>
        <w:rPr>
          <w:rStyle w:val="Hyperlink.1"/>
          <w:rtl w:val="0"/>
          <w:lang w:val="en-US"/>
        </w:rPr>
        <w:t xml:space="preserve">  </w:t>
      </w:r>
      <w:r>
        <w:rPr>
          <w:rStyle w:val="Hyperlink.1"/>
          <w:rtl w:val="0"/>
          <w:lang w:val="en-US"/>
        </w:rPr>
        <w:t>Penicillin inhibits cell wall synthesis and was found to be very effective against Gram-positive</w:t>
      </w:r>
      <w:r>
        <w:rPr>
          <w:rStyle w:val="Hyperlink.1"/>
          <w:rtl w:val="0"/>
          <w:lang w:val="en-US"/>
        </w:rPr>
        <w:t xml:space="preserve">  </w:t>
      </w:r>
      <w:r>
        <w:rPr>
          <w:rStyle w:val="Hyperlink.1"/>
          <w:rtl w:val="0"/>
          <w:lang w:val="en-US"/>
        </w:rPr>
        <w:t>but not against Gram-negative bacteria (due to the presence of outer membrane) or the tubercle</w:t>
      </w:r>
      <w:r>
        <w:rPr>
          <w:rStyle w:val="Hyperlink.1"/>
          <w:rtl w:val="0"/>
          <w:lang w:val="en-US"/>
        </w:rPr>
        <w:t xml:space="preserve">  </w:t>
      </w:r>
      <w:r>
        <w:rPr>
          <w:rStyle w:val="Hyperlink.1"/>
          <w:rtl w:val="0"/>
          <w:lang w:val="en-US"/>
        </w:rPr>
        <w:t>bacillus (because of the extra thick cell wall) (Hopwood, 2007). Following the discovery of</w:t>
      </w:r>
      <w:r>
        <w:rPr>
          <w:rStyle w:val="Hyperlink.1"/>
          <w:rtl w:val="0"/>
          <w:lang w:val="en-US"/>
        </w:rPr>
        <w:t xml:space="preserve">  </w:t>
      </w:r>
      <w:r>
        <w:rPr>
          <w:rStyle w:val="Hyperlink.1"/>
          <w:rtl w:val="0"/>
          <w:lang w:val="en-US"/>
        </w:rPr>
        <w:t>penicillin by Fleming, other scientists, including Rene Dubos and Selman Waksman, started a</w:t>
      </w:r>
      <w:r>
        <w:rPr>
          <w:rStyle w:val="Hyperlink.1"/>
          <w:rtl w:val="0"/>
          <w:lang w:val="en-US"/>
        </w:rPr>
        <w:t xml:space="preserve">  </w:t>
      </w:r>
      <w:r>
        <w:rPr>
          <w:rStyle w:val="Hyperlink.1"/>
          <w:rtl w:val="0"/>
          <w:lang w:val="en-US"/>
        </w:rPr>
        <w:t>deliberate search for antibacterial agents among soil microorganisms, including bacteria and</w:t>
      </w:r>
      <w:r>
        <w:rPr>
          <w:rStyle w:val="Hyperlink.1"/>
          <w:rtl w:val="0"/>
          <w:lang w:val="en-US"/>
        </w:rPr>
        <w:t xml:space="preserve">  </w:t>
      </w:r>
      <w:r>
        <w:rPr>
          <w:rStyle w:val="Hyperlink.1"/>
          <w:rtl w:val="0"/>
          <w:lang w:val="en-US"/>
        </w:rPr>
        <w:t>fungi. It was soon realized that antibacterial activity was most often present in actinomycete cultures and less often in other bacteria or fungi. During this period, several antibiotics were</w:t>
      </w:r>
      <w:r>
        <w:rPr>
          <w:rStyle w:val="Hyperlink.1"/>
          <w:rtl w:val="0"/>
          <w:lang w:val="en-US"/>
        </w:rPr>
        <w:t xml:space="preserve">  </w:t>
      </w:r>
      <w:r>
        <w:rPr>
          <w:rStyle w:val="Hyperlink.1"/>
          <w:rtl w:val="0"/>
          <w:lang w:val="en-US"/>
        </w:rPr>
        <w:t>discovered in the screens designed by these scientists but many of these were of little use in</w:t>
      </w:r>
      <w:r>
        <w:rPr>
          <w:rStyle w:val="Hyperlink.1"/>
          <w:rtl w:val="0"/>
          <w:lang w:val="en-US"/>
        </w:rPr>
        <w:t xml:space="preserve">  </w:t>
      </w:r>
      <w:r>
        <w:rPr>
          <w:rStyle w:val="Hyperlink.1"/>
          <w:rtl w:val="0"/>
          <w:lang w:val="en-US"/>
        </w:rPr>
        <w:t>the clinic due to their toxicity in animals. The next biggest discovery came about in 1943,</w:t>
      </w:r>
      <w:r>
        <w:rPr>
          <w:rStyle w:val="Hyperlink.1"/>
          <w:rtl w:val="0"/>
          <w:lang w:val="en-US"/>
        </w:rPr>
        <w:t xml:space="preserve">  </w:t>
      </w:r>
      <w:r>
        <w:rPr>
          <w:rStyle w:val="Hyperlink.1"/>
          <w:rtl w:val="0"/>
          <w:lang w:val="en-US"/>
        </w:rPr>
        <w:t>resulting in identification of streptomycin produced by Streptomyces griseus. Streptomycin</w:t>
      </w:r>
      <w:r>
        <w:rPr>
          <w:rStyle w:val="Hyperlink.1"/>
          <w:rtl w:val="0"/>
          <w:lang w:val="en-US"/>
        </w:rPr>
        <w:t xml:space="preserve">  </w:t>
      </w:r>
      <w:r>
        <w:rPr>
          <w:rStyle w:val="Hyperlink.1"/>
          <w:rtl w:val="0"/>
          <w:lang w:val="en-US"/>
        </w:rPr>
        <w:t>inhibits protein synthesis by binding to the 30S subunit of the prokaryotic ribosome and was</w:t>
      </w:r>
      <w:r>
        <w:rPr>
          <w:rStyle w:val="Hyperlink.1"/>
          <w:rtl w:val="0"/>
          <w:lang w:val="en-US"/>
        </w:rPr>
        <w:t xml:space="preserve">  </w:t>
      </w:r>
      <w:r>
        <w:rPr>
          <w:rStyle w:val="Hyperlink.1"/>
          <w:rtl w:val="0"/>
          <w:lang w:val="en-US"/>
        </w:rPr>
        <w:t>found to be effective not only against Gram-negative bacteria but also against the tubercle</w:t>
      </w:r>
      <w:r>
        <w:rPr>
          <w:rStyle w:val="Hyperlink.1"/>
          <w:rtl w:val="0"/>
          <w:lang w:val="en-US"/>
        </w:rPr>
        <w:t xml:space="preserve">  </w:t>
      </w:r>
      <w:r>
        <w:rPr>
          <w:rStyle w:val="Hyperlink.1"/>
          <w:rtl w:val="0"/>
          <w:lang w:val="en-US"/>
        </w:rPr>
        <w:t>bacillus (Hopwood, 2007). With the discovery of streptomycin, the golden age of antibiotic</w:t>
      </w:r>
      <w:r>
        <w:rPr>
          <w:rStyle w:val="Hyperlink.1"/>
          <w:rtl w:val="0"/>
          <w:lang w:val="en-US"/>
        </w:rPr>
        <w:t xml:space="preserve">  </w:t>
      </w:r>
      <w:r>
        <w:rPr>
          <w:rStyle w:val="Hyperlink.1"/>
          <w:rtl w:val="0"/>
          <w:lang w:val="en-US"/>
        </w:rPr>
        <w:t>discovery and development (1940</w:t>
      </w:r>
      <w:r>
        <w:rPr>
          <w:rStyle w:val="Hyperlink.1"/>
          <w:rtl w:val="0"/>
          <w:lang w:val="en-US"/>
        </w:rPr>
        <w:t>–</w:t>
      </w:r>
      <w:r>
        <w:rPr>
          <w:rStyle w:val="Hyperlink.1"/>
          <w:rtl w:val="0"/>
          <w:lang w:val="en-US"/>
        </w:rPr>
        <w:t>1990) ensued. This involved efforts of many academic</w:t>
      </w:r>
      <w:r>
        <w:rPr>
          <w:rStyle w:val="Hyperlink.1"/>
          <w:rtl w:val="0"/>
          <w:lang w:val="en-US"/>
        </w:rPr>
        <w:t xml:space="preserve">  </w:t>
      </w:r>
      <w:r>
        <w:rPr>
          <w:rStyle w:val="Hyperlink.1"/>
          <w:rtl w:val="0"/>
          <w:lang w:val="en-US"/>
        </w:rPr>
        <w:t>institutions and major pharmaceutical companies in the United States and other countries.</w:t>
      </w:r>
      <w:r>
        <w:rPr>
          <w:rStyle w:val="Hyperlink.1"/>
          <w:rtl w:val="0"/>
          <w:lang w:val="en-US"/>
        </w:rPr>
        <w:t xml:space="preserve">  </w:t>
      </w:r>
      <w:r>
        <w:rPr>
          <w:rStyle w:val="Hyperlink.1"/>
          <w:rtl w:val="0"/>
          <w:lang w:val="en-US"/>
        </w:rPr>
        <w:t>Currently, antibiotics affecting almost every process in the bacterial cell are known. Based on</w:t>
      </w:r>
      <w:r>
        <w:rPr>
          <w:rStyle w:val="Hyperlink.1"/>
          <w:rtl w:val="0"/>
          <w:lang w:val="en-US"/>
        </w:rPr>
        <w:t xml:space="preserve">  </w:t>
      </w:r>
      <w:r>
        <w:rPr>
          <w:rStyle w:val="Hyperlink.1"/>
          <w:rtl w:val="0"/>
          <w:lang w:val="en-US"/>
        </w:rPr>
        <w:t>their structure and mode of action, at least seven major groups of antibiotics have been</w:t>
      </w:r>
      <w:r>
        <w:rPr>
          <w:rStyle w:val="Hyperlink.1"/>
          <w:rtl w:val="0"/>
          <w:lang w:val="en-US"/>
        </w:rPr>
        <w:t xml:space="preserve">  </w:t>
      </w:r>
      <w:r>
        <w:rPr>
          <w:rStyle w:val="Hyperlink.1"/>
          <w:rtl w:val="0"/>
          <w:lang w:val="en-US"/>
        </w:rPr>
        <w:t xml:space="preserve">described. These include </w:t>
      </w:r>
      <w:r>
        <w:rPr>
          <w:rStyle w:val="Hyperlink.1"/>
          <w:rtl w:val="0"/>
          <w:lang w:val="en-US"/>
        </w:rPr>
        <w:t>β</w:t>
      </w:r>
      <w:r>
        <w:rPr>
          <w:rStyle w:val="Hyperlink.1"/>
          <w:rtl w:val="0"/>
          <w:lang w:val="en-US"/>
        </w:rPr>
        <w:t>-lactams (inhibiting cell wall synthesis), aminoglycosides (protein</w:t>
      </w:r>
      <w:r>
        <w:rPr>
          <w:rStyle w:val="Hyperlink.1"/>
          <w:rtl w:val="0"/>
          <w:lang w:val="en-US"/>
        </w:rPr>
        <w:t xml:space="preserve">  </w:t>
      </w:r>
      <w:r>
        <w:rPr>
          <w:rStyle w:val="Hyperlink.1"/>
          <w:rtl w:val="0"/>
          <w:lang w:val="en-US"/>
        </w:rPr>
        <w:t>synthesis), macrolides (protein synthesis), tetracyclines (protein synthesis), daptomycin (cell</w:t>
      </w:r>
      <w:r>
        <w:rPr>
          <w:rStyle w:val="Hyperlink.1"/>
          <w:rtl w:val="0"/>
          <w:lang w:val="en-US"/>
        </w:rPr>
        <w:t xml:space="preserve">  </w:t>
      </w:r>
      <w:r>
        <w:rPr>
          <w:rStyle w:val="Hyperlink.1"/>
          <w:rtl w:val="0"/>
          <w:lang w:val="en-US"/>
        </w:rPr>
        <w:t>membrane function), platensimycin (fatty acid biosynthesis), and glycopeptides (cell wall</w:t>
      </w:r>
      <w:r>
        <w:rPr>
          <w:rStyle w:val="Hyperlink.1"/>
          <w:rtl w:val="0"/>
          <w:lang w:val="en-US"/>
        </w:rPr>
        <w:t xml:space="preserve">  </w:t>
      </w:r>
      <w:r>
        <w:rPr>
          <w:rStyle w:val="Hyperlink.1"/>
          <w:rtl w:val="0"/>
          <w:lang w:val="en-US"/>
        </w:rPr>
        <w:t>synthesis).</w:t>
      </w:r>
    </w:p>
    <w:p>
      <w:pPr>
        <w:pStyle w:val="Normal.0"/>
        <w:spacing w:after="0" w:line="360" w:lineRule="auto"/>
        <w:ind w:right="89" w:firstLine="720"/>
        <w:jc w:val="both"/>
        <w:rPr>
          <w:rStyle w:val="Hyperlink.1"/>
        </w:rPr>
      </w:pPr>
    </w:p>
    <w:p>
      <w:pPr>
        <w:pStyle w:val="Normal.0"/>
        <w:spacing w:after="0" w:line="360" w:lineRule="auto"/>
        <w:ind w:right="89" w:firstLine="720"/>
        <w:jc w:val="both"/>
        <w:rPr>
          <w:rStyle w:val="Hyperlink.1"/>
        </w:rPr>
      </w:pPr>
    </w:p>
    <w:p>
      <w:pPr>
        <w:pStyle w:val="Normal.0"/>
        <w:spacing w:after="0" w:line="360" w:lineRule="auto"/>
        <w:ind w:right="89" w:firstLine="720"/>
        <w:jc w:val="both"/>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r>
        <w:rPr>
          <w:rStyle w:val="None"/>
          <w:rFonts w:ascii="Segoe UI Symbol" w:cs="Segoe UI Symbol" w:hAnsi="Segoe UI Symbol" w:eastAsia="Segoe UI Symbol"/>
          <w:outline w:val="0"/>
          <w:color w:val="000000"/>
          <w:kern w:val="0"/>
          <w:sz w:val="24"/>
          <w:szCs w:val="24"/>
          <w:u w:color="000000"/>
          <w:rtl w:val="1"/>
          <w:lang w:val="ar-SA" w:bidi="ar-SA"/>
          <w14:textFill>
            <w14:solidFill>
              <w14:srgbClr w14:val="000000"/>
            </w14:solidFill>
          </w14:textFill>
        </w:rPr>
        <w:t>❖</w:t>
      </w:r>
      <w:r>
        <w:rPr>
          <w:rStyle w:val="None"/>
          <w:rFonts w:ascii="Segoe UI Symbol" w:cs="Segoe UI Symbol" w:hAnsi="Segoe UI Symbol" w:eastAsia="Segoe UI Symbol"/>
          <w:outline w:val="0"/>
          <w:color w:val="000000"/>
          <w:kern w:val="0"/>
          <w:sz w:val="24"/>
          <w:szCs w:val="24"/>
          <w:u w:color="000000"/>
          <w:lang w:val="en-US"/>
          <w14:textFill>
            <w14:solidFill>
              <w14:srgbClr w14:val="000000"/>
            </w14:solidFill>
          </w14:textFill>
        </w:rPr>
        <w:tab/>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Sample Collection</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89" w:firstLine="720"/>
        <w:jc w:val="both"/>
        <w:rPr>
          <w:rStyle w:val="None"/>
          <w:rFonts w:ascii="Times New Roman" w:cs="Times New Roman" w:hAnsi="Times New Roman" w:eastAsia="Times New Roman"/>
          <w:kern w:val="0"/>
        </w:rPr>
      </w:pPr>
      <w:r>
        <w:rPr>
          <w:rStyle w:val="Hyperlink.1"/>
          <w:rtl w:val="0"/>
          <w:lang w:val="en-US"/>
        </w:rPr>
        <w:t>The source of bacterial isolation consisted of soil with antibiotic wastes in the non</w:t>
      </w:r>
      <w:r>
        <w:rPr>
          <w:rStyle w:val="Hyperlink.1"/>
          <w:rtl w:val="0"/>
          <w:lang w:val="en-US"/>
        </w:rPr>
        <w:t xml:space="preserve">  </w:t>
      </w:r>
      <w:r>
        <w:rPr>
          <w:rStyle w:val="Hyperlink.1"/>
          <w:rtl w:val="0"/>
          <w:lang w:val="en-US"/>
        </w:rPr>
        <w:t>clinical side. Soil samples were collected from two different areas in kerala district such as</w:t>
      </w:r>
      <w:r>
        <w:rPr>
          <w:rStyle w:val="Hyperlink.1"/>
          <w:rtl w:val="0"/>
          <w:lang w:val="en-US"/>
        </w:rPr>
        <w:t xml:space="preserve">  </w:t>
      </w:r>
      <w:r>
        <w:rPr>
          <w:rStyle w:val="Hyperlink.1"/>
          <w:rtl w:val="0"/>
          <w:lang w:val="en-US"/>
        </w:rPr>
        <w:t>Trivandrum Musem and kollam Bus stand. The sterile containers were used to collect soil</w:t>
      </w:r>
      <w:r>
        <w:rPr>
          <w:rStyle w:val="Hyperlink.1"/>
          <w:rtl w:val="0"/>
          <w:lang w:val="en-US"/>
        </w:rPr>
        <w:t xml:space="preserve">  </w:t>
      </w:r>
      <w:r>
        <w:rPr>
          <w:rStyle w:val="Hyperlink.1"/>
          <w:rtl w:val="0"/>
          <w:lang w:val="en-US"/>
        </w:rPr>
        <w:t>samples and were labelled appropriately. The soil sample is immediately carried to the</w:t>
      </w:r>
      <w:r>
        <w:rPr>
          <w:rStyle w:val="Hyperlink.1"/>
          <w:rtl w:val="0"/>
          <w:lang w:val="en-US"/>
        </w:rPr>
        <w:t xml:space="preserve">  </w:t>
      </w:r>
      <w:r>
        <w:rPr>
          <w:rStyle w:val="Hyperlink.1"/>
          <w:rtl w:val="0"/>
          <w:lang w:val="en-US"/>
        </w:rPr>
        <w:t>laboratory and stored at +4</w:t>
      </w:r>
      <w:r>
        <w:rPr>
          <w:rStyle w:val="Hyperlink.1"/>
          <w:rtl w:val="0"/>
          <w:lang w:val="en-US"/>
        </w:rPr>
        <w:t>°</w:t>
      </w:r>
      <w:r>
        <w:rPr>
          <w:rStyle w:val="Hyperlink.1"/>
          <w:rtl w:val="0"/>
          <w:lang w:val="en-US"/>
        </w:rPr>
        <w:t>C in a refrigerator prior to use.</w:t>
      </w:r>
      <w:r>
        <w:rPr>
          <w:rStyle w:val="Hyperlink.1"/>
          <w:rtl w:val="0"/>
          <w:lang w:val="en-US"/>
        </w:rPr>
        <w:t> </w:t>
      </w: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r>
        <w:rPr>
          <w:rStyle w:val="None"/>
          <w:rFonts w:ascii="Segoe UI Symbol" w:cs="Segoe UI Symbol" w:hAnsi="Segoe UI Symbol" w:eastAsia="Segoe UI Symbol"/>
          <w:outline w:val="0"/>
          <w:color w:val="000000"/>
          <w:kern w:val="0"/>
          <w:sz w:val="24"/>
          <w:szCs w:val="24"/>
          <w:u w:color="000000"/>
          <w:rtl w:val="1"/>
          <w:lang w:val="ar-SA" w:bidi="ar-SA"/>
          <w14:textFill>
            <w14:solidFill>
              <w14:srgbClr w14:val="000000"/>
            </w14:solidFill>
          </w14:textFill>
        </w:rPr>
        <w:t>❖</w:t>
      </w:r>
      <w:r>
        <w:rPr>
          <w:rStyle w:val="None"/>
          <w:rFonts w:ascii="Segoe UI Symbol" w:cs="Segoe UI Symbol" w:hAnsi="Segoe UI Symbol" w:eastAsia="Segoe UI Symbol"/>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Culture Media</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1" w:firstLine="630"/>
        <w:jc w:val="both"/>
        <w:rPr>
          <w:rStyle w:val="None"/>
          <w:rFonts w:ascii="Times New Roman" w:cs="Times New Roman" w:hAnsi="Times New Roman" w:eastAsia="Times New Roman"/>
          <w:kern w:val="0"/>
          <w:sz w:val="24"/>
          <w:szCs w:val="24"/>
        </w:rPr>
      </w:pPr>
      <w:r>
        <w:rPr>
          <w:rStyle w:val="Hyperlink.1"/>
          <w:rtl w:val="0"/>
          <w:lang w:val="en-US"/>
        </w:rPr>
        <w:t>The samples collected were serially diluted by taking 1 mL of the sample added onto 9</w:t>
      </w:r>
      <w:r>
        <w:rPr>
          <w:rStyle w:val="Hyperlink.1"/>
          <w:rtl w:val="0"/>
          <w:lang w:val="en-US"/>
        </w:rPr>
        <w:t xml:space="preserve">  </w:t>
      </w:r>
      <w:r>
        <w:rPr>
          <w:rStyle w:val="Hyperlink.1"/>
          <w:rtl w:val="0"/>
          <w:lang w:val="en-US"/>
        </w:rPr>
        <w:t>ml of saline (0.9%) to make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1 </w:t>
      </w:r>
      <w:r>
        <w:rPr>
          <w:rStyle w:val="Hyperlink.1"/>
          <w:rtl w:val="0"/>
          <w:lang w:val="en-US"/>
        </w:rPr>
        <w:t>and 1 ml of this sample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 added into another tube</w:t>
      </w:r>
      <w:r>
        <w:rPr>
          <w:rStyle w:val="Hyperlink.1"/>
          <w:rtl w:val="0"/>
          <w:lang w:val="en-US"/>
        </w:rPr>
        <w:t xml:space="preserve">  </w:t>
      </w:r>
      <w:r>
        <w:rPr>
          <w:rStyle w:val="Hyperlink.1"/>
          <w:rtl w:val="0"/>
          <w:lang w:val="en-US"/>
        </w:rPr>
        <w:t>containing 9 ml of saline to prepare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2 </w:t>
      </w:r>
      <w:r>
        <w:rPr>
          <w:rStyle w:val="Hyperlink.1"/>
          <w:rtl w:val="0"/>
          <w:lang w:val="en-US"/>
        </w:rPr>
        <w:t>dilution and this serial dilution method is continued</w:t>
      </w:r>
      <w:r>
        <w:rPr>
          <w:rStyle w:val="Hyperlink.1"/>
          <w:rtl w:val="0"/>
          <w:lang w:val="en-US"/>
        </w:rPr>
        <w:t xml:space="preserve">  </w:t>
      </w:r>
      <w:r>
        <w:rPr>
          <w:rStyle w:val="Hyperlink.1"/>
          <w:rtl w:val="0"/>
          <w:lang w:val="en-US"/>
        </w:rPr>
        <w:t>upto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6 </w:t>
      </w:r>
      <w:r>
        <w:rPr>
          <w:rStyle w:val="Hyperlink.1"/>
          <w:rtl w:val="0"/>
          <w:lang w:val="en-US"/>
        </w:rPr>
        <w:t>dilution. 1 ml of samples from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2</w:t>
      </w:r>
      <w:r>
        <w:rPr>
          <w:rStyle w:val="Hyperlink.1"/>
          <w:rtl w:val="0"/>
          <w:lang w:val="en-US"/>
        </w:rPr>
        <w:t>,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4 </w:t>
      </w:r>
      <w:r>
        <w:rPr>
          <w:rStyle w:val="Hyperlink.1"/>
          <w:rtl w:val="0"/>
          <w:lang w:val="en-US"/>
        </w:rPr>
        <w:t>and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6 </w:t>
      </w:r>
      <w:r>
        <w:rPr>
          <w:rStyle w:val="Hyperlink.1"/>
          <w:rtl w:val="0"/>
          <w:lang w:val="en-US"/>
        </w:rPr>
        <w:t>dilutions were plated onto nutrient</w:t>
      </w:r>
      <w:r>
        <w:rPr>
          <w:rStyle w:val="Hyperlink.1"/>
          <w:rtl w:val="0"/>
          <w:lang w:val="en-US"/>
        </w:rPr>
        <w:t xml:space="preserve">  </w:t>
      </w:r>
      <w:r>
        <w:rPr>
          <w:rStyle w:val="Hyperlink.1"/>
          <w:rtl w:val="0"/>
          <w:lang w:val="en-US"/>
        </w:rPr>
        <w:t>agar media containing canamycin and Gentamycin. These plates were incubated at 37</w:t>
      </w:r>
      <w:r>
        <w:rPr>
          <w:rStyle w:val="Hyperlink.1"/>
          <w:rtl w:val="0"/>
          <w:lang w:val="en-US"/>
        </w:rPr>
        <w:t>°</w:t>
      </w:r>
      <w:r>
        <w:rPr>
          <w:rStyle w:val="Hyperlink.1"/>
          <w:rtl w:val="0"/>
          <w:lang w:val="en-US"/>
        </w:rPr>
        <w:t>C for 24</w:t>
      </w:r>
      <w:r>
        <w:rPr>
          <w:rStyle w:val="Hyperlink.1"/>
          <w:rtl w:val="0"/>
          <w:lang w:val="en-US"/>
        </w:rPr>
        <w:t xml:space="preserve">  </w:t>
      </w:r>
      <w:r>
        <w:rPr>
          <w:rStyle w:val="Hyperlink.1"/>
          <w:rtl w:val="0"/>
          <w:lang w:val="en-US"/>
        </w:rPr>
        <w:t>hours. The bacterial growth was visible on the plate as colonies on nutrient agar media</w:t>
      </w:r>
      <w:r>
        <w:rPr>
          <w:rStyle w:val="Hyperlink.1"/>
          <w:rtl w:val="0"/>
          <w:lang w:val="en-US"/>
        </w:rPr>
        <w:t xml:space="preserve">  </w:t>
      </w:r>
      <w:r>
        <w:rPr>
          <w:rStyle w:val="Hyperlink.1"/>
          <w:rtl w:val="0"/>
          <w:lang w:val="en-US"/>
        </w:rPr>
        <w:t>containing both canamycin and Gentamycin.</w:t>
      </w:r>
      <w:r>
        <w:rPr>
          <w:rStyle w:val="Hyperlink.1"/>
          <w:rtl w:val="0"/>
          <w:lang w:val="en-US"/>
        </w:rPr>
        <w:t> </w:t>
      </w: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r>
        <w:rPr>
          <w:rStyle w:val="None"/>
          <w:rFonts w:ascii="Segoe UI Symbol" w:cs="Segoe UI Symbol" w:hAnsi="Segoe UI Symbol" w:eastAsia="Segoe UI Symbol"/>
          <w:outline w:val="0"/>
          <w:color w:val="000000"/>
          <w:kern w:val="0"/>
          <w:sz w:val="24"/>
          <w:szCs w:val="24"/>
          <w:u w:color="000000"/>
          <w:rtl w:val="1"/>
          <w:lang w:val="ar-SA" w:bidi="ar-SA"/>
          <w14:textFill>
            <w14:solidFill>
              <w14:srgbClr w14:val="000000"/>
            </w14:solidFill>
          </w14:textFill>
        </w:rPr>
        <w:t>❖</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Primer designing for the gene which encodes 16SrRNA (16S rDNA)</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1" w:firstLine="630"/>
        <w:jc w:val="both"/>
        <w:rPr>
          <w:rStyle w:val="None"/>
          <w:rFonts w:ascii="Times New Roman" w:cs="Times New Roman" w:hAnsi="Times New Roman" w:eastAsia="Times New Roman"/>
          <w:kern w:val="0"/>
          <w:sz w:val="24"/>
          <w:szCs w:val="24"/>
        </w:rPr>
      </w:pPr>
      <w:r>
        <w:rPr>
          <w:rStyle w:val="Hyperlink.1"/>
          <w:rtl w:val="0"/>
          <w:lang w:val="en-US"/>
        </w:rPr>
        <w:t>16S ribosomal RNA or 16S rRNA is the component of the 30S small subunit of a</w:t>
      </w:r>
      <w:r>
        <w:rPr>
          <w:rStyle w:val="Hyperlink.1"/>
          <w:rtl w:val="0"/>
          <w:lang w:val="en-US"/>
        </w:rPr>
        <w:t xml:space="preserve">  </w:t>
      </w:r>
      <w:r>
        <w:rPr>
          <w:rStyle w:val="Hyperlink.1"/>
          <w:rtl w:val="0"/>
          <w:lang w:val="en-US"/>
        </w:rPr>
        <w:t>prokaryotic ribosome that binds to the Shine-Dalgarno sequence. The genes coding for it are</w:t>
      </w:r>
      <w:r>
        <w:rPr>
          <w:rStyle w:val="Hyperlink.1"/>
          <w:rtl w:val="0"/>
          <w:lang w:val="en-US"/>
        </w:rPr>
        <w:t xml:space="preserve">  </w:t>
      </w:r>
      <w:r>
        <w:rPr>
          <w:rStyle w:val="Hyperlink.1"/>
          <w:rtl w:val="0"/>
          <w:lang w:val="en-US"/>
        </w:rPr>
        <w:t>referred to as 16S rRNA gene and are used in reconstructing phylogenies and molecular</w:t>
      </w:r>
      <w:r>
        <w:rPr>
          <w:rStyle w:val="Hyperlink.1"/>
          <w:rtl w:val="0"/>
          <w:lang w:val="en-US"/>
        </w:rPr>
        <w:t xml:space="preserve">  </w:t>
      </w:r>
      <w:r>
        <w:rPr>
          <w:rStyle w:val="Hyperlink.1"/>
          <w:rtl w:val="0"/>
          <w:lang w:val="en-US"/>
        </w:rPr>
        <w:t>taxonomy of bacteria due to the slow rates of evolution of this region of the gene. It has proven</w:t>
      </w:r>
      <w:r>
        <w:rPr>
          <w:rStyle w:val="Hyperlink.1"/>
          <w:rtl w:val="0"/>
          <w:lang w:val="en-US"/>
        </w:rPr>
        <w:t xml:space="preserve">  </w:t>
      </w:r>
      <w:r>
        <w:rPr>
          <w:rStyle w:val="Hyperlink.1"/>
          <w:rtl w:val="0"/>
          <w:lang w:val="en-US"/>
        </w:rPr>
        <w:t xml:space="preserve">to be a stable and specific molecular marker for the identification of bacteria (Vijai Singh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al</w:t>
      </w:r>
      <w:r>
        <w:rPr>
          <w:rStyle w:val="Hyperlink.1"/>
          <w:rtl w:val="0"/>
          <w:lang w:val="en-US"/>
        </w:rPr>
        <w:t>., 2012). The primers were designed for the genes which encode 16s rRNA (rDNA).</w:t>
      </w:r>
      <w:r>
        <w:rPr>
          <w:rStyle w:val="Hyperlink.1"/>
          <w:rtl w:val="0"/>
          <w:lang w:val="en-US"/>
        </w:rPr>
        <w:t> </w:t>
      </w:r>
    </w:p>
    <w:tbl>
      <w:tblPr>
        <w:tblW w:w="5167" w:type="dxa"/>
        <w:jc w:val="left"/>
        <w:tblInd w:w="157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3624"/>
      </w:tblGrid>
      <w:tr>
        <w:tblPrEx>
          <w:shd w:val="clear" w:color="auto" w:fill="ced7e7"/>
        </w:tblPrEx>
        <w:trPr>
          <w:trHeight w:val="485" w:hRule="atLeast"/>
        </w:trPr>
        <w:tc>
          <w:tcPr>
            <w:tcW w:type="dxa" w:w="15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Primers</w:t>
            </w:r>
            <w:r>
              <w:rPr>
                <w:rStyle w:val="None"/>
                <w:rFonts w:ascii="Times New Roman" w:hAnsi="Times New Roman" w:hint="default"/>
                <w:b w:val="1"/>
                <w:bCs w:val="1"/>
                <w:kern w:val="0"/>
                <w:sz w:val="24"/>
                <w:szCs w:val="24"/>
                <w:shd w:val="nil" w:color="auto" w:fill="auto"/>
                <w:rtl w:val="0"/>
                <w:lang w:val="en-US"/>
              </w:rPr>
              <w:t> </w:t>
            </w:r>
          </w:p>
        </w:tc>
        <w:tc>
          <w:tcPr>
            <w:tcW w:type="dxa" w:w="362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Sequences</w:t>
            </w:r>
          </w:p>
        </w:tc>
      </w:tr>
      <w:tr>
        <w:tblPrEx>
          <w:shd w:val="clear" w:color="auto" w:fill="ced7e7"/>
        </w:tblPrEx>
        <w:trPr>
          <w:trHeight w:val="392" w:hRule="atLeast"/>
        </w:trPr>
        <w:tc>
          <w:tcPr>
            <w:tcW w:type="dxa" w:w="15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0"/>
              <w:bottom w:type="dxa" w:w="80"/>
              <w:right w:type="dxa" w:w="80"/>
            </w:tcMar>
            <w:vAlign w:val="top"/>
          </w:tcPr>
          <w:p>
            <w:pPr>
              <w:pStyle w:val="Normal.0"/>
              <w:spacing w:before="120" w:after="120" w:line="240" w:lineRule="auto"/>
              <w:ind w:left="120" w:firstLine="0"/>
            </w:pPr>
            <w:r>
              <w:rPr>
                <w:rStyle w:val="None"/>
                <w:rFonts w:ascii="Times New Roman" w:hAnsi="Times New Roman"/>
                <w:kern w:val="0"/>
                <w:sz w:val="24"/>
                <w:szCs w:val="24"/>
                <w:shd w:val="nil" w:color="auto" w:fill="auto"/>
                <w:rtl w:val="0"/>
                <w:lang w:val="en-US"/>
              </w:rPr>
              <w:t>27F (F1)</w:t>
            </w:r>
            <w:r>
              <w:rPr>
                <w:rStyle w:val="None"/>
                <w:rFonts w:ascii="Times New Roman" w:hAnsi="Times New Roman" w:hint="default"/>
                <w:kern w:val="0"/>
                <w:sz w:val="24"/>
                <w:szCs w:val="24"/>
                <w:shd w:val="nil" w:color="auto" w:fill="auto"/>
                <w:rtl w:val="0"/>
                <w:lang w:val="en-US"/>
              </w:rPr>
              <w:t> </w:t>
            </w:r>
          </w:p>
        </w:tc>
        <w:tc>
          <w:tcPr>
            <w:tcW w:type="dxa" w:w="362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7"/>
              <w:bottom w:type="dxa" w:w="80"/>
              <w:right w:type="dxa" w:w="80"/>
            </w:tcMar>
            <w:vAlign w:val="top"/>
          </w:tcPr>
          <w:p>
            <w:pPr>
              <w:pStyle w:val="Normal.0"/>
              <w:spacing w:before="120" w:after="120" w:line="240" w:lineRule="auto"/>
              <w:ind w:left="117" w:firstLine="0"/>
            </w:pPr>
            <w:r>
              <w:rPr>
                <w:rStyle w:val="None"/>
                <w:rFonts w:ascii="Times New Roman" w:hAnsi="Times New Roman"/>
                <w:kern w:val="0"/>
                <w:sz w:val="24"/>
                <w:szCs w:val="24"/>
                <w:shd w:val="nil" w:color="auto" w:fill="auto"/>
                <w:rtl w:val="0"/>
                <w:lang w:val="en-US"/>
              </w:rPr>
              <w:t>AGAGTTTGATCMTGGCTCAG</w:t>
            </w:r>
          </w:p>
        </w:tc>
      </w:tr>
      <w:tr>
        <w:tblPrEx>
          <w:shd w:val="clear" w:color="auto" w:fill="ced7e7"/>
        </w:tblPrEx>
        <w:trPr>
          <w:trHeight w:val="491" w:hRule="atLeast"/>
        </w:trPr>
        <w:tc>
          <w:tcPr>
            <w:tcW w:type="dxa" w:w="15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3"/>
              <w:bottom w:type="dxa" w:w="80"/>
              <w:right w:type="dxa" w:w="80"/>
            </w:tcMar>
            <w:vAlign w:val="top"/>
          </w:tcPr>
          <w:p>
            <w:pPr>
              <w:pStyle w:val="Normal.0"/>
              <w:spacing w:before="120" w:after="120" w:line="240" w:lineRule="auto"/>
              <w:ind w:left="143" w:firstLine="0"/>
            </w:pPr>
            <w:r>
              <w:rPr>
                <w:rStyle w:val="None"/>
                <w:rFonts w:ascii="Times New Roman" w:hAnsi="Times New Roman"/>
                <w:kern w:val="0"/>
                <w:sz w:val="24"/>
                <w:szCs w:val="24"/>
                <w:shd w:val="nil" w:color="auto" w:fill="auto"/>
                <w:rtl w:val="0"/>
                <w:lang w:val="en-US"/>
              </w:rPr>
              <w:t>1492R (R1)</w:t>
            </w:r>
            <w:r>
              <w:rPr>
                <w:rStyle w:val="None"/>
                <w:rFonts w:ascii="Times New Roman" w:hAnsi="Times New Roman" w:hint="default"/>
                <w:kern w:val="0"/>
                <w:sz w:val="24"/>
                <w:szCs w:val="24"/>
                <w:shd w:val="nil" w:color="auto" w:fill="auto"/>
                <w:rtl w:val="0"/>
                <w:lang w:val="en-US"/>
              </w:rPr>
              <w:t> </w:t>
            </w:r>
          </w:p>
        </w:tc>
        <w:tc>
          <w:tcPr>
            <w:tcW w:type="dxa" w:w="362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4"/>
              <w:bottom w:type="dxa" w:w="80"/>
              <w:right w:type="dxa" w:w="80"/>
            </w:tcMar>
            <w:vAlign w:val="top"/>
          </w:tcPr>
          <w:p>
            <w:pPr>
              <w:pStyle w:val="Normal.0"/>
              <w:spacing w:before="120" w:after="120" w:line="240" w:lineRule="auto"/>
              <w:ind w:left="124" w:firstLine="0"/>
            </w:pPr>
            <w:r>
              <w:rPr>
                <w:rStyle w:val="None"/>
                <w:rFonts w:ascii="Times New Roman" w:hAnsi="Times New Roman"/>
                <w:kern w:val="0"/>
                <w:sz w:val="24"/>
                <w:szCs w:val="24"/>
                <w:shd w:val="nil" w:color="auto" w:fill="auto"/>
                <w:rtl w:val="0"/>
                <w:lang w:val="en-US"/>
              </w:rPr>
              <w:t>CGGTTACCTTGTTACGACTT</w:t>
            </w:r>
          </w:p>
        </w:tc>
      </w:tr>
    </w:tbl>
    <w:p>
      <w:pPr>
        <w:pStyle w:val="Normal.0"/>
        <w:widowControl w:val="0"/>
        <w:spacing w:after="0" w:line="240" w:lineRule="auto"/>
        <w:ind w:left="1468" w:hanging="1468"/>
        <w:rPr>
          <w:rStyle w:val="None"/>
          <w:rFonts w:ascii="Times New Roman" w:cs="Times New Roman" w:hAnsi="Times New Roman" w:eastAsia="Times New Roman"/>
          <w:kern w:val="0"/>
          <w:sz w:val="24"/>
          <w:szCs w:val="24"/>
        </w:rPr>
      </w:pPr>
    </w:p>
    <w:p>
      <w:pPr>
        <w:pStyle w:val="Normal.0"/>
        <w:widowControl w:val="0"/>
        <w:spacing w:after="0" w:line="240" w:lineRule="auto"/>
        <w:ind w:left="1360" w:hanging="1360"/>
        <w:jc w:val="both"/>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10"/>
          <w:szCs w:val="10"/>
        </w:rPr>
      </w:pPr>
    </w:p>
    <w:p>
      <w:pPr>
        <w:pStyle w:val="Normal.0"/>
        <w:spacing w:after="0" w:line="360" w:lineRule="auto"/>
        <w:ind w:right="1045"/>
        <w:jc w:val="center"/>
        <w:rPr>
          <w:rStyle w:val="None"/>
          <w:rFonts w:ascii="Times New Roman" w:cs="Times New Roman" w:hAnsi="Times New Roman" w:eastAsia="Times New Roman"/>
          <w:kern w:val="0"/>
          <w:sz w:val="24"/>
          <w:szCs w:val="24"/>
        </w:rPr>
      </w:pP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 xml:space="preserve">Table 1.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List of primers and the sequence used for PCR                                        amplification of DNA coding for 16S rRNA</w:t>
      </w: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r>
        <w:rPr>
          <w:rStyle w:val="None"/>
          <w:rFonts w:ascii="Segoe UI Symbol" w:cs="Segoe UI Symbol" w:hAnsi="Segoe UI Symbol" w:eastAsia="Segoe UI Symbol"/>
          <w:outline w:val="0"/>
          <w:color w:val="000000"/>
          <w:kern w:val="0"/>
          <w:sz w:val="24"/>
          <w:szCs w:val="24"/>
          <w:u w:color="000000"/>
          <w:rtl w:val="1"/>
          <w:lang w:val="ar-SA" w:bidi="ar-SA"/>
          <w14:textFill>
            <w14:solidFill>
              <w14:srgbClr w14:val="000000"/>
            </w14:solidFill>
          </w14:textFill>
        </w:rPr>
        <w:t>❖</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Colony PCR amplification for 16S rDNA</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Identification of the isolates was done by rDNA PCR and sequencing. The PCR for the</w:t>
      </w:r>
      <w:r>
        <w:rPr>
          <w:rStyle w:val="Hyperlink.1"/>
          <w:rtl w:val="0"/>
          <w:lang w:val="en-US"/>
        </w:rPr>
        <w:t xml:space="preserve">  </w:t>
      </w:r>
      <w:r>
        <w:rPr>
          <w:rStyle w:val="Hyperlink.1"/>
          <w:rtl w:val="0"/>
          <w:lang w:val="en-US"/>
        </w:rPr>
        <w:t>DNA sequence which encodes 16s rRNA (rDNA) was performed by using gene specific</w:t>
      </w:r>
      <w:r>
        <w:rPr>
          <w:rStyle w:val="Hyperlink.1"/>
          <w:rtl w:val="0"/>
          <w:lang w:val="en-US"/>
        </w:rPr>
        <w:t xml:space="preserve">  </w:t>
      </w:r>
      <w:r>
        <w:rPr>
          <w:rStyle w:val="Hyperlink.1"/>
          <w:rtl w:val="0"/>
          <w:lang w:val="en-US"/>
        </w:rPr>
        <w:t>forward and reverse primers in the reaction mixture containing 50 mM KCl, 10 mM Tris HCl</w:t>
      </w:r>
      <w:r>
        <w:rPr>
          <w:rStyle w:val="Hyperlink.1"/>
          <w:rtl w:val="0"/>
          <w:lang w:val="en-US"/>
        </w:rPr>
        <w:t xml:space="preserve">  </w:t>
      </w:r>
      <w:r>
        <w:rPr>
          <w:rStyle w:val="Hyperlink.1"/>
          <w:rtl w:val="0"/>
          <w:lang w:val="en-US"/>
        </w:rPr>
        <w:t>pH 8.3, 1.5 mM MgCl</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 2.2</w:t>
      </w:r>
      <w:r>
        <w:rPr>
          <w:rStyle w:val="Hyperlink.1"/>
          <w:rtl w:val="0"/>
          <w:lang w:val="en-US"/>
        </w:rPr>
        <w:t>μ</w:t>
      </w:r>
      <w:r>
        <w:rPr>
          <w:rStyle w:val="Hyperlink.1"/>
          <w:rtl w:val="0"/>
          <w:lang w:val="en-US"/>
        </w:rPr>
        <w:t xml:space="preserve">l dNTP, 1.1 </w:t>
      </w:r>
      <w:r>
        <w:rPr>
          <w:rStyle w:val="Hyperlink.1"/>
          <w:rtl w:val="0"/>
          <w:lang w:val="en-US"/>
        </w:rPr>
        <w:t>μ</w:t>
      </w:r>
      <w:r>
        <w:rPr>
          <w:rStyle w:val="Hyperlink.1"/>
          <w:rtl w:val="0"/>
          <w:lang w:val="en-US"/>
        </w:rPr>
        <w:t xml:space="preserve">L of primers, 0.5 </w:t>
      </w:r>
      <w:r>
        <w:rPr>
          <w:rStyle w:val="Hyperlink.1"/>
          <w:rtl w:val="0"/>
          <w:lang w:val="en-US"/>
        </w:rPr>
        <w:t>μ</w:t>
      </w:r>
      <w:r>
        <w:rPr>
          <w:rStyle w:val="Hyperlink.1"/>
          <w:rtl w:val="0"/>
          <w:lang w:val="en-US"/>
        </w:rPr>
        <w:t>L of Taq DNA polymerase with</w:t>
      </w:r>
      <w:r>
        <w:rPr>
          <w:rStyle w:val="Hyperlink.1"/>
          <w:rtl w:val="0"/>
          <w:lang w:val="en-US"/>
        </w:rPr>
        <w:t xml:space="preserve">  </w:t>
      </w:r>
      <w:r>
        <w:rPr>
          <w:rStyle w:val="Hyperlink.1"/>
          <w:rtl w:val="0"/>
          <w:lang w:val="en-US"/>
        </w:rPr>
        <w:t xml:space="preserve">the bacterial colony was used as a template. PCR reaction condition employed for the study was an initial denaturation at 94 </w:t>
      </w:r>
      <w:r>
        <w:rPr>
          <w:rStyle w:val="Hyperlink.1"/>
          <w:rtl w:val="0"/>
          <w:lang w:val="en-US"/>
        </w:rPr>
        <w:t>°</w:t>
      </w:r>
      <w:r>
        <w:rPr>
          <w:rStyle w:val="Hyperlink.1"/>
          <w:rtl w:val="0"/>
          <w:lang w:val="en-US"/>
        </w:rPr>
        <w:t xml:space="preserve">C for 2 min followed by 30 cycles of denaturation at 94 </w:t>
      </w:r>
      <w:r>
        <w:rPr>
          <w:rStyle w:val="Hyperlink.1"/>
          <w:rtl w:val="0"/>
          <w:lang w:val="en-US"/>
        </w:rPr>
        <w:t>°</w:t>
      </w:r>
      <w:r>
        <w:rPr>
          <w:rStyle w:val="Hyperlink.1"/>
          <w:rtl w:val="0"/>
          <w:lang w:val="en-US"/>
        </w:rPr>
        <w:t xml:space="preserve">C for 30 seconds, annealing at 58 </w:t>
      </w:r>
      <w:r>
        <w:rPr>
          <w:rStyle w:val="Hyperlink.1"/>
          <w:rtl w:val="0"/>
          <w:lang w:val="en-US"/>
        </w:rPr>
        <w:t>°</w:t>
      </w:r>
      <w:r>
        <w:rPr>
          <w:rStyle w:val="Hyperlink.1"/>
          <w:rtl w:val="0"/>
          <w:lang w:val="en-US"/>
        </w:rPr>
        <w:t xml:space="preserve">C for 45 seconds and extension at 72 </w:t>
      </w:r>
      <w:r>
        <w:rPr>
          <w:rStyle w:val="Hyperlink.1"/>
          <w:rtl w:val="0"/>
          <w:lang w:val="en-US"/>
        </w:rPr>
        <w:t>°</w:t>
      </w:r>
      <w:r>
        <w:rPr>
          <w:rStyle w:val="Hyperlink.1"/>
          <w:rtl w:val="0"/>
          <w:lang w:val="en-US"/>
        </w:rPr>
        <w:t>C for 10 minutes using a Gene Amp</w:t>
      </w:r>
      <w:r>
        <w:rPr>
          <w:rStyle w:val="Hyperlink.1"/>
          <w:rtl w:val="0"/>
          <w:lang w:val="en-US"/>
        </w:rPr>
        <w:t xml:space="preserve">® </w:t>
      </w:r>
      <w:r>
        <w:rPr>
          <w:rStyle w:val="Hyperlink.1"/>
          <w:rtl w:val="0"/>
          <w:lang w:val="en-US"/>
        </w:rPr>
        <w:t xml:space="preserve">PCR System 9700 (Applied Biosystems) and the samples were stored at 4 </w:t>
      </w:r>
      <w:r>
        <w:rPr>
          <w:rStyle w:val="Hyperlink.1"/>
          <w:rtl w:val="0"/>
          <w:lang w:val="en-US"/>
        </w:rPr>
        <w:t>°</w:t>
      </w:r>
      <w:r>
        <w:rPr>
          <w:rStyle w:val="Hyperlink.1"/>
          <w:rtl w:val="0"/>
          <w:lang w:val="en-US"/>
        </w:rPr>
        <w:t>C.</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RESULTS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r>
        <w:rPr>
          <w:rStyle w:val="None"/>
          <w:rFonts w:ascii="Segoe UI Symbol" w:cs="Segoe UI Symbol" w:hAnsi="Segoe UI Symbol" w:eastAsia="Segoe UI Symbol"/>
          <w:outline w:val="0"/>
          <w:color w:val="000000"/>
          <w:kern w:val="0"/>
          <w:sz w:val="24"/>
          <w:szCs w:val="24"/>
          <w:u w:color="000000"/>
          <w:rtl w:val="1"/>
          <w:lang w:val="ar-SA" w:bidi="ar-SA"/>
          <w14:textFill>
            <w14:solidFill>
              <w14:srgbClr w14:val="000000"/>
            </w14:solidFill>
          </w14:textFill>
        </w:rPr>
        <w:t>❖</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Isolation and Identification of Antibiotic-Resistant Bacteria</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Two isolates were shown to grow on all the antibiotic substrates containing media such</w:t>
      </w:r>
      <w:r>
        <w:rPr>
          <w:rStyle w:val="Hyperlink.1"/>
          <w:rtl w:val="0"/>
          <w:lang w:val="en-US"/>
        </w:rPr>
        <w:t xml:space="preserve">  </w:t>
      </w:r>
      <w:r>
        <w:rPr>
          <w:rStyle w:val="Hyperlink.1"/>
          <w:rtl w:val="0"/>
          <w:lang w:val="en-US"/>
        </w:rPr>
        <w:t>as Canamycin and Gentamycin were labelled as C1 (colony1), C2 (colony2). The bacteria</w:t>
      </w:r>
      <w:r>
        <w:rPr>
          <w:rStyle w:val="Hyperlink.1"/>
          <w:rtl w:val="0"/>
          <w:lang w:val="en-US"/>
        </w:rPr>
        <w:t xml:space="preserve">  </w:t>
      </w:r>
      <w:r>
        <w:rPr>
          <w:rStyle w:val="Hyperlink.1"/>
          <w:rtl w:val="0"/>
          <w:lang w:val="en-US"/>
        </w:rPr>
        <w:t>grown on these media are shown in figure.</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All theTwo isolates gave PCR amplification using 16s rDNA specific primers. The result is</w:t>
      </w:r>
      <w:r>
        <w:rPr>
          <w:rStyle w:val="Hyperlink.1"/>
          <w:rtl w:val="0"/>
          <w:lang w:val="en-US"/>
        </w:rPr>
        <w:t xml:space="preserve">  </w:t>
      </w:r>
      <w:r>
        <w:rPr>
          <w:rStyle w:val="Hyperlink.1"/>
          <w:rtl w:val="0"/>
          <w:lang w:val="en-US"/>
        </w:rPr>
        <w:t>shown in Figure. We used two primer sets namely F1in combination with R1 and F2 in</w:t>
      </w:r>
      <w:r>
        <w:rPr>
          <w:rStyle w:val="Hyperlink.1"/>
          <w:rtl w:val="0"/>
          <w:lang w:val="en-US"/>
        </w:rPr>
        <w:t xml:space="preserve">  </w:t>
      </w:r>
      <w:r>
        <w:rPr>
          <w:rStyle w:val="Hyperlink.1"/>
          <w:rtl w:val="0"/>
          <w:lang w:val="en-US"/>
        </w:rPr>
        <w:t>combination with R2 which gave bands of sizes &gt;1 kb and 500 bps respectively. The gel pieces</w:t>
      </w:r>
      <w:r>
        <w:rPr>
          <w:rStyle w:val="Hyperlink.1"/>
          <w:rtl w:val="0"/>
          <w:lang w:val="en-US"/>
        </w:rPr>
        <w:t xml:space="preserve">  </w:t>
      </w:r>
      <w:r>
        <w:rPr>
          <w:rStyle w:val="Hyperlink.1"/>
          <w:rtl w:val="0"/>
          <w:lang w:val="en-US"/>
        </w:rPr>
        <w:t>showing the 500 bp bands were cut eluted and sequencing PCR reaction was setup with the F2</w:t>
      </w:r>
      <w:r>
        <w:rPr>
          <w:rStyle w:val="Hyperlink.1"/>
          <w:rtl w:val="0"/>
          <w:lang w:val="en-US"/>
        </w:rPr>
        <w:t xml:space="preserve">  </w:t>
      </w:r>
      <w:r>
        <w:rPr>
          <w:rStyle w:val="Hyperlink.1"/>
          <w:rtl w:val="0"/>
          <w:lang w:val="en-US"/>
        </w:rPr>
        <w:t>and R2 primers using the Big Dye Terminator v3.1 Cycle Sequencing Kit. The sequencing cycle was performed in conditions in which the initial denaturation of 94</w:t>
      </w:r>
      <w:r>
        <w:rPr>
          <w:rStyle w:val="Hyperlink.1"/>
          <w:rtl w:val="0"/>
          <w:lang w:val="en-US"/>
        </w:rPr>
        <w:t>°</w:t>
      </w:r>
      <w:r>
        <w:rPr>
          <w:rStyle w:val="Hyperlink.1"/>
          <w:rtl w:val="0"/>
          <w:lang w:val="en-US"/>
        </w:rPr>
        <w:t>C for 2 minutes is</w:t>
      </w:r>
      <w:r>
        <w:rPr>
          <w:rStyle w:val="Hyperlink.1"/>
          <w:rtl w:val="0"/>
          <w:lang w:val="en-US"/>
        </w:rPr>
        <w:t xml:space="preserve">  </w:t>
      </w:r>
      <w:r>
        <w:rPr>
          <w:rStyle w:val="Hyperlink.1"/>
          <w:rtl w:val="0"/>
          <w:lang w:val="en-US"/>
        </w:rPr>
        <w:t>followed by 25 cycles of 94</w:t>
      </w:r>
      <w:r>
        <w:rPr>
          <w:rStyle w:val="Hyperlink.1"/>
          <w:rtl w:val="0"/>
          <w:lang w:val="en-US"/>
        </w:rPr>
        <w:t>°</w:t>
      </w:r>
      <w:r>
        <w:rPr>
          <w:rStyle w:val="Hyperlink.1"/>
          <w:rtl w:val="0"/>
          <w:lang w:val="en-US"/>
        </w:rPr>
        <w:t>C for 15 seconds, 58</w:t>
      </w:r>
      <w:r>
        <w:rPr>
          <w:rStyle w:val="Hyperlink.1"/>
          <w:rtl w:val="0"/>
          <w:lang w:val="en-US"/>
        </w:rPr>
        <w:t>°</w:t>
      </w:r>
      <w:r>
        <w:rPr>
          <w:rStyle w:val="Hyperlink.1"/>
          <w:rtl w:val="0"/>
          <w:lang w:val="en-US"/>
        </w:rPr>
        <w:t>C for 15 seconds and 60</w:t>
      </w:r>
      <w:r>
        <w:rPr>
          <w:rStyle w:val="Hyperlink.1"/>
          <w:rtl w:val="0"/>
          <w:lang w:val="en-US"/>
        </w:rPr>
        <w:t>°</w:t>
      </w:r>
      <w:r>
        <w:rPr>
          <w:rStyle w:val="Hyperlink.1"/>
          <w:rtl w:val="0"/>
          <w:lang w:val="en-US"/>
        </w:rPr>
        <w:t>C for 4 minutes in</w:t>
      </w:r>
      <w:r>
        <w:rPr>
          <w:rStyle w:val="Hyperlink.1"/>
          <w:rtl w:val="0"/>
          <w:lang w:val="en-US"/>
        </w:rPr>
        <w:t xml:space="preserve">  </w:t>
      </w:r>
      <w:r>
        <w:rPr>
          <w:rStyle w:val="Hyperlink.1"/>
          <w:rtl w:val="0"/>
          <w:lang w:val="en-US"/>
        </w:rPr>
        <w:t>an ABI Gene-AMP PCR system 9700 (AB Applied Biosystems, CA, USA). The dye</w:t>
      </w:r>
      <w:r>
        <w:rPr>
          <w:rStyle w:val="Hyperlink.1"/>
          <w:rtl w:val="0"/>
          <w:lang w:val="en-US"/>
        </w:rPr>
        <w:t> </w:t>
      </w:r>
      <w:r>
        <w:rPr>
          <w:rStyle w:val="Hyperlink.1"/>
          <w:rtl w:val="0"/>
          <w:lang w:val="en-US"/>
        </w:rPr>
        <w:t>terminated products were precipitated and sequenced on Applied Biosystem 3730 48 capillary</w:t>
      </w:r>
      <w:r>
        <w:rPr>
          <w:rStyle w:val="Hyperlink.1"/>
          <w:rtl w:val="0"/>
          <w:lang w:val="en-US"/>
        </w:rPr>
        <w:t xml:space="preserve">  </w:t>
      </w:r>
      <w:r>
        <w:rPr>
          <w:rStyle w:val="Hyperlink.1"/>
          <w:rtl w:val="0"/>
          <w:lang w:val="en-US"/>
        </w:rPr>
        <w:t>automated DNA sequencer (AB Applied Biosystems, CA, USA). The sequences were analyzed</w:t>
      </w:r>
      <w:r>
        <w:rPr>
          <w:rStyle w:val="Hyperlink.1"/>
          <w:rtl w:val="0"/>
          <w:lang w:val="en-US"/>
        </w:rPr>
        <w:t xml:space="preserve">  </w:t>
      </w:r>
      <w:r>
        <w:rPr>
          <w:rStyle w:val="Hyperlink.1"/>
          <w:rtl w:val="0"/>
          <w:lang w:val="en-US"/>
        </w:rPr>
        <w:t>by NCBI nucleotide-nucleotide BLAST (http://www.ncbi.nlm.nih.gov/BLAST/). Chromatogram of the sequence of rDNA PCR product and NCBI BLAST hit of the sequence</w:t>
      </w:r>
      <w:r>
        <w:rPr>
          <w:rStyle w:val="Hyperlink.1"/>
          <w:rtl w:val="0"/>
          <w:lang w:val="en-US"/>
        </w:rPr>
        <w:t xml:space="preserve">  </w:t>
      </w:r>
      <w:r>
        <w:rPr>
          <w:rStyle w:val="Hyperlink.1"/>
          <w:rtl w:val="0"/>
          <w:lang w:val="en-US"/>
        </w:rPr>
        <w:t>showing homologies are shown in figures. Based on 16sRNA, we could identify C1(colony 1)</w:t>
      </w:r>
      <w:r>
        <w:rPr>
          <w:rStyle w:val="Hyperlink.1"/>
          <w:rtl w:val="0"/>
          <w:lang w:val="en-US"/>
        </w:rPr>
        <w:t xml:space="preserve">  </w:t>
      </w:r>
      <w:r>
        <w:rPr>
          <w:rStyle w:val="Hyperlink.1"/>
          <w:rtl w:val="0"/>
          <w:lang w:val="en-US"/>
        </w:rPr>
        <w:t>and C2 (colony2) as Escherichia coli and Staphylococcus arlettae.</w:t>
      </w:r>
      <w:r>
        <w:rPr>
          <w:rStyle w:val="Hyperlink.1"/>
          <w:rtl w:val="0"/>
          <w:lang w:val="en-US"/>
        </w:rPr>
        <w:t> </w:t>
      </w: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r>
        <w:rPr>
          <w:rStyle w:val="None"/>
          <w:rFonts w:ascii="Segoe UI Symbol" w:cs="Segoe UI Symbol" w:hAnsi="Segoe UI Symbol" w:eastAsia="Segoe UI Symbol"/>
          <w:outline w:val="0"/>
          <w:color w:val="000000"/>
          <w:kern w:val="0"/>
          <w:sz w:val="24"/>
          <w:szCs w:val="24"/>
          <w:u w:color="000000"/>
          <w:rtl w:val="1"/>
          <w:lang w:val="ar-SA" w:bidi="ar-SA"/>
          <w14:textFill>
            <w14:solidFill>
              <w14:srgbClr w14:val="000000"/>
            </w14:solidFill>
          </w14:textFill>
        </w:rPr>
        <w:t>❖</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PCR analysis of genes which encode Antibiotic Resistant in the Isolates</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Antibiotic resistant bacteria produces certain substance for resisting antibiotics. We</w:t>
      </w:r>
      <w:r>
        <w:rPr>
          <w:rStyle w:val="Hyperlink.1"/>
          <w:rtl w:val="0"/>
          <w:lang w:val="en-US"/>
        </w:rPr>
        <w:t xml:space="preserve">  </w:t>
      </w:r>
      <w:r>
        <w:rPr>
          <w:rStyle w:val="Hyperlink.1"/>
          <w:rtl w:val="0"/>
          <w:lang w:val="en-US"/>
        </w:rPr>
        <w:t>designed primers specific to these genes which encodes these enzymes to PCR amplify these</w:t>
      </w:r>
      <w:r>
        <w:rPr>
          <w:rStyle w:val="Hyperlink.1"/>
          <w:rtl w:val="0"/>
          <w:lang w:val="en-US"/>
        </w:rPr>
        <w:t xml:space="preserve">  </w:t>
      </w:r>
      <w:r>
        <w:rPr>
          <w:rStyle w:val="Hyperlink.1"/>
          <w:rtl w:val="0"/>
          <w:lang w:val="en-US"/>
        </w:rPr>
        <w:t>genes and check the presence of these genes in these identified isolates. Further the PCR</w:t>
      </w:r>
      <w:r>
        <w:rPr>
          <w:rStyle w:val="Hyperlink.1"/>
          <w:rtl w:val="0"/>
          <w:lang w:val="en-US"/>
        </w:rPr>
        <w:t xml:space="preserve">  </w:t>
      </w:r>
      <w:r>
        <w:rPr>
          <w:rStyle w:val="Hyperlink.1"/>
          <w:rtl w:val="0"/>
          <w:lang w:val="en-US"/>
        </w:rPr>
        <w:t>amplification using these primers for various genes which encodes these enzymes were carried</w:t>
      </w:r>
      <w:r>
        <w:rPr>
          <w:rStyle w:val="Hyperlink.1"/>
          <w:rtl w:val="0"/>
          <w:lang w:val="en-US"/>
        </w:rPr>
        <w:t xml:space="preserve">  </w:t>
      </w:r>
      <w:r>
        <w:rPr>
          <w:rStyle w:val="Hyperlink.1"/>
          <w:rtl w:val="0"/>
          <w:lang w:val="en-US"/>
        </w:rPr>
        <w:t>out. The PCR product was subjected to electrophoresis. From this study we can say that bacteria</w:t>
      </w:r>
      <w:r>
        <w:rPr>
          <w:rStyle w:val="Hyperlink.1"/>
          <w:rtl w:val="0"/>
          <w:lang w:val="en-US"/>
        </w:rPr>
        <w:t xml:space="preserve">  </w:t>
      </w:r>
      <w:r>
        <w:rPr>
          <w:rStyle w:val="Hyperlink.1"/>
          <w:rtl w:val="0"/>
          <w:lang w:val="en-US"/>
        </w:rPr>
        <w:t>Escherichia coli and Staphylococcus arlettae is antibiotic resistant bacteria.</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Polymerase Chain Reaction (PCR) remains one of the cheap and sensitive technique for the</w:t>
      </w:r>
      <w:r>
        <w:rPr>
          <w:rStyle w:val="Hyperlink.1"/>
          <w:rtl w:val="0"/>
          <w:lang w:val="en-US"/>
        </w:rPr>
        <w:t xml:space="preserve">  </w:t>
      </w:r>
      <w:r>
        <w:rPr>
          <w:rStyle w:val="Hyperlink.1"/>
          <w:rtl w:val="0"/>
          <w:lang w:val="en-US"/>
        </w:rPr>
        <w:t>identification of organisms based on the consensus nucleotide sequences such as the genes</w:t>
      </w:r>
      <w:r>
        <w:rPr>
          <w:rStyle w:val="Hyperlink.1"/>
          <w:rtl w:val="0"/>
          <w:lang w:val="en-US"/>
        </w:rPr>
        <w:t xml:space="preserve">  </w:t>
      </w:r>
      <w:r>
        <w:rPr>
          <w:rStyle w:val="Hyperlink.1"/>
          <w:rtl w:val="0"/>
          <w:lang w:val="en-US"/>
        </w:rPr>
        <w:t>coding for 16 rRNA and has the potential to characterize microorganisms at the physiological</w:t>
      </w:r>
      <w:r>
        <w:rPr>
          <w:rStyle w:val="Hyperlink.1"/>
          <w:rtl w:val="0"/>
          <w:lang w:val="en-US"/>
        </w:rPr>
        <w:t xml:space="preserve">  </w:t>
      </w:r>
      <w:r>
        <w:rPr>
          <w:rStyle w:val="Hyperlink.1"/>
          <w:rtl w:val="0"/>
          <w:lang w:val="en-US"/>
        </w:rPr>
        <w:t>and molecular levels (Asim K. Bej and Meena H. Mahbubani, 1996). Although there might be</w:t>
      </w:r>
      <w:r>
        <w:rPr>
          <w:rStyle w:val="Hyperlink.1"/>
          <w:rtl w:val="0"/>
          <w:lang w:val="en-US"/>
        </w:rPr>
        <w:t xml:space="preserve">  </w:t>
      </w:r>
      <w:r>
        <w:rPr>
          <w:rStyle w:val="Hyperlink.1"/>
          <w:rtl w:val="0"/>
          <w:lang w:val="en-US"/>
        </w:rPr>
        <w:t>variations in the genes of the same or different groups of microorganisms for the degradation</w:t>
      </w:r>
      <w:r>
        <w:rPr>
          <w:rStyle w:val="Hyperlink.1"/>
          <w:rtl w:val="0"/>
          <w:lang w:val="en-US"/>
        </w:rPr>
        <w:t xml:space="preserve">  </w:t>
      </w:r>
      <w:r>
        <w:rPr>
          <w:rStyle w:val="Hyperlink.1"/>
          <w:rtl w:val="0"/>
          <w:lang w:val="en-US"/>
        </w:rPr>
        <w:t xml:space="preserve">of one or several types of pollutants, it may be possible to identify these microorganisms by detecting the conserved regions of these genes by PCR amplification. A study by Greer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w:t>
      </w:r>
      <w:r>
        <w:rPr>
          <w:rStyle w:val="Hyperlink.1"/>
          <w:rtl w:val="0"/>
          <w:lang w:val="en-US"/>
        </w:rPr>
        <w:t xml:space="preserve">  </w:t>
      </w:r>
      <w:r>
        <w:rPr>
          <w:rStyle w:val="Hyperlink.1"/>
          <w:rtl w:val="0"/>
          <w:lang w:val="en-US"/>
        </w:rPr>
        <w:t>used the nucleotide sequence information of a chlorocatechol dioxygenase-degrading gene</w:t>
      </w:r>
      <w:r>
        <w:rPr>
          <w:rStyle w:val="Hyperlink.1"/>
          <w:rtl w:val="0"/>
          <w:lang w:val="en-US"/>
        </w:rPr>
        <w:t xml:space="preserve">  </w:t>
      </w:r>
      <w:r>
        <w:rPr>
          <w:rStyle w:val="Hyperlink.1"/>
          <w:rtl w:val="0"/>
          <w:lang w:val="en-US"/>
        </w:rPr>
        <w:t>(tfdC) from Alcaligenes eutrophus JMP134 (pJP4); oligonucleotide primers were designed for</w:t>
      </w:r>
      <w:r>
        <w:rPr>
          <w:rStyle w:val="Hyperlink.1"/>
          <w:rtl w:val="0"/>
          <w:lang w:val="en-US"/>
        </w:rPr>
        <w:t xml:space="preserve">  </w:t>
      </w:r>
      <w:r>
        <w:rPr>
          <w:rStyle w:val="Hyperlink.1"/>
          <w:rtl w:val="0"/>
          <w:lang w:val="en-US"/>
        </w:rPr>
        <w:t xml:space="preserve">the detection of various chloro-aromatic-degrading bacteria by PCR amplification. (Greer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al</w:t>
      </w:r>
      <w:r>
        <w:rPr>
          <w:rStyle w:val="Hyperlink.1"/>
          <w:rtl w:val="0"/>
          <w:lang w:val="en-US"/>
        </w:rPr>
        <w:t>, 1991). Bej et al have developed a PCR gene probe-based method for the detection of</w:t>
      </w:r>
      <w:r>
        <w:rPr>
          <w:rStyle w:val="Hyperlink.1"/>
          <w:rtl w:val="0"/>
          <w:lang w:val="en-US"/>
        </w:rPr>
        <w:t xml:space="preserve">  </w:t>
      </w:r>
      <w:r>
        <w:rPr>
          <w:rStyle w:val="Hyperlink.1"/>
          <w:rtl w:val="0"/>
          <w:lang w:val="en-US"/>
        </w:rPr>
        <w:t>coliform bacteria. Amplification of a portion of the lacZ gene detects E. coli and other coliform</w:t>
      </w:r>
      <w:r>
        <w:rPr>
          <w:rStyle w:val="Hyperlink.1"/>
          <w:rtl w:val="0"/>
          <w:lang w:val="en-US"/>
        </w:rPr>
        <w:t xml:space="preserve">  </w:t>
      </w:r>
      <w:r>
        <w:rPr>
          <w:rStyle w:val="Hyperlink.1"/>
          <w:rtl w:val="0"/>
          <w:lang w:val="en-US"/>
        </w:rPr>
        <w:t>bacteria, including Shigella. Amplification of part of the lamB gene detects E. coli, Salmonella,</w:t>
      </w:r>
      <w:r>
        <w:rPr>
          <w:rStyle w:val="Hyperlink.1"/>
          <w:rtl w:val="0"/>
          <w:lang w:val="en-US"/>
        </w:rPr>
        <w:t xml:space="preserve">  </w:t>
      </w:r>
      <w:r>
        <w:rPr>
          <w:rStyle w:val="Hyperlink.1"/>
          <w:rtl w:val="0"/>
          <w:lang w:val="en-US"/>
        </w:rPr>
        <w:t>and Shigella (Bej, A.K., R.J. Steffan, J.L. DiCesare, L. Haft, and R.M. Atlas. 1990).</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w:t>
        <w:tab/>
        <w:t>DISCUSSION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The present study successfully isolated antibiotic-resistant bacteria from non-clinical</w:t>
      </w:r>
      <w:r>
        <w:rPr>
          <w:rStyle w:val="Hyperlink.1"/>
          <w:rtl w:val="0"/>
          <w:lang w:val="en-US"/>
        </w:rPr>
        <w:t xml:space="preserve">  </w:t>
      </w:r>
      <w:r>
        <w:rPr>
          <w:rStyle w:val="Hyperlink.1"/>
          <w:rtl w:val="0"/>
          <w:lang w:val="en-US"/>
        </w:rPr>
        <w:t>environmental samples and identified the isolates as Escherichia coli and Staphylococcus</w:t>
      </w:r>
      <w:r>
        <w:rPr>
          <w:rStyle w:val="Hyperlink.1"/>
          <w:rtl w:val="0"/>
          <w:lang w:val="en-US"/>
        </w:rPr>
        <w:t xml:space="preserve">  </w:t>
      </w:r>
      <w:r>
        <w:rPr>
          <w:rStyle w:val="Hyperlink.1"/>
          <w:rtl w:val="0"/>
          <w:lang w:val="en-US"/>
        </w:rPr>
        <w:t>arlettae using 16S rRNA gene sequencing. The occurrence of antibiotic-resistant bacteria in</w:t>
      </w:r>
      <w:r>
        <w:rPr>
          <w:rStyle w:val="Hyperlink.1"/>
          <w:rtl w:val="0"/>
          <w:lang w:val="en-US"/>
        </w:rPr>
        <w:t xml:space="preserve">  </w:t>
      </w:r>
      <w:r>
        <w:rPr>
          <w:rStyle w:val="Hyperlink.1"/>
          <w:rtl w:val="0"/>
          <w:lang w:val="en-US"/>
        </w:rPr>
        <w:t>environmental sources indicates that natural ecosystems can serve as important reservoirs of</w:t>
      </w:r>
      <w:r>
        <w:rPr>
          <w:rStyle w:val="Hyperlink.1"/>
          <w:rtl w:val="0"/>
          <w:lang w:val="en-US"/>
        </w:rPr>
        <w:t xml:space="preserve">  </w:t>
      </w:r>
      <w:r>
        <w:rPr>
          <w:rStyle w:val="Hyperlink.1"/>
          <w:rtl w:val="0"/>
          <w:lang w:val="en-US"/>
        </w:rPr>
        <w:t>antimicrobial resistance, contributing to the dissemination of resistance genes among microbial</w:t>
      </w:r>
      <w:r>
        <w:rPr>
          <w:rStyle w:val="Hyperlink.1"/>
          <w:rtl w:val="0"/>
          <w:lang w:val="en-US"/>
        </w:rPr>
        <w:t xml:space="preserve">  </w:t>
      </w:r>
      <w:r>
        <w:rPr>
          <w:rStyle w:val="Hyperlink.1"/>
          <w:rtl w:val="0"/>
          <w:lang w:val="en-US"/>
        </w:rPr>
        <w:t>communities (Allen et al., 2010; Wellington et al., 2013).</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The identification of E. coli in environmental samples is consistent with previous studies</w:t>
      </w:r>
      <w:r>
        <w:rPr>
          <w:rStyle w:val="Hyperlink.1"/>
          <w:rtl w:val="0"/>
          <w:lang w:val="en-US"/>
        </w:rPr>
        <w:t xml:space="preserve">  </w:t>
      </w:r>
      <w:r>
        <w:rPr>
          <w:rStyle w:val="Hyperlink.1"/>
          <w:rtl w:val="0"/>
          <w:lang w:val="en-US"/>
        </w:rPr>
        <w:t>reporting its widespread occurrence in soil and water environments contaminated by human or</w:t>
      </w:r>
      <w:r>
        <w:rPr>
          <w:rStyle w:val="Hyperlink.1"/>
          <w:rtl w:val="0"/>
          <w:lang w:val="en-US"/>
        </w:rPr>
        <w:t xml:space="preserve">  </w:t>
      </w:r>
      <w:r>
        <w:rPr>
          <w:rStyle w:val="Hyperlink.1"/>
          <w:rtl w:val="0"/>
          <w:lang w:val="en-US"/>
        </w:rPr>
        <w:t>animal waste. Although E. coli is a common intestinal bacterium, environmental strains</w:t>
      </w:r>
      <w:r>
        <w:rPr>
          <w:rStyle w:val="Hyperlink.1"/>
          <w:rtl w:val="0"/>
          <w:lang w:val="en-US"/>
        </w:rPr>
        <w:t xml:space="preserve">  </w:t>
      </w:r>
      <w:r>
        <w:rPr>
          <w:rStyle w:val="Hyperlink.1"/>
          <w:rtl w:val="0"/>
          <w:lang w:val="en-US"/>
        </w:rPr>
        <w:t>frequently acquire antibiotic-resistance genes through horizontal gene transfer, making them</w:t>
      </w:r>
      <w:r>
        <w:rPr>
          <w:rStyle w:val="Hyperlink.1"/>
          <w:rtl w:val="0"/>
          <w:lang w:val="en-US"/>
        </w:rPr>
        <w:t xml:space="preserve">  </w:t>
      </w:r>
      <w:r>
        <w:rPr>
          <w:rStyle w:val="Hyperlink.1"/>
          <w:rtl w:val="0"/>
          <w:lang w:val="en-US"/>
        </w:rPr>
        <w:t>useful indicators of antimicrobial resistance in the environment (Blaak et al., 2015).</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Similarly, Staphylococcus arlettae has increasingly been reported from soil, animals, and</w:t>
      </w:r>
      <w:r>
        <w:rPr>
          <w:rStyle w:val="Hyperlink.1"/>
          <w:rtl w:val="0"/>
          <w:lang w:val="en-US"/>
        </w:rPr>
        <w:t xml:space="preserve">  </w:t>
      </w:r>
      <w:r>
        <w:rPr>
          <w:rStyle w:val="Hyperlink.1"/>
          <w:rtl w:val="0"/>
          <w:lang w:val="en-US"/>
        </w:rPr>
        <w:t>environmental habitats. Although it is generally regarded as a coagulase-negative</w:t>
      </w:r>
      <w:r>
        <w:rPr>
          <w:rStyle w:val="Hyperlink.1"/>
          <w:rtl w:val="0"/>
          <w:lang w:val="en-US"/>
        </w:rPr>
        <w:t xml:space="preserve">  </w:t>
      </w:r>
      <w:r>
        <w:rPr>
          <w:rStyle w:val="Hyperlink.1"/>
          <w:rtl w:val="0"/>
          <w:lang w:val="en-US"/>
        </w:rPr>
        <w:t>Staphylococcus species, several studies have demonstrated its ability to carry antimicrobial resistance determinants, suggesting that environmental isolates may act as reservoirs for</w:t>
      </w:r>
      <w:r>
        <w:rPr>
          <w:rStyle w:val="Hyperlink.1"/>
          <w:rtl w:val="0"/>
          <w:lang w:val="en-US"/>
        </w:rPr>
        <w:t xml:space="preserve">  </w:t>
      </w:r>
      <w:r>
        <w:rPr>
          <w:rStyle w:val="Hyperlink.1"/>
          <w:rtl w:val="0"/>
          <w:lang w:val="en-US"/>
        </w:rPr>
        <w:t>resistance genes that could potentially spread to pathogenic bacteria (Becker et al., 2014).</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The use of selective media containing kanamycin and gentamicin enabled efficient preliminary</w:t>
      </w:r>
      <w:r>
        <w:rPr>
          <w:rStyle w:val="Hyperlink.1"/>
          <w:rtl w:val="0"/>
          <w:lang w:val="en-US"/>
        </w:rPr>
        <w:t xml:space="preserve">  </w:t>
      </w:r>
      <w:r>
        <w:rPr>
          <w:rStyle w:val="Hyperlink.1"/>
          <w:rtl w:val="0"/>
          <w:lang w:val="en-US"/>
        </w:rPr>
        <w:t>screening of resistant isolates. Subsequent molecular confirmation by PCR and 16S rRNA</w:t>
      </w:r>
      <w:r>
        <w:rPr>
          <w:rStyle w:val="Hyperlink.1"/>
          <w:rtl w:val="0"/>
          <w:lang w:val="en-US"/>
        </w:rPr>
        <w:t xml:space="preserve">  </w:t>
      </w:r>
      <w:r>
        <w:rPr>
          <w:rStyle w:val="Hyperlink.1"/>
          <w:rtl w:val="0"/>
          <w:lang w:val="en-US"/>
        </w:rPr>
        <w:t>sequencing provided accurate identification, supporting previous reports that molecular</w:t>
      </w:r>
      <w:r>
        <w:rPr>
          <w:rStyle w:val="Hyperlink.1"/>
          <w:rtl w:val="0"/>
          <w:lang w:val="en-US"/>
        </w:rPr>
        <w:t xml:space="preserve">  </w:t>
      </w:r>
      <w:r>
        <w:rPr>
          <w:rStyle w:val="Hyperlink.1"/>
          <w:rtl w:val="0"/>
          <w:lang w:val="en-US"/>
        </w:rPr>
        <w:t>techniques offer greater sensitivity and specificity than conventional biochemical methods</w:t>
      </w:r>
      <w:r>
        <w:rPr>
          <w:rStyle w:val="Hyperlink.1"/>
          <w:rtl w:val="0"/>
          <w:lang w:val="en-US"/>
        </w:rPr>
        <w:t xml:space="preserve">  </w:t>
      </w:r>
      <w:r>
        <w:rPr>
          <w:rStyle w:val="Hyperlink.1"/>
          <w:rtl w:val="0"/>
          <w:lang w:val="en-US"/>
        </w:rPr>
        <w:t>(Janda &amp; Abbott, 2007).</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Overall, the findings emphasize the importance of continuous environmental surveillance of</w:t>
      </w:r>
      <w:r>
        <w:rPr>
          <w:rStyle w:val="Hyperlink.1"/>
          <w:rtl w:val="0"/>
          <w:lang w:val="en-US"/>
        </w:rPr>
        <w:t xml:space="preserve">  </w:t>
      </w:r>
      <w:r>
        <w:rPr>
          <w:rStyle w:val="Hyperlink.1"/>
          <w:rtl w:val="0"/>
          <w:lang w:val="en-US"/>
        </w:rPr>
        <w:t>antibiotic-resistant bacteria. Monitoring non-clinical environments is essential for understanding</w:t>
      </w:r>
      <w:r>
        <w:rPr>
          <w:rStyle w:val="Hyperlink.1"/>
          <w:rtl w:val="0"/>
          <w:lang w:val="en-US"/>
        </w:rPr>
        <w:t xml:space="preserve">  </w:t>
      </w:r>
      <w:r>
        <w:rPr>
          <w:rStyle w:val="Hyperlink.1"/>
          <w:rtl w:val="0"/>
          <w:lang w:val="en-US"/>
        </w:rPr>
        <w:t>the emergence and spread of antimicrobial resistance and for developing effective public health</w:t>
      </w:r>
      <w:r>
        <w:rPr>
          <w:rStyle w:val="Hyperlink.1"/>
          <w:rtl w:val="0"/>
          <w:lang w:val="en-US"/>
        </w:rPr>
        <w:t xml:space="preserve">  </w:t>
      </w:r>
      <w:r>
        <w:rPr>
          <w:rStyle w:val="Hyperlink.1"/>
          <w:rtl w:val="0"/>
          <w:lang w:val="en-US"/>
        </w:rPr>
        <w:t>strategies based on the One Health approach (WHO, 2023).</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PCR (Polymerase Chain Reaction) is one of the revolutionary technique developed by</w:t>
      </w:r>
      <w:r>
        <w:rPr>
          <w:rStyle w:val="Hyperlink.1"/>
          <w:rtl w:val="0"/>
          <w:lang w:val="en-US"/>
        </w:rPr>
        <w:t xml:space="preserve">  </w:t>
      </w:r>
      <w:r>
        <w:rPr>
          <w:rStyle w:val="Hyperlink.1"/>
          <w:rtl w:val="0"/>
          <w:lang w:val="en-US"/>
        </w:rPr>
        <w:t>Kary B Mullis in the 1980. PCR is based on using the ability of DNA polymerase enzyme to</w:t>
      </w:r>
      <w:r>
        <w:rPr>
          <w:rStyle w:val="Hyperlink.1"/>
          <w:rtl w:val="0"/>
          <w:lang w:val="en-US"/>
        </w:rPr>
        <w:t xml:space="preserve">  </w:t>
      </w:r>
      <w:r>
        <w:rPr>
          <w:rStyle w:val="Hyperlink.1"/>
          <w:rtl w:val="0"/>
          <w:lang w:val="en-US"/>
        </w:rPr>
        <w:t>synthesize new strand of DNA complementary to the template strand. At the end of the PCR</w:t>
      </w:r>
      <w:r>
        <w:rPr>
          <w:rStyle w:val="Hyperlink.1"/>
          <w:rtl w:val="0"/>
          <w:lang w:val="en-US"/>
        </w:rPr>
        <w:t xml:space="preserve">  </w:t>
      </w:r>
      <w:r>
        <w:rPr>
          <w:rStyle w:val="Hyperlink.1"/>
          <w:rtl w:val="0"/>
          <w:lang w:val="en-US"/>
        </w:rPr>
        <w:t>reaction, the specific sequence will be accumulated in billions of copies. DNA template, primer,</w:t>
      </w:r>
      <w:r>
        <w:rPr>
          <w:rStyle w:val="Hyperlink.1"/>
          <w:rtl w:val="0"/>
          <w:lang w:val="en-US"/>
        </w:rPr>
        <w:t xml:space="preserve">  </w:t>
      </w:r>
      <w:r>
        <w:rPr>
          <w:rStyle w:val="Hyperlink.1"/>
          <w:rtl w:val="0"/>
          <w:lang w:val="en-US"/>
        </w:rPr>
        <w:t>DNA polymerase enzyme and dNTPs are the primary requirements for PCR. It is a simple and</w:t>
      </w:r>
      <w:r>
        <w:rPr>
          <w:rStyle w:val="Hyperlink.1"/>
          <w:rtl w:val="0"/>
          <w:lang w:val="en-US"/>
        </w:rPr>
        <w:t xml:space="preserve">  </w:t>
      </w:r>
      <w:r>
        <w:rPr>
          <w:rStyle w:val="Hyperlink.1"/>
          <w:rtl w:val="0"/>
          <w:lang w:val="en-US"/>
        </w:rPr>
        <w:t>inexpensive method and is used in clinical and research laboratories for a number of</w:t>
      </w:r>
      <w:r>
        <w:rPr>
          <w:rStyle w:val="Hyperlink.1"/>
          <w:rtl w:val="0"/>
          <w:lang w:val="en-US"/>
        </w:rPr>
        <w:t xml:space="preserve">  </w:t>
      </w:r>
      <w:r>
        <w:rPr>
          <w:rStyle w:val="Hyperlink.1"/>
          <w:rtl w:val="0"/>
          <w:lang w:val="en-US"/>
        </w:rPr>
        <w:t>applications (Lijun Wang, 2012).</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In this study, the bacteria is isolated from soil samples of two different areas in kerala</w:t>
      </w:r>
      <w:r>
        <w:rPr>
          <w:rStyle w:val="Hyperlink.1"/>
          <w:rtl w:val="0"/>
          <w:lang w:val="en-US"/>
        </w:rPr>
        <w:t xml:space="preserve">  </w:t>
      </w:r>
      <w:r>
        <w:rPr>
          <w:rStyle w:val="Hyperlink.1"/>
          <w:rtl w:val="0"/>
          <w:lang w:val="en-US"/>
        </w:rPr>
        <w:t>district. In this study, bacteria is allowed to grow on selective media in nutrient agar containing</w:t>
      </w:r>
      <w:r>
        <w:rPr>
          <w:rStyle w:val="Hyperlink.1"/>
          <w:rtl w:val="0"/>
          <w:lang w:val="en-US"/>
        </w:rPr>
        <w:t xml:space="preserve">  </w:t>
      </w:r>
      <w:r>
        <w:rPr>
          <w:rStyle w:val="Hyperlink.1"/>
          <w:rtl w:val="0"/>
          <w:lang w:val="en-US"/>
        </w:rPr>
        <w:t>Canamycin and Gentamycin . In this primers specific to the genes which encode 16 S rRNA</w:t>
      </w:r>
      <w:r>
        <w:rPr>
          <w:rStyle w:val="Hyperlink.1"/>
          <w:rtl w:val="0"/>
          <w:lang w:val="en-US"/>
        </w:rPr>
        <w:t xml:space="preserve">  </w:t>
      </w:r>
      <w:r>
        <w:rPr>
          <w:rStyle w:val="Hyperlink.1"/>
          <w:rtl w:val="0"/>
          <w:lang w:val="en-US"/>
        </w:rPr>
        <w:t>and used for amplification and sequencing. The sequence obtained was analysed by NCBI</w:t>
      </w:r>
      <w:r>
        <w:rPr>
          <w:rStyle w:val="Hyperlink.1"/>
          <w:rtl w:val="0"/>
          <w:lang w:val="en-US"/>
        </w:rPr>
        <w:t xml:space="preserve">  </w:t>
      </w:r>
      <w:r>
        <w:rPr>
          <w:rStyle w:val="Hyperlink.1"/>
          <w:rtl w:val="0"/>
          <w:lang w:val="en-US"/>
        </w:rPr>
        <w:t>BLAST to identify these bacterial strains. The results also showed homology to Escherichia coli</w:t>
      </w:r>
      <w:r>
        <w:rPr>
          <w:rStyle w:val="Hyperlink.1"/>
          <w:rtl w:val="0"/>
          <w:lang w:val="en-US"/>
        </w:rPr>
        <w:t xml:space="preserve">  </w:t>
      </w:r>
      <w:r>
        <w:rPr>
          <w:rStyle w:val="Hyperlink.1"/>
          <w:rtl w:val="0"/>
          <w:lang w:val="en-US"/>
        </w:rPr>
        <w:t>and Staphylococcus arlettae. we can conclude that the bacteria Escherichia coli and</w:t>
      </w:r>
      <w:r>
        <w:rPr>
          <w:rStyle w:val="Hyperlink.1"/>
          <w:rtl w:val="0"/>
          <w:lang w:val="en-US"/>
        </w:rPr>
        <w:t xml:space="preserve">  </w:t>
      </w:r>
      <w:r>
        <w:rPr>
          <w:rStyle w:val="Hyperlink.1"/>
          <w:rtl w:val="0"/>
          <w:lang w:val="en-US"/>
        </w:rPr>
        <w:t>Staphylococcus arlettae are antibiotic resistant.</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Abraham, E.P., and Chain, E.</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1940</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w:t>
      </w:r>
      <w:r>
        <w:rPr>
          <w:rStyle w:val="Hyperlink.1"/>
          <w:rtl w:val="0"/>
          <w:lang w:val="en-US"/>
        </w:rPr>
        <w:t xml:space="preserve"> </w:t>
      </w:r>
      <w:r>
        <w:rPr>
          <w:rStyle w:val="None"/>
          <w:rFonts w:ascii="Times New Roman" w:hAnsi="Times New Roman"/>
          <w:i w:val="1"/>
          <w:iCs w:val="1"/>
          <w:kern w:val="0"/>
          <w:sz w:val="24"/>
          <w:szCs w:val="24"/>
          <w:rtl w:val="0"/>
          <w:lang w:val="en-US"/>
        </w:rPr>
        <w:t>An enzyme from bacteria able to destroy</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penicillin. Nature,</w:t>
      </w:r>
      <w:r>
        <w:rPr>
          <w:rStyle w:val="Hyperlink.1"/>
          <w:rtl w:val="0"/>
          <w:lang w:val="en-US"/>
        </w:rPr>
        <w:t xml:space="preserve"> 146, 837.</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Allen, H.K., Donato, J., Wang, H.H., Cloud-Hansen, K.A., Davies, J.,</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Handelsman,</w:t>
      </w:r>
      <w:r>
        <w:rPr>
          <w:rStyle w:val="None"/>
          <w:rFonts w:ascii="Times New Roman" w:hAnsi="Times New Roman" w:hint="default"/>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J.</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2008</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w:t>
      </w:r>
      <w:r>
        <w:rPr>
          <w:rStyle w:val="Hyperlink.1"/>
          <w:rtl w:val="0"/>
          <w:lang w:val="en-US"/>
        </w:rPr>
        <w:t>Call of the wild: antibiotic resistance genes in natural environments.</w:t>
      </w:r>
      <w:r>
        <w:rPr>
          <w:rStyle w:val="Hyperlink.1"/>
          <w:rtl w:val="0"/>
          <w:lang w:val="en-US"/>
        </w:rPr>
        <w:t xml:space="preserve">  </w:t>
      </w:r>
      <w:r>
        <w:rPr>
          <w:rStyle w:val="None"/>
          <w:rFonts w:ascii="Times New Roman" w:hAnsi="Times New Roman"/>
          <w:i w:val="1"/>
          <w:iCs w:val="1"/>
          <w:kern w:val="0"/>
          <w:sz w:val="24"/>
          <w:szCs w:val="24"/>
          <w:rtl w:val="0"/>
          <w:lang w:val="en-US"/>
        </w:rPr>
        <w:t xml:space="preserve">Nature Reviews Microbiology, </w:t>
      </w:r>
      <w:r>
        <w:rPr>
          <w:rStyle w:val="Hyperlink.1"/>
          <w:rtl w:val="0"/>
          <w:lang w:val="en-US"/>
        </w:rPr>
        <w:t>8, 251-259.</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Aminov, R. I.</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2010.</w:t>
      </w:r>
      <w:r>
        <w:rPr>
          <w:rStyle w:val="Hyperlink.1"/>
          <w:rtl w:val="0"/>
          <w:lang w:val="en-US"/>
        </w:rPr>
        <w:t xml:space="preserve"> A brief history of the antibiotic era: lessons learned and</w:t>
      </w:r>
      <w:r>
        <w:rPr>
          <w:rStyle w:val="Hyperlink.1"/>
          <w:rtl w:val="0"/>
          <w:lang w:val="en-US"/>
        </w:rPr>
        <w:t xml:space="preserve">  </w:t>
      </w:r>
      <w:r>
        <w:rPr>
          <w:rStyle w:val="Hyperlink.1"/>
          <w:rtl w:val="0"/>
          <w:lang w:val="en-US"/>
        </w:rPr>
        <w:t>challenges for the future.</w:t>
      </w:r>
      <w:r>
        <w:rPr>
          <w:rStyle w:val="Hyperlink.1"/>
          <w:rtl w:val="0"/>
          <w:lang w:val="en-US"/>
        </w:rPr>
        <w:t> </w:t>
      </w:r>
    </w:p>
    <w:p>
      <w:pPr>
        <w:pStyle w:val="Normal.0"/>
        <w:spacing w:after="0" w:line="360" w:lineRule="auto"/>
        <w:ind w:left="720" w:right="26"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kern w:val="0"/>
          <w:sz w:val="24"/>
          <w:szCs w:val="24"/>
          <w:rtl w:val="0"/>
          <w:lang w:val="en-US"/>
        </w:rPr>
        <w:t>Babi</w:t>
      </w:r>
      <w:r>
        <w:rPr>
          <w:rStyle w:val="None"/>
          <w:rFonts w:ascii="Times New Roman" w:hAnsi="Times New Roman" w:hint="default"/>
          <w:b w:val="1"/>
          <w:bCs w:val="1"/>
          <w:kern w:val="0"/>
          <w:sz w:val="24"/>
          <w:szCs w:val="24"/>
          <w:rtl w:val="0"/>
          <w:lang w:val="en-US"/>
        </w:rPr>
        <w:t>ć</w:t>
      </w:r>
      <w:r>
        <w:rPr>
          <w:rStyle w:val="None"/>
          <w:rFonts w:ascii="Times New Roman" w:hAnsi="Times New Roman"/>
          <w:b w:val="1"/>
          <w:bCs w:val="1"/>
          <w:kern w:val="0"/>
          <w:sz w:val="24"/>
          <w:szCs w:val="24"/>
          <w:rtl w:val="0"/>
          <w:lang w:val="en-US"/>
        </w:rPr>
        <w:t xml:space="preserve">, S., Mutavdzic, D., Asperger, D., Horvat, A. J. M.,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Kastelan-Macan, M.</w:t>
      </w:r>
      <w:r>
        <w:rPr>
          <w:rStyle w:val="None"/>
          <w:rFonts w:ascii="Times New Roman" w:hAnsi="Times New Roman"/>
          <w:b w:val="1"/>
          <w:bCs w:val="1"/>
          <w:kern w:val="0"/>
          <w:sz w:val="24"/>
          <w:szCs w:val="24"/>
          <w:rtl w:val="0"/>
          <w:lang w:val="en-US"/>
        </w:rPr>
        <w:t>,</w:t>
      </w:r>
      <w:r>
        <w:rPr>
          <w:rStyle w:val="None"/>
          <w:rFonts w:ascii="Times New Roman" w:hAnsi="Times New Roman" w:hint="default"/>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2007. </w:t>
      </w:r>
      <w:r>
        <w:rPr>
          <w:rStyle w:val="Hyperlink.1"/>
          <w:rtl w:val="0"/>
          <w:lang w:val="en-US"/>
        </w:rPr>
        <w:t>Determination of veterinary pharmaceuticals in production wastewater by</w:t>
      </w:r>
      <w:r>
        <w:rPr>
          <w:rStyle w:val="Hyperlink.1"/>
          <w:rtl w:val="0"/>
          <w:lang w:val="en-US"/>
        </w:rPr>
        <w:t xml:space="preserve">  </w:t>
      </w:r>
      <w:r>
        <w:rPr>
          <w:rStyle w:val="Hyperlink.1"/>
          <w:rtl w:val="0"/>
          <w:lang w:val="en-US"/>
        </w:rPr>
        <w:t xml:space="preserve">HPTLC-videodensitometry. </w:t>
      </w:r>
      <w:r>
        <w:rPr>
          <w:rStyle w:val="None"/>
          <w:rFonts w:ascii="Times New Roman" w:hAnsi="Times New Roman"/>
          <w:i w:val="1"/>
          <w:iCs w:val="1"/>
          <w:kern w:val="0"/>
          <w:sz w:val="24"/>
          <w:szCs w:val="24"/>
          <w:rtl w:val="0"/>
          <w:lang w:val="en-US"/>
        </w:rPr>
        <w:t>Chromatographia</w:t>
      </w:r>
      <w:r>
        <w:rPr>
          <w:rStyle w:val="Hyperlink.1"/>
          <w:rtl w:val="0"/>
          <w:lang w:val="en-US"/>
        </w:rPr>
        <w:t>, 65, 105-110.</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Barbosa, T. M.,</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Levy, S. B.</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2000.</w:t>
      </w:r>
      <w:r>
        <w:rPr>
          <w:rStyle w:val="Hyperlink.1"/>
          <w:rtl w:val="0"/>
          <w:lang w:val="en-US"/>
        </w:rPr>
        <w:t xml:space="preserve"> The impact of antibiotic use on resistance</w:t>
      </w:r>
      <w:r>
        <w:rPr>
          <w:rStyle w:val="Hyperlink.1"/>
          <w:rtl w:val="0"/>
          <w:lang w:val="en-US"/>
        </w:rPr>
        <w:t xml:space="preserve">  </w:t>
      </w:r>
      <w:r>
        <w:rPr>
          <w:rStyle w:val="Hyperlink.1"/>
          <w:rtl w:val="0"/>
          <w:lang w:val="en-US"/>
        </w:rPr>
        <w:t xml:space="preserve">development and persistence. Drug resistance updates, 3(5), 303-311. 6. Barka, E. A., Vatsa, P., Sanchez, L., Gaveau-Vaillant, N., Jacquard, C., Meier Kolthoff, J. P., et al. (2016). </w:t>
      </w:r>
      <w:r>
        <w:rPr>
          <w:rStyle w:val="None"/>
          <w:rFonts w:ascii="Times New Roman" w:hAnsi="Times New Roman"/>
          <w:i w:val="1"/>
          <w:iCs w:val="1"/>
          <w:kern w:val="0"/>
          <w:sz w:val="24"/>
          <w:szCs w:val="24"/>
          <w:rtl w:val="0"/>
          <w:lang w:val="en-US"/>
        </w:rPr>
        <w:t>Taxonomy, physiology, and natural products of</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 xml:space="preserve">actinobacteria. Microbiol. </w:t>
      </w:r>
      <w:r>
        <w:rPr>
          <w:rStyle w:val="Hyperlink.1"/>
          <w:rtl w:val="0"/>
          <w:lang w:val="en-US"/>
        </w:rPr>
        <w:t>Mol. Biol. Rev. 80, 1</w:t>
      </w:r>
      <w:r>
        <w:rPr>
          <w:rStyle w:val="Hyperlink.1"/>
          <w:rtl w:val="0"/>
          <w:lang w:val="en-US"/>
        </w:rPr>
        <w:t>–</w:t>
      </w:r>
      <w:r>
        <w:rPr>
          <w:rStyle w:val="Hyperlink.1"/>
          <w:rtl w:val="0"/>
          <w:lang w:val="en-US"/>
        </w:rPr>
        <w:t>43.</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Barrak A., Me Leod J., Em bil J., </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Thampson G. et al., (1998 ;)</w:t>
      </w:r>
      <w:r>
        <w:rPr>
          <w:rStyle w:val="Hyperlink.1"/>
          <w:rtl w:val="0"/>
          <w:lang w:val="en-US"/>
        </w:rPr>
        <w:t xml:space="preserve"> putting out the fire;</w:t>
      </w:r>
      <w:r>
        <w:rPr>
          <w:rStyle w:val="Hyperlink.1"/>
          <w:rtl w:val="0"/>
          <w:lang w:val="en-US"/>
        </w:rPr>
        <w:t xml:space="preserve">  </w:t>
      </w:r>
      <w:r>
        <w:rPr>
          <w:rStyle w:val="Hyperlink.1"/>
          <w:rtl w:val="0"/>
          <w:lang w:val="en-US"/>
        </w:rPr>
        <w:t>extinguishing an out break methicillin resistant Staphylococcus aureus (MRSA) on a</w:t>
      </w:r>
      <w:r>
        <w:rPr>
          <w:rStyle w:val="Hyperlink.1"/>
          <w:rtl w:val="0"/>
          <w:lang w:val="en-US"/>
        </w:rPr>
        <w:t xml:space="preserve">  </w:t>
      </w:r>
      <w:r>
        <w:rPr>
          <w:rStyle w:val="Hyperlink.1"/>
          <w:rtl w:val="0"/>
          <w:lang w:val="en-US"/>
        </w:rPr>
        <w:t>Burn unit. Am J. infect control 26; 189.</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Bhullar, K., Waglechner, N., Pawlowski, A., Koteva, K., Banks, E. D.,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Johnston, M.</w:t>
      </w:r>
      <w:r>
        <w:rPr>
          <w:rStyle w:val="None"/>
          <w:rFonts w:ascii="Times New Roman" w:hAnsi="Times New Roman" w:hint="default"/>
          <w:b w:val="1"/>
          <w:bCs w:val="1"/>
          <w:kern w:val="0"/>
          <w:sz w:val="24"/>
          <w:szCs w:val="24"/>
          <w:rtl w:val="0"/>
          <w:lang w:val="en-US"/>
        </w:rPr>
        <w:t> </w:t>
      </w:r>
      <w:r>
        <w:rPr>
          <w:rStyle w:val="None"/>
          <w:rFonts w:ascii="Times New Roman" w:hAnsi="Times New Roman"/>
          <w:b w:val="1"/>
          <w:bCs w:val="1"/>
          <w:kern w:val="0"/>
          <w:sz w:val="24"/>
          <w:szCs w:val="24"/>
          <w:rtl w:val="0"/>
          <w:lang w:val="en-US"/>
        </w:rPr>
        <w:t>D., et al.</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2012. </w:t>
      </w:r>
      <w:r>
        <w:rPr>
          <w:rStyle w:val="None"/>
          <w:rFonts w:ascii="Times New Roman" w:hAnsi="Times New Roman"/>
          <w:i w:val="1"/>
          <w:iCs w:val="1"/>
          <w:kern w:val="0"/>
          <w:sz w:val="24"/>
          <w:szCs w:val="24"/>
          <w:rtl w:val="0"/>
          <w:lang w:val="en-US"/>
        </w:rPr>
        <w:t>Antibiotic resistance is prevalent in an isolated cave microbiome.</w:t>
      </w:r>
      <w:r>
        <w:rPr>
          <w:rStyle w:val="None"/>
          <w:rFonts w:ascii="Times New Roman" w:hAnsi="Times New Roman" w:hint="default"/>
          <w:i w:val="1"/>
          <w:iCs w:val="1"/>
          <w:kern w:val="0"/>
          <w:sz w:val="24"/>
          <w:szCs w:val="24"/>
          <w:rtl w:val="0"/>
          <w:lang w:val="en-US"/>
        </w:rPr>
        <w:t xml:space="preserve">  </w:t>
      </w:r>
      <w:r>
        <w:rPr>
          <w:rStyle w:val="Hyperlink.1"/>
          <w:rtl w:val="0"/>
          <w:lang w:val="en-US"/>
        </w:rPr>
        <w:t>PLoS One, 7(4), e34953.</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Byarugaba, D. K.</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2010.</w:t>
      </w:r>
      <w:r>
        <w:rPr>
          <w:rStyle w:val="Hyperlink.1"/>
          <w:rtl w:val="0"/>
          <w:lang w:val="en-US"/>
        </w:rPr>
        <w:t xml:space="preserve"> Mechanisms of antimicrobial resistance. In Antimicrobial</w:t>
      </w:r>
      <w:r>
        <w:rPr>
          <w:rStyle w:val="Hyperlink.1"/>
          <w:rtl w:val="0"/>
          <w:lang w:val="en-US"/>
        </w:rPr>
        <w:t xml:space="preserve">  </w:t>
      </w:r>
      <w:r>
        <w:rPr>
          <w:rStyle w:val="Hyperlink.1"/>
          <w:rtl w:val="0"/>
          <w:lang w:val="en-US"/>
        </w:rPr>
        <w:t>resistance in developing countries (pp. 15-26). Springer, New York. 10. Courvalin, P., Weisblum, B., Davies, J. (1977). Aminoglycoside-modifying enzyme</w:t>
      </w:r>
      <w:r>
        <w:rPr>
          <w:rStyle w:val="Hyperlink.1"/>
          <w:rtl w:val="0"/>
          <w:lang w:val="en-US"/>
        </w:rPr>
        <w:t xml:space="preserve">  </w:t>
      </w:r>
      <w:r>
        <w:rPr>
          <w:rStyle w:val="Hyperlink.1"/>
          <w:rtl w:val="0"/>
          <w:lang w:val="en-US"/>
        </w:rPr>
        <w:t>of an antibiotic-producing bacterium acts as a determinant of antibiotic resistance in</w:t>
      </w:r>
      <w:r>
        <w:rPr>
          <w:rStyle w:val="Hyperlink.1"/>
          <w:rtl w:val="0"/>
          <w:lang w:val="en-US"/>
        </w:rPr>
        <w:t xml:space="preserve">  </w:t>
      </w:r>
      <w:r>
        <w:rPr>
          <w:rStyle w:val="Hyperlink.1"/>
          <w:rtl w:val="0"/>
          <w:lang w:val="en-US"/>
        </w:rPr>
        <w:t xml:space="preserve">Escherichia coli. </w:t>
      </w:r>
      <w:r>
        <w:rPr>
          <w:rStyle w:val="None"/>
          <w:rFonts w:ascii="Times New Roman" w:hAnsi="Times New Roman"/>
          <w:i w:val="1"/>
          <w:iCs w:val="1"/>
          <w:kern w:val="0"/>
          <w:sz w:val="24"/>
          <w:szCs w:val="24"/>
          <w:rtl w:val="0"/>
          <w:lang w:val="en-US"/>
        </w:rPr>
        <w:t>Proceedings of the National Academy of Sciences,</w:t>
      </w:r>
      <w:r>
        <w:rPr>
          <w:rStyle w:val="Hyperlink.1"/>
          <w:rtl w:val="0"/>
          <w:lang w:val="en-US"/>
        </w:rPr>
        <w:t xml:space="preserve"> 74(3), 999- 1003.</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D"Costa, V.M., King, C.E., Kalan, L., Morar, M., Sung, W.W., </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Schwarz, C., et al.</w:t>
      </w:r>
      <w:r>
        <w:rPr>
          <w:rStyle w:val="None"/>
          <w:rFonts w:ascii="Times New Roman" w:hAnsi="Times New Roman" w:hint="default"/>
          <w:b w:val="1"/>
          <w:bCs w:val="1"/>
          <w:kern w:val="0"/>
          <w:sz w:val="24"/>
          <w:szCs w:val="24"/>
          <w:rtl w:val="0"/>
          <w:lang w:val="en-US"/>
        </w:rPr>
        <w:t> </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2011.</w:t>
      </w:r>
      <w:r>
        <w:rPr>
          <w:rStyle w:val="Hyperlink.1"/>
          <w:rtl w:val="0"/>
          <w:lang w:val="en-US"/>
        </w:rPr>
        <w:t xml:space="preserve"> Antibiotic resistance is ancient. Nature, 477(7365), 457-461. 12. D"Costa, V.M., King, C.E., Kalan, L., Morar, M., Sung, W.W., Schwarz, C.,</w:t>
      </w:r>
      <w:r>
        <w:rPr>
          <w:rStyle w:val="Hyperlink.1"/>
          <w:rtl w:val="0"/>
          <w:lang w:val="en-US"/>
        </w:rPr>
        <w:t xml:space="preserve">• </w:t>
      </w:r>
      <w:r>
        <w:rPr>
          <w:rStyle w:val="Hyperlink.1"/>
          <w:rtl w:val="0"/>
          <w:lang w:val="en-US"/>
        </w:rPr>
        <w:t>et al.</w:t>
      </w:r>
      <w:r>
        <w:rPr>
          <w:rStyle w:val="Hyperlink.1"/>
          <w:rtl w:val="0"/>
          <w:lang w:val="en-US"/>
        </w:rPr>
        <w:t xml:space="preserve">  </w:t>
      </w:r>
      <w:r>
        <w:rPr>
          <w:rStyle w:val="Hyperlink.1"/>
          <w:rtl w:val="0"/>
          <w:lang w:val="en-US"/>
        </w:rPr>
        <w:t xml:space="preserve">(2011). Antibiotic resistance is ancient. Nature, 477(7365), 457-461 13. Davies, J., and Davies, D. (2010). </w:t>
      </w:r>
      <w:r>
        <w:rPr>
          <w:rStyle w:val="None"/>
          <w:rFonts w:ascii="Times New Roman" w:hAnsi="Times New Roman"/>
          <w:i w:val="1"/>
          <w:iCs w:val="1"/>
          <w:kern w:val="0"/>
          <w:sz w:val="24"/>
          <w:szCs w:val="24"/>
          <w:rtl w:val="0"/>
          <w:lang w:val="en-US"/>
        </w:rPr>
        <w:t>Origins and evolution of antibiotic resistance.</w:t>
      </w:r>
      <w:r>
        <w:rPr>
          <w:rStyle w:val="None"/>
          <w:rFonts w:ascii="Times New Roman" w:hAnsi="Times New Roman" w:hint="default"/>
          <w:i w:val="1"/>
          <w:iCs w:val="1"/>
          <w:kern w:val="0"/>
          <w:sz w:val="24"/>
          <w:szCs w:val="24"/>
          <w:rtl w:val="0"/>
          <w:lang w:val="en-US"/>
        </w:rPr>
        <w:t> </w:t>
      </w:r>
      <w:r>
        <w:rPr>
          <w:rStyle w:val="Hyperlink.1"/>
          <w:rtl w:val="0"/>
          <w:lang w:val="en-US"/>
        </w:rPr>
        <w:t xml:space="preserve"> Microbiol. Mol. Biol. Rev. 74, 417</w:t>
      </w:r>
      <w:r>
        <w:rPr>
          <w:rStyle w:val="Hyperlink.1"/>
          <w:rtl w:val="0"/>
          <w:lang w:val="en-US"/>
        </w:rPr>
        <w:t>–</w:t>
      </w:r>
      <w:r>
        <w:rPr>
          <w:rStyle w:val="Hyperlink.1"/>
          <w:rtl w:val="0"/>
          <w:lang w:val="en-US"/>
        </w:rPr>
        <w:t>433.</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Dethlefsen, L., Huse, S., Sogin, M. L., Relman, D. A.</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2008</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T</w:t>
      </w:r>
      <w:r>
        <w:rPr>
          <w:rStyle w:val="Hyperlink.1"/>
          <w:rtl w:val="0"/>
          <w:lang w:val="en-US"/>
        </w:rPr>
        <w:t>he pervasive effects</w:t>
      </w:r>
      <w:r>
        <w:rPr>
          <w:rStyle w:val="Hyperlink.1"/>
          <w:rtl w:val="0"/>
          <w:lang w:val="en-US"/>
        </w:rPr>
        <w:t xml:space="preserve">  </w:t>
      </w:r>
      <w:r>
        <w:rPr>
          <w:rStyle w:val="Hyperlink.1"/>
          <w:rtl w:val="0"/>
          <w:lang w:val="en-US"/>
        </w:rPr>
        <w:t>of an antibiotic on the human gut microbiota, as revealed by deep 16S rRNA</w:t>
      </w:r>
      <w:r>
        <w:rPr>
          <w:rStyle w:val="Hyperlink.1"/>
          <w:rtl w:val="0"/>
          <w:lang w:val="en-US"/>
        </w:rPr>
        <w:t xml:space="preserve">  </w:t>
      </w:r>
      <w:r>
        <w:rPr>
          <w:rStyle w:val="Hyperlink.1"/>
          <w:rtl w:val="0"/>
          <w:lang w:val="en-US"/>
        </w:rPr>
        <w:t>sequencing. PLoS biology, 6(11), e280.</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Diwan, V., Tamhankar, A. J., Khandal, R. K., Sen, S., Aggarwal, M., Marothi, Y., et</w:t>
      </w:r>
      <w:r>
        <w:rPr>
          <w:rStyle w:val="None"/>
          <w:rFonts w:ascii="Times New Roman" w:hAnsi="Times New Roman" w:hint="default"/>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al.</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2010</w:t>
      </w:r>
      <w:r>
        <w:rPr>
          <w:rStyle w:val="Hyperlink.1"/>
          <w:rtl w:val="0"/>
          <w:lang w:val="en-US"/>
        </w:rPr>
        <w:t>. Antibiotics and antibiotic-resistant bacteria in waters associated with a</w:t>
      </w:r>
      <w:r>
        <w:rPr>
          <w:rStyle w:val="Hyperlink.1"/>
          <w:rtl w:val="0"/>
          <w:lang w:val="en-US"/>
        </w:rPr>
        <w:t xml:space="preserve">  </w:t>
      </w:r>
      <w:r>
        <w:rPr>
          <w:rStyle w:val="Hyperlink.1"/>
          <w:rtl w:val="0"/>
          <w:lang w:val="en-US"/>
        </w:rPr>
        <w:t>hospital in Ujjain, India. BMC Public Health, 10(1), 414.</w:t>
      </w:r>
      <w:r>
        <w:rPr>
          <w:rStyle w:val="Hyperlink.1"/>
          <w:rtl w:val="0"/>
          <w:lang w:val="en-US"/>
        </w:rPr>
        <w:t> </w:t>
      </w:r>
    </w:p>
    <w:p>
      <w:pPr>
        <w:pStyle w:val="Normal.0"/>
        <w:spacing w:after="0" w:line="360" w:lineRule="auto"/>
        <w:ind w:left="720" w:right="26" w:hanging="720"/>
        <w:jc w:val="both"/>
        <w:rPr>
          <w:rStyle w:val="Hyperlink.1"/>
        </w:rPr>
      </w:pPr>
      <w:r>
        <w:rPr>
          <w:rStyle w:val="Hyperlink.1"/>
          <w:rtl w:val="0"/>
          <w:lang w:val="en-US"/>
        </w:rPr>
        <w:t>Domagk, G. (1935). Ein BeitragzurChemotherapie der bakteriellenInfektionen.</w:t>
      </w:r>
      <w:r>
        <w:rPr>
          <w:rStyle w:val="Hyperlink.1"/>
          <w:rtl w:val="0"/>
          <w:lang w:val="en-US"/>
        </w:rPr>
        <w:t xml:space="preserve">  </w:t>
      </w:r>
      <w:r>
        <w:rPr>
          <w:rStyle w:val="Hyperlink.1"/>
          <w:rtl w:val="0"/>
          <w:lang w:val="en-US"/>
        </w:rPr>
        <w:t>Dtsch. Med. Wochenschr. 61, 250.</w:t>
      </w:r>
      <w:r>
        <w:rPr>
          <w:rStyle w:val="Hyperlink.1"/>
          <w:rtl w:val="0"/>
          <w:lang w:val="en-US"/>
        </w:rPr>
        <w:t> </w:t>
      </w: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Hyperlink.1"/>
        </w:rPr>
      </w:pPr>
      <w:r>
        <w:rPr>
          <w:rStyle w:val="Hyperlink.1"/>
          <w:rtl w:val="0"/>
          <w:lang w:val="en-US"/>
        </w:rPr>
        <w:t>Dowdy, R.H and Volk, V.V., (1983) Movement of heavy metals in soils. In: D.W.</w:t>
      </w:r>
      <w:r>
        <w:rPr>
          <w:rStyle w:val="Hyperlink.1"/>
          <w:rtl w:val="0"/>
          <w:lang w:val="en-US"/>
        </w:rPr>
        <w:t xml:space="preserve">  </w:t>
      </w:r>
      <w:r>
        <w:rPr>
          <w:rStyle w:val="Hyperlink.1"/>
          <w:rtl w:val="0"/>
          <w:lang w:val="en-US"/>
        </w:rPr>
        <w:t>Nelsenetal. Chemical Mobility and Reactivity in Soil Systems; 229-240 18. Ehrlich, P., and Hata, S. (1910). Die ExperimentelleChemotherapie der Spirillosen.</w:t>
      </w:r>
      <w:r>
        <w:rPr>
          <w:rStyle w:val="Hyperlink.1"/>
          <w:rtl w:val="0"/>
          <w:lang w:val="en-US"/>
        </w:rPr>
        <w:t xml:space="preserve">  </w:t>
      </w:r>
      <w:r>
        <w:rPr>
          <w:rStyle w:val="Hyperlink.1"/>
          <w:rtl w:val="0"/>
          <w:lang w:val="en-US"/>
        </w:rPr>
        <w:t>Berlin: Julius Springer.</w:t>
      </w:r>
      <w:r>
        <w:rPr>
          <w:rStyle w:val="Hyperlink.1"/>
          <w:rtl w:val="0"/>
          <w:lang w:val="en-US"/>
        </w:rPr>
        <w:t> </w:t>
      </w:r>
    </w:p>
    <w:p>
      <w:pPr>
        <w:pStyle w:val="Normal.0"/>
        <w:spacing w:after="0" w:line="360" w:lineRule="auto"/>
        <w:ind w:left="720" w:right="26" w:hanging="720"/>
        <w:jc w:val="both"/>
        <w:rPr>
          <w:rStyle w:val="Hyperlink.1"/>
        </w:rPr>
      </w:pPr>
      <w:r>
        <w:rPr>
          <w:rStyle w:val="Hyperlink.1"/>
          <w:rtl w:val="0"/>
          <w:lang w:val="en-US"/>
        </w:rPr>
        <w:t>Emmanuel E, Perrodin Y, Keck G, Blanchard JM, Vermande P (2005).</w:t>
      </w:r>
      <w:r>
        <w:rPr>
          <w:rStyle w:val="Hyperlink.1"/>
          <w:rtl w:val="0"/>
          <w:lang w:val="en-US"/>
        </w:rPr>
        <w:t xml:space="preserve">  </w:t>
      </w:r>
      <w:r>
        <w:rPr>
          <w:rStyle w:val="Hyperlink.1"/>
          <w:rtl w:val="0"/>
          <w:lang w:val="en-US"/>
        </w:rPr>
        <w:t>Ecotoxicological risk assessment of hospital wastewater: a proposed framework for</w:t>
      </w:r>
      <w:r>
        <w:rPr>
          <w:rStyle w:val="Hyperlink.1"/>
          <w:rtl w:val="0"/>
          <w:lang w:val="en-US"/>
        </w:rPr>
        <w:t xml:space="preserve">  </w:t>
      </w:r>
      <w:r>
        <w:rPr>
          <w:rStyle w:val="Hyperlink.1"/>
          <w:rtl w:val="0"/>
          <w:lang w:val="en-US"/>
        </w:rPr>
        <w:t>raw effluents discharging into urban sewer network. *J Hazard Mater.*117(1):1</w:t>
      </w:r>
      <w:r>
        <w:rPr>
          <w:rStyle w:val="Hyperlink.1"/>
          <w:rtl w:val="0"/>
          <w:lang w:val="en-US"/>
        </w:rPr>
        <w:t>–</w:t>
      </w:r>
      <w:r>
        <w:rPr>
          <w:rStyle w:val="Hyperlink.1"/>
          <w:rtl w:val="0"/>
          <w:lang w:val="en-US"/>
        </w:rPr>
        <w:t>11.</w:t>
      </w:r>
      <w:r>
        <w:rPr>
          <w:rStyle w:val="Hyperlink.1"/>
          <w:rtl w:val="0"/>
          <w:lang w:val="en-US"/>
        </w:rPr>
        <w:t> </w:t>
      </w:r>
    </w:p>
    <w:p>
      <w:pPr>
        <w:pStyle w:val="Normal.0"/>
        <w:spacing w:after="0" w:line="360" w:lineRule="auto"/>
        <w:ind w:left="720" w:right="26" w:hanging="720"/>
        <w:jc w:val="both"/>
        <w:rPr>
          <w:rStyle w:val="Hyperlink.1"/>
        </w:rPr>
      </w:pPr>
      <w:r>
        <w:rPr>
          <w:rStyle w:val="Hyperlink.1"/>
          <w:rtl w:val="0"/>
          <w:lang w:val="en-US"/>
        </w:rPr>
        <w:t>Finley, R. L., Collignon, P., Larsson, D. J., McEwen, S. A., Li, X. Z., Gaze, W. H.,</w:t>
      </w:r>
      <w:r>
        <w:rPr>
          <w:rStyle w:val="Hyperlink.1"/>
          <w:rtl w:val="0"/>
          <w:lang w:val="en-US"/>
        </w:rPr>
        <w:t xml:space="preserve">  </w:t>
      </w:r>
      <w:r>
        <w:rPr>
          <w:rStyle w:val="Hyperlink.1"/>
          <w:rtl w:val="0"/>
          <w:lang w:val="en-US"/>
        </w:rPr>
        <w:t>et al. (2013). The scourge of antibiotic resistance: the important role of the</w:t>
      </w:r>
      <w:r>
        <w:rPr>
          <w:rStyle w:val="Hyperlink.1"/>
          <w:rtl w:val="0"/>
          <w:lang w:val="en-US"/>
        </w:rPr>
        <w:t xml:space="preserve">  </w:t>
      </w:r>
      <w:r>
        <w:rPr>
          <w:rStyle w:val="Hyperlink.1"/>
          <w:rtl w:val="0"/>
          <w:lang w:val="en-US"/>
        </w:rPr>
        <w:t>environment. Clinical Infectious Diseases, 57(5):704-10.</w:t>
      </w:r>
      <w:r>
        <w:rPr>
          <w:rStyle w:val="Hyperlink.1"/>
          <w:rtl w:val="0"/>
          <w:lang w:val="en-US"/>
        </w:rPr>
        <w:t> </w:t>
      </w:r>
    </w:p>
    <w:p>
      <w:pPr>
        <w:pStyle w:val="Normal.0"/>
        <w:spacing w:after="0" w:line="360" w:lineRule="auto"/>
        <w:ind w:left="720" w:right="26" w:hanging="720"/>
        <w:jc w:val="both"/>
        <w:rPr>
          <w:rStyle w:val="Hyperlink.1"/>
        </w:rPr>
      </w:pPr>
      <w:r>
        <w:rPr>
          <w:rStyle w:val="Hyperlink.1"/>
          <w:rtl w:val="0"/>
          <w:lang w:val="en-US"/>
        </w:rPr>
        <w:t>Fleming, A. (1929). On antibacterial action of culture of Penicillium, with special</w:t>
      </w:r>
      <w:r>
        <w:rPr>
          <w:rStyle w:val="Hyperlink.1"/>
          <w:rtl w:val="0"/>
          <w:lang w:val="en-US"/>
        </w:rPr>
        <w:t xml:space="preserve">  </w:t>
      </w:r>
      <w:r>
        <w:rPr>
          <w:rStyle w:val="Hyperlink.1"/>
          <w:rtl w:val="0"/>
          <w:lang w:val="en-US"/>
        </w:rPr>
        <w:t>reference to their use in isolation of B. influenzae. Br. J. Exp. Pathol. 10, 226</w:t>
      </w:r>
      <w:r>
        <w:rPr>
          <w:rStyle w:val="Hyperlink.1"/>
          <w:rtl w:val="0"/>
          <w:lang w:val="en-US"/>
        </w:rPr>
        <w:t>–</w:t>
      </w:r>
      <w:r>
        <w:rPr>
          <w:rStyle w:val="Hyperlink.1"/>
          <w:rtl w:val="0"/>
          <w:lang w:val="en-US"/>
        </w:rPr>
        <w:t>236.</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Forsberg, K. J., Reyes, A., Wang, B., Selleck, E. M., Sommer, M. O., </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Dantas, G.</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2012.</w:t>
      </w:r>
      <w:r>
        <w:rPr>
          <w:rStyle w:val="Hyperlink.1"/>
          <w:rtl w:val="0"/>
          <w:lang w:val="en-US"/>
        </w:rPr>
        <w:t xml:space="preserve"> The shared antibiotic resistome of soil bacteria and human pathogens.</w:t>
      </w:r>
      <w:r>
        <w:rPr>
          <w:rStyle w:val="Hyperlink.1"/>
          <w:rtl w:val="0"/>
          <w:lang w:val="en-US"/>
        </w:rPr>
        <w:t xml:space="preserve">  </w:t>
      </w:r>
      <w:r>
        <w:rPr>
          <w:rStyle w:val="Hyperlink.1"/>
          <w:rtl w:val="0"/>
          <w:lang w:val="en-US"/>
        </w:rPr>
        <w:t>Science, 337(6098), 1107-1111.</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Gartiser</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S</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t</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Brinker L</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Erbe T</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w:t>
      </w:r>
      <w:r>
        <w:rPr>
          <w:rStyle w:val="None"/>
          <w:rFonts w:ascii="Times New Roman" w:hAnsi="Times New Roman" w:hint="default"/>
          <w:b w:val="1"/>
          <w:bCs w:val="1"/>
          <w:kern w:val="0"/>
          <w:sz w:val="24"/>
          <w:szCs w:val="24"/>
          <w:rtl w:val="0"/>
          <w:lang w:val="en-US"/>
        </w:rPr>
        <w:t>ü</w:t>
      </w:r>
      <w:r>
        <w:rPr>
          <w:rStyle w:val="None"/>
          <w:rFonts w:ascii="Times New Roman" w:hAnsi="Times New Roman"/>
          <w:b w:val="1"/>
          <w:bCs w:val="1"/>
          <w:kern w:val="0"/>
          <w:sz w:val="24"/>
          <w:szCs w:val="24"/>
          <w:rtl w:val="0"/>
          <w:lang w:val="en-US"/>
        </w:rPr>
        <w:t>mmerer K</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Willmund R.</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Belastung</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1996.</w:t>
      </w:r>
      <w:r>
        <w:rPr>
          <w:rStyle w:val="Hyperlink.1"/>
          <w:rtl w:val="0"/>
          <w:lang w:val="en-US"/>
        </w:rPr>
        <w:t xml:space="preserve"> Von</w:t>
      </w:r>
      <w:r>
        <w:rPr>
          <w:rStyle w:val="Hyperlink.1"/>
          <w:rtl w:val="0"/>
          <w:lang w:val="en-US"/>
        </w:rPr>
        <w:t xml:space="preserve">  </w:t>
      </w:r>
      <w:r>
        <w:rPr>
          <w:rStyle w:val="Hyperlink.1"/>
          <w:rtl w:val="0"/>
          <w:lang w:val="en-US"/>
        </w:rPr>
        <w:t>Krankenhausab was sermitgef</w:t>
      </w:r>
      <w:r>
        <w:rPr>
          <w:rStyle w:val="Hyperlink.1"/>
          <w:rtl w:val="0"/>
          <w:lang w:val="en-US"/>
        </w:rPr>
        <w:t>ä</w:t>
      </w:r>
      <w:r>
        <w:rPr>
          <w:rStyle w:val="Hyperlink.1"/>
          <w:rtl w:val="0"/>
          <w:lang w:val="en-US"/>
        </w:rPr>
        <w:t xml:space="preserve">hrlichenStoffenim Sinne </w:t>
      </w:r>
      <w:r>
        <w:rPr>
          <w:rStyle w:val="Hyperlink.1"/>
          <w:rtl w:val="0"/>
          <w:lang w:val="en-US"/>
        </w:rPr>
        <w:t xml:space="preserve">§ </w:t>
      </w:r>
      <w:r>
        <w:rPr>
          <w:rStyle w:val="Hyperlink.1"/>
          <w:rtl w:val="0"/>
          <w:lang w:val="en-US"/>
        </w:rPr>
        <w:t>7a WHG. Acta</w:t>
      </w:r>
      <w:r>
        <w:rPr>
          <w:rStyle w:val="Hyperlink.1"/>
          <w:rtl w:val="0"/>
          <w:lang w:val="en-US"/>
        </w:rPr>
        <w:t xml:space="preserve">  </w:t>
      </w:r>
      <w:r>
        <w:rPr>
          <w:rStyle w:val="Hyperlink.1"/>
          <w:rtl w:val="0"/>
          <w:lang w:val="en-US"/>
        </w:rPr>
        <w:t>hydrochim. Hydrobio.; 24: 2.</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Golkar Z, Bagazra O,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 xml:space="preserve">Pace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D</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G.</w:t>
      </w:r>
      <w:r>
        <w:rPr>
          <w:rStyle w:val="None"/>
          <w:rFonts w:ascii="Times New Roman" w:hAnsi="Times New Roman"/>
          <w:b w:val="1"/>
          <w:bCs w:val="1"/>
          <w:kern w:val="0"/>
          <w:sz w:val="24"/>
          <w:szCs w:val="24"/>
          <w:rtl w:val="0"/>
          <w:lang w:val="en-US"/>
        </w:rPr>
        <w:t>, 2013</w:t>
      </w:r>
      <w:r>
        <w:rPr>
          <w:rStyle w:val="Hyperlink.1"/>
          <w:rtl w:val="0"/>
          <w:lang w:val="en-US"/>
        </w:rPr>
        <w:t xml:space="preserve"> Bacteriophage therapy: a potential solution for the</w:t>
      </w:r>
      <w:r>
        <w:rPr>
          <w:rStyle w:val="Hyperlink.1"/>
          <w:rtl w:val="0"/>
          <w:lang w:val="en-US"/>
        </w:rPr>
        <w:t xml:space="preserve">  </w:t>
      </w:r>
      <w:r>
        <w:rPr>
          <w:rStyle w:val="Hyperlink.1"/>
          <w:rtl w:val="0"/>
          <w:lang w:val="en-US"/>
        </w:rPr>
        <w:t>antibiotic resistance crisis. J Infect Dev Ctries. 2014;8(2):129</w:t>
      </w:r>
      <w:r>
        <w:rPr>
          <w:rStyle w:val="Hyperlink.1"/>
          <w:rtl w:val="0"/>
          <w:lang w:val="en-US"/>
        </w:rPr>
        <w:t>–</w:t>
      </w:r>
      <w:r>
        <w:rPr>
          <w:rStyle w:val="Hyperlink.1"/>
          <w:rtl w:val="0"/>
          <w:lang w:val="en-US"/>
        </w:rPr>
        <w:t>136. 13. 25. Gould IM, Bal AM. New antibiotic agents in the pipeline and how they can</w:t>
      </w:r>
      <w:r>
        <w:rPr>
          <w:rStyle w:val="Hyperlink.1"/>
          <w:rtl w:val="0"/>
          <w:lang w:val="en-US"/>
        </w:rPr>
        <w:t xml:space="preserve">  </w:t>
      </w:r>
      <w:r>
        <w:rPr>
          <w:rStyle w:val="Hyperlink.1"/>
          <w:rtl w:val="0"/>
          <w:lang w:val="en-US"/>
        </w:rPr>
        <w:t>overcome microbial resistance. Virulence.;4(2):185</w:t>
      </w:r>
      <w:r>
        <w:rPr>
          <w:rStyle w:val="Hyperlink.1"/>
          <w:rtl w:val="0"/>
          <w:lang w:val="en-US"/>
        </w:rPr>
        <w:t>–</w:t>
      </w:r>
      <w:r>
        <w:rPr>
          <w:rStyle w:val="Hyperlink.1"/>
          <w:rtl w:val="0"/>
          <w:lang w:val="en-US"/>
        </w:rPr>
        <w:t>191.</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Hopwood, D. A. </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2007. </w:t>
      </w:r>
      <w:r>
        <w:rPr>
          <w:rStyle w:val="Hyperlink.1"/>
          <w:rtl w:val="0"/>
          <w:lang w:val="en-US"/>
        </w:rPr>
        <w:t>Streptomyces in Nature and Medicine: The Antibiotic</w:t>
      </w:r>
      <w:r>
        <w:rPr>
          <w:rStyle w:val="Hyperlink.1"/>
          <w:rtl w:val="0"/>
          <w:lang w:val="en-US"/>
        </w:rPr>
        <w:t xml:space="preserve">  </w:t>
      </w:r>
      <w:r>
        <w:rPr>
          <w:rStyle w:val="Hyperlink.1"/>
          <w:rtl w:val="0"/>
          <w:lang w:val="en-US"/>
        </w:rPr>
        <w:t xml:space="preserve">Makers. New York, NY: </w:t>
      </w:r>
      <w:r>
        <w:rPr>
          <w:rStyle w:val="None"/>
          <w:rFonts w:ascii="Times New Roman" w:hAnsi="Times New Roman"/>
          <w:i w:val="1"/>
          <w:iCs w:val="1"/>
          <w:kern w:val="0"/>
          <w:sz w:val="24"/>
          <w:szCs w:val="24"/>
          <w:rtl w:val="0"/>
          <w:lang w:val="en-US"/>
        </w:rPr>
        <w:t xml:space="preserve">Oxford University Press, </w:t>
      </w:r>
      <w:r>
        <w:rPr>
          <w:rStyle w:val="Hyperlink.1"/>
          <w:rtl w:val="0"/>
          <w:lang w:val="en-US"/>
        </w:rPr>
        <w:t>2007.</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Jarvis., W.R.</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1987</w:t>
      </w:r>
      <w:r>
        <w:rPr>
          <w:rStyle w:val="None"/>
          <w:rFonts w:ascii="Times New Roman" w:hAnsi="Times New Roman"/>
          <w:b w:val="1"/>
          <w:bCs w:val="1"/>
          <w:kern w:val="0"/>
          <w:sz w:val="24"/>
          <w:szCs w:val="24"/>
          <w:rtl w:val="0"/>
          <w:lang w:val="en-US"/>
        </w:rPr>
        <w:t xml:space="preserve">. </w:t>
      </w:r>
      <w:r>
        <w:rPr>
          <w:rStyle w:val="Hyperlink.1"/>
          <w:rtl w:val="0"/>
          <w:lang w:val="en-US"/>
        </w:rPr>
        <w:t>Epidemiology of nosocomial infection in Pediatric patients,</w:t>
      </w:r>
      <w:r>
        <w:rPr>
          <w:rStyle w:val="Hyperlink.1"/>
          <w:rtl w:val="0"/>
          <w:lang w:val="en-US"/>
        </w:rPr>
        <w:t xml:space="preserve">  </w:t>
      </w:r>
      <w:r>
        <w:rPr>
          <w:rStyle w:val="Hyperlink.1"/>
          <w:rtl w:val="0"/>
          <w:lang w:val="en-US"/>
        </w:rPr>
        <w:t>Paediat infect Dis J; 6: 344-351;</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Jayaraman, R.</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w:t>
      </w:r>
      <w:r>
        <w:rPr>
          <w:rStyle w:val="None"/>
          <w:rFonts w:ascii="Times New Roman" w:hAnsi="Times New Roman"/>
          <w:b w:val="1"/>
          <w:bCs w:val="1"/>
          <w:kern w:val="0"/>
          <w:sz w:val="24"/>
          <w:szCs w:val="24"/>
          <w:rtl w:val="0"/>
          <w:lang w:val="en-US"/>
        </w:rPr>
        <w:t>09</w:t>
      </w:r>
      <w:r>
        <w:rPr>
          <w:rStyle w:val="None"/>
          <w:rFonts w:ascii="Times New Roman" w:hAnsi="Times New Roman"/>
          <w:b w:val="1"/>
          <w:bCs w:val="1"/>
          <w:kern w:val="0"/>
          <w:sz w:val="24"/>
          <w:szCs w:val="24"/>
          <w:rtl w:val="0"/>
          <w:lang w:val="en-US"/>
        </w:rPr>
        <w:t>.</w:t>
      </w:r>
      <w:r>
        <w:rPr>
          <w:rStyle w:val="Hyperlink.1"/>
          <w:rtl w:val="0"/>
          <w:lang w:val="en-US"/>
        </w:rPr>
        <w:t xml:space="preserve"> Antibiotic resistance: an overview of mechanisms and a</w:t>
      </w:r>
      <w:r>
        <w:rPr>
          <w:rStyle w:val="Hyperlink.1"/>
          <w:rtl w:val="0"/>
          <w:lang w:val="en-US"/>
        </w:rPr>
        <w:t xml:space="preserve">  </w:t>
      </w:r>
      <w:r>
        <w:rPr>
          <w:rStyle w:val="Hyperlink.1"/>
          <w:rtl w:val="0"/>
          <w:lang w:val="en-US"/>
        </w:rPr>
        <w:t>paradigm shift. Current Science, 96(11), 1475-1484.</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Jernberg, C., L</w:t>
      </w:r>
      <w:r>
        <w:rPr>
          <w:rStyle w:val="None"/>
          <w:rFonts w:ascii="Times New Roman" w:hAnsi="Times New Roman" w:hint="default"/>
          <w:b w:val="1"/>
          <w:bCs w:val="1"/>
          <w:kern w:val="0"/>
          <w:sz w:val="24"/>
          <w:szCs w:val="24"/>
          <w:rtl w:val="0"/>
          <w:lang w:val="en-US"/>
        </w:rPr>
        <w:t>ö</w:t>
      </w:r>
      <w:r>
        <w:rPr>
          <w:rStyle w:val="None"/>
          <w:rFonts w:ascii="Times New Roman" w:hAnsi="Times New Roman"/>
          <w:b w:val="1"/>
          <w:bCs w:val="1"/>
          <w:kern w:val="0"/>
          <w:sz w:val="24"/>
          <w:szCs w:val="24"/>
          <w:rtl w:val="0"/>
          <w:lang w:val="en-US"/>
        </w:rPr>
        <w:t xml:space="preserve">fmark, S., Edlund, C.,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Jansson, J. K.</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2010</w:t>
      </w:r>
      <w:r>
        <w:rPr>
          <w:rStyle w:val="Hyperlink.1"/>
          <w:rtl w:val="0"/>
          <w:lang w:val="en-US"/>
        </w:rPr>
        <w:t>. Long-term impacts of</w:t>
      </w:r>
      <w:r>
        <w:rPr>
          <w:rStyle w:val="Hyperlink.1"/>
          <w:rtl w:val="0"/>
          <w:lang w:val="en-US"/>
        </w:rPr>
        <w:t xml:space="preserve">  </w:t>
      </w:r>
      <w:r>
        <w:rPr>
          <w:rStyle w:val="Hyperlink.1"/>
          <w:rtl w:val="0"/>
          <w:lang w:val="en-US"/>
        </w:rPr>
        <w:t xml:space="preserve">antibiotic exposure on the human intestinal microbiota. </w:t>
      </w:r>
      <w:r>
        <w:rPr>
          <w:rStyle w:val="Hyperlink.1"/>
          <w:rtl w:val="0"/>
          <w:lang w:val="en-US"/>
        </w:rPr>
        <w:t>i</w:t>
      </w:r>
      <w:r>
        <w:rPr>
          <w:rStyle w:val="Hyperlink.1"/>
          <w:rtl w:val="0"/>
          <w:lang w:val="en-US"/>
        </w:rPr>
        <w:t>156(11),</w:t>
      </w:r>
      <w:r>
        <w:rPr>
          <w:rStyle w:val="Hyperlink.1"/>
          <w:rtl w:val="0"/>
          <w:lang w:val="en-US"/>
        </w:rPr>
        <w:t xml:space="preserve">  </w:t>
      </w:r>
      <w:r>
        <w:rPr>
          <w:rStyle w:val="Hyperlink.1"/>
          <w:rtl w:val="0"/>
          <w:lang w:val="en-US"/>
        </w:rPr>
        <w:t>3216-3223.</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Karnachuk O.V, Kurochkina, S.Y, Nicomrat, D, Frank,Y.A, Ivasenko, D.A,</w:t>
      </w:r>
      <w:r>
        <w:rPr>
          <w:rStyle w:val="None"/>
          <w:rFonts w:ascii="Times New Roman" w:hAnsi="Times New Roman" w:hint="default"/>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Phyllipenko, E.A</w:t>
      </w:r>
      <w:r>
        <w:rPr>
          <w:rStyle w:val="None"/>
          <w:rFonts w:ascii="Times New Roman" w:hAnsi="Times New Roman"/>
          <w:b w:val="1"/>
          <w:bCs w:val="1"/>
          <w:kern w:val="0"/>
          <w:sz w:val="24"/>
          <w:szCs w:val="24"/>
          <w:rtl w:val="0"/>
          <w:lang w:val="en-US"/>
        </w:rPr>
        <w:t xml:space="preserve"> ., </w:t>
      </w:r>
      <w:r>
        <w:rPr>
          <w:rStyle w:val="None"/>
          <w:rFonts w:ascii="Times New Roman" w:hAnsi="Times New Roman"/>
          <w:b w:val="1"/>
          <w:bCs w:val="1"/>
          <w:kern w:val="0"/>
          <w:sz w:val="24"/>
          <w:szCs w:val="24"/>
          <w:rtl w:val="0"/>
          <w:lang w:val="en-US"/>
        </w:rPr>
        <w:t>and</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Tuovinen, O.H</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 2003. </w:t>
      </w:r>
      <w:r>
        <w:rPr>
          <w:rStyle w:val="Hyperlink.1"/>
          <w:rtl w:val="0"/>
          <w:lang w:val="en-US"/>
        </w:rPr>
        <w:t>Copper resistance in Desulfovibrio</w:t>
      </w:r>
      <w:r>
        <w:rPr>
          <w:rStyle w:val="Hyperlink.1"/>
          <w:rtl w:val="0"/>
          <w:lang w:val="en-US"/>
        </w:rPr>
        <w:t xml:space="preserve">  </w:t>
      </w:r>
      <w:r>
        <w:rPr>
          <w:rStyle w:val="Hyperlink.1"/>
          <w:rtl w:val="0"/>
          <w:lang w:val="en-US"/>
        </w:rPr>
        <w:t>strain R2.Anton. Leeuw; 83, 99-106.</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Kristiansson, E., Fick, J., Janzon, A., Grabic, R., Rutgersson, C.,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Weijdeg</w:t>
      </w:r>
      <w:r>
        <w:rPr>
          <w:rStyle w:val="None"/>
          <w:rFonts w:ascii="Times New Roman" w:hAnsi="Times New Roman" w:hint="default"/>
          <w:b w:val="1"/>
          <w:bCs w:val="1"/>
          <w:kern w:val="0"/>
          <w:sz w:val="24"/>
          <w:szCs w:val="24"/>
          <w:rtl w:val="0"/>
          <w:lang w:val="en-US"/>
        </w:rPr>
        <w:t>å</w:t>
      </w:r>
      <w:r>
        <w:rPr>
          <w:rStyle w:val="None"/>
          <w:rFonts w:ascii="Times New Roman" w:hAnsi="Times New Roman"/>
          <w:b w:val="1"/>
          <w:bCs w:val="1"/>
          <w:kern w:val="0"/>
          <w:sz w:val="24"/>
          <w:szCs w:val="24"/>
          <w:rtl w:val="0"/>
          <w:lang w:val="en-US"/>
        </w:rPr>
        <w:t>rd, B., et</w:t>
      </w:r>
      <w:r>
        <w:rPr>
          <w:rStyle w:val="None"/>
          <w:rFonts w:ascii="Times New Roman" w:hAnsi="Times New Roman" w:hint="default"/>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al. 2011.</w:t>
      </w:r>
      <w:r>
        <w:rPr>
          <w:rStyle w:val="Hyperlink.1"/>
          <w:rtl w:val="0"/>
          <w:lang w:val="en-US"/>
        </w:rPr>
        <w:t xml:space="preserve"> Pyrosequencing of antibiotic-contaminated river sediments reveals high</w:t>
      </w:r>
      <w:r>
        <w:rPr>
          <w:rStyle w:val="Hyperlink.1"/>
          <w:rtl w:val="0"/>
          <w:lang w:val="en-US"/>
        </w:rPr>
        <w:t xml:space="preserve">  </w:t>
      </w:r>
      <w:r>
        <w:rPr>
          <w:rStyle w:val="Hyperlink.1"/>
          <w:rtl w:val="0"/>
          <w:lang w:val="en-US"/>
        </w:rPr>
        <w:t xml:space="preserve">levels of resistance and gene transfer elements. </w:t>
      </w:r>
      <w:r>
        <w:rPr>
          <w:rStyle w:val="None"/>
          <w:rFonts w:ascii="Times New Roman" w:hAnsi="Times New Roman"/>
          <w:i w:val="1"/>
          <w:iCs w:val="1"/>
          <w:kern w:val="0"/>
          <w:sz w:val="24"/>
          <w:szCs w:val="24"/>
          <w:rtl w:val="0"/>
          <w:lang w:val="en-US"/>
        </w:rPr>
        <w:t xml:space="preserve">PLoS One, </w:t>
      </w:r>
      <w:r>
        <w:rPr>
          <w:rStyle w:val="Hyperlink.1"/>
          <w:rtl w:val="0"/>
          <w:lang w:val="en-US"/>
        </w:rPr>
        <w:t>6(2), e17038.</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Kristiansson, E., Fick, J., Janzon, A., Grabic, R., Rutgersson, C., </w:t>
      </w:r>
      <w:r>
        <w:rPr>
          <w:rStyle w:val="None"/>
          <w:rFonts w:ascii="Times New Roman" w:hAnsi="Times New Roman"/>
          <w:b w:val="1"/>
          <w:bCs w:val="1"/>
          <w:kern w:val="0"/>
          <w:sz w:val="24"/>
          <w:szCs w:val="24"/>
          <w:rtl w:val="0"/>
          <w:lang w:val="en-US"/>
        </w:rPr>
        <w:t>and</w:t>
      </w:r>
      <w:r>
        <w:rPr>
          <w:rStyle w:val="None"/>
          <w:rFonts w:ascii="Times New Roman" w:hAnsi="Times New Roman"/>
          <w:b w:val="1"/>
          <w:bCs w:val="1"/>
          <w:kern w:val="0"/>
          <w:sz w:val="24"/>
          <w:szCs w:val="24"/>
          <w:rtl w:val="0"/>
          <w:lang w:val="en-US"/>
        </w:rPr>
        <w:t>Weijdeg</w:t>
      </w:r>
      <w:r>
        <w:rPr>
          <w:rStyle w:val="None"/>
          <w:rFonts w:ascii="Times New Roman" w:hAnsi="Times New Roman" w:hint="default"/>
          <w:b w:val="1"/>
          <w:bCs w:val="1"/>
          <w:kern w:val="0"/>
          <w:sz w:val="24"/>
          <w:szCs w:val="24"/>
          <w:rtl w:val="0"/>
          <w:lang w:val="en-US"/>
        </w:rPr>
        <w:t>å</w:t>
      </w:r>
      <w:r>
        <w:rPr>
          <w:rStyle w:val="None"/>
          <w:rFonts w:ascii="Times New Roman" w:hAnsi="Times New Roman"/>
          <w:b w:val="1"/>
          <w:bCs w:val="1"/>
          <w:kern w:val="0"/>
          <w:sz w:val="24"/>
          <w:szCs w:val="24"/>
          <w:rtl w:val="0"/>
          <w:lang w:val="en-US"/>
        </w:rPr>
        <w:t>rd, B., et</w:t>
      </w:r>
      <w:r>
        <w:rPr>
          <w:rStyle w:val="None"/>
          <w:rFonts w:ascii="Times New Roman" w:hAnsi="Times New Roman" w:hint="default"/>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al. 2011.</w:t>
      </w:r>
      <w:r>
        <w:rPr>
          <w:rStyle w:val="Hyperlink.1"/>
          <w:rtl w:val="0"/>
          <w:lang w:val="en-US"/>
        </w:rPr>
        <w:t xml:space="preserve"> Pyrosequencing of antibiotic-contaminated river sediments reveals high</w:t>
      </w:r>
      <w:r>
        <w:rPr>
          <w:rStyle w:val="Hyperlink.1"/>
          <w:rtl w:val="0"/>
          <w:lang w:val="en-US"/>
        </w:rPr>
        <w:t xml:space="preserve">  </w:t>
      </w:r>
      <w:r>
        <w:rPr>
          <w:rStyle w:val="Hyperlink.1"/>
          <w:rtl w:val="0"/>
          <w:lang w:val="en-US"/>
        </w:rPr>
        <w:t>levels of resistance and gene transfer elements. PLoS One, 6(2), e17038.</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Kummerer K</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2001.</w:t>
      </w:r>
      <w:r>
        <w:rPr>
          <w:rStyle w:val="Hyperlink.1"/>
          <w:rtl w:val="0"/>
          <w:lang w:val="en-US"/>
        </w:rPr>
        <w:t xml:space="preserve"> Drugs in the environment: emission of drugs, diagnostic aids</w:t>
      </w:r>
      <w:r>
        <w:rPr>
          <w:rStyle w:val="Hyperlink.1"/>
          <w:rtl w:val="0"/>
          <w:lang w:val="en-US"/>
        </w:rPr>
        <w:t xml:space="preserve">  </w:t>
      </w:r>
      <w:r>
        <w:rPr>
          <w:rStyle w:val="Hyperlink.1"/>
          <w:rtl w:val="0"/>
          <w:lang w:val="en-US"/>
        </w:rPr>
        <w:t>and disinfectants into wastewater by hospitals in relation to other sources - a review.</w:t>
      </w:r>
      <w:r>
        <w:rPr>
          <w:rStyle w:val="Hyperlink.1"/>
          <w:rtl w:val="0"/>
          <w:lang w:val="en-US"/>
        </w:rPr>
        <w:t xml:space="preserve">  </w:t>
      </w:r>
      <w:r>
        <w:rPr>
          <w:rStyle w:val="None"/>
          <w:rFonts w:ascii="Times New Roman" w:hAnsi="Times New Roman"/>
          <w:i w:val="1"/>
          <w:iCs w:val="1"/>
          <w:kern w:val="0"/>
          <w:sz w:val="24"/>
          <w:szCs w:val="24"/>
          <w:rtl w:val="0"/>
          <w:lang w:val="en-US"/>
        </w:rPr>
        <w:t xml:space="preserve">Chemosphere </w:t>
      </w:r>
      <w:r>
        <w:rPr>
          <w:rStyle w:val="Hyperlink.1"/>
          <w:rtl w:val="0"/>
          <w:lang w:val="en-US"/>
        </w:rPr>
        <w:t>45:957</w:t>
      </w:r>
      <w:r>
        <w:rPr>
          <w:rStyle w:val="Hyperlink.1"/>
          <w:rtl w:val="0"/>
          <w:lang w:val="en-US"/>
        </w:rPr>
        <w:t>–</w:t>
      </w:r>
      <w:r>
        <w:rPr>
          <w:rStyle w:val="Hyperlink.1"/>
          <w:rtl w:val="0"/>
          <w:lang w:val="en-US"/>
        </w:rPr>
        <w:t>969.</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Kummerer </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K.</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2010</w:t>
      </w:r>
      <w:r>
        <w:rPr>
          <w:rStyle w:val="Hyperlink.1"/>
          <w:rtl w:val="0"/>
          <w:lang w:val="en-US"/>
        </w:rPr>
        <w:t>. Pharmaceuticals in the Environment: Sources, Fate, Effects</w:t>
      </w:r>
      <w:r>
        <w:rPr>
          <w:rStyle w:val="Hyperlink.1"/>
          <w:rtl w:val="0"/>
          <w:lang w:val="en-US"/>
        </w:rPr>
        <w:t xml:space="preserve">  </w:t>
      </w:r>
      <w:r>
        <w:rPr>
          <w:rStyle w:val="Hyperlink.1"/>
          <w:rtl w:val="0"/>
          <w:lang w:val="en-US"/>
        </w:rPr>
        <w:t>and Risks. Environmental Science and Pollution Research, 17, 519-521 35. K</w:t>
      </w:r>
      <w:r>
        <w:rPr>
          <w:rStyle w:val="Hyperlink.1"/>
          <w:rtl w:val="0"/>
          <w:lang w:val="en-US"/>
        </w:rPr>
        <w:t>ü</w:t>
      </w:r>
      <w:r>
        <w:rPr>
          <w:rStyle w:val="Hyperlink.1"/>
          <w:rtl w:val="0"/>
          <w:lang w:val="en-US"/>
        </w:rPr>
        <w:t xml:space="preserve">mmerer, K. (2004). Resistance in the environment. </w:t>
      </w:r>
      <w:r>
        <w:rPr>
          <w:rStyle w:val="None"/>
          <w:rFonts w:ascii="Times New Roman" w:hAnsi="Times New Roman"/>
          <w:i w:val="1"/>
          <w:iCs w:val="1"/>
          <w:kern w:val="0"/>
          <w:sz w:val="24"/>
          <w:szCs w:val="24"/>
          <w:rtl w:val="0"/>
          <w:lang w:val="en-US"/>
        </w:rPr>
        <w:t>Journal of Antimicrobial</w:t>
      </w:r>
      <w:r>
        <w:rPr>
          <w:rStyle w:val="None"/>
          <w:rFonts w:ascii="Times New Roman" w:hAnsi="Times New Roman" w:hint="default"/>
          <w:i w:val="1"/>
          <w:iCs w:val="1"/>
          <w:kern w:val="0"/>
          <w:sz w:val="24"/>
          <w:szCs w:val="24"/>
          <w:rtl w:val="0"/>
          <w:lang w:val="en-US"/>
        </w:rPr>
        <w:t> </w:t>
      </w:r>
      <w:r>
        <w:rPr>
          <w:rStyle w:val="None"/>
          <w:rFonts w:ascii="Times New Roman" w:hAnsi="Times New Roman"/>
          <w:i w:val="1"/>
          <w:iCs w:val="1"/>
          <w:kern w:val="0"/>
          <w:sz w:val="24"/>
          <w:szCs w:val="24"/>
          <w:rtl w:val="0"/>
          <w:lang w:val="en-US"/>
        </w:rPr>
        <w:t>Chemotherapy</w:t>
      </w:r>
      <w:r>
        <w:rPr>
          <w:rStyle w:val="Hyperlink.1"/>
          <w:rtl w:val="0"/>
          <w:lang w:val="en-US"/>
        </w:rPr>
        <w:t>, 54(2), 311-320.</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K</w:t>
      </w:r>
      <w:r>
        <w:rPr>
          <w:rStyle w:val="None"/>
          <w:rFonts w:ascii="Times New Roman" w:hAnsi="Times New Roman" w:hint="default"/>
          <w:b w:val="1"/>
          <w:bCs w:val="1"/>
          <w:kern w:val="0"/>
          <w:sz w:val="24"/>
          <w:szCs w:val="24"/>
          <w:rtl w:val="0"/>
          <w:lang w:val="en-US"/>
        </w:rPr>
        <w:t>ü</w:t>
      </w:r>
      <w:r>
        <w:rPr>
          <w:rStyle w:val="None"/>
          <w:rFonts w:ascii="Times New Roman" w:hAnsi="Times New Roman"/>
          <w:b w:val="1"/>
          <w:bCs w:val="1"/>
          <w:kern w:val="0"/>
          <w:sz w:val="24"/>
          <w:szCs w:val="24"/>
          <w:rtl w:val="0"/>
          <w:lang w:val="en-US"/>
        </w:rPr>
        <w:t>mmerer, K.</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2009. </w:t>
      </w:r>
      <w:r>
        <w:rPr>
          <w:rStyle w:val="Hyperlink.1"/>
          <w:rtl w:val="0"/>
          <w:lang w:val="en-US"/>
        </w:rPr>
        <w:t>Antibiotics in the aquatic environment</w:t>
      </w:r>
      <w:r>
        <w:rPr>
          <w:rStyle w:val="Hyperlink.1"/>
          <w:rtl w:val="0"/>
          <w:lang w:val="en-US"/>
        </w:rPr>
        <w:t>—</w:t>
      </w:r>
      <w:r>
        <w:rPr>
          <w:rStyle w:val="Hyperlink.1"/>
          <w:rtl w:val="0"/>
          <w:lang w:val="en-US"/>
        </w:rPr>
        <w:t>a review</w:t>
      </w:r>
      <w:r>
        <w:rPr>
          <w:rStyle w:val="Hyperlink.1"/>
          <w:rtl w:val="0"/>
          <w:lang w:val="en-US"/>
        </w:rPr>
        <w:t>—</w:t>
      </w:r>
      <w:r>
        <w:rPr>
          <w:rStyle w:val="Hyperlink.1"/>
          <w:rtl w:val="0"/>
          <w:lang w:val="en-US"/>
        </w:rPr>
        <w:t>part I.</w:t>
      </w:r>
      <w:r>
        <w:rPr>
          <w:rStyle w:val="Hyperlink.1"/>
          <w:rtl w:val="0"/>
          <w:lang w:val="en-US"/>
        </w:rPr>
        <w:t xml:space="preserve">  </w:t>
      </w:r>
      <w:r>
        <w:rPr>
          <w:rStyle w:val="None"/>
          <w:rFonts w:ascii="Times New Roman" w:hAnsi="Times New Roman"/>
          <w:i w:val="1"/>
          <w:iCs w:val="1"/>
          <w:kern w:val="0"/>
          <w:sz w:val="24"/>
          <w:szCs w:val="24"/>
          <w:rtl w:val="0"/>
          <w:lang w:val="en-US"/>
        </w:rPr>
        <w:t>Chemosphere, 7</w:t>
      </w:r>
      <w:r>
        <w:rPr>
          <w:rStyle w:val="Hyperlink.1"/>
          <w:rtl w:val="0"/>
          <w:lang w:val="en-US"/>
        </w:rPr>
        <w:t>5(4), 417-434.</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Li, D., Yang, M., Hu, J., Ren, L., Zhang, Y.,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Li, K.</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2008. D</w:t>
      </w:r>
      <w:r>
        <w:rPr>
          <w:rStyle w:val="Hyperlink.1"/>
          <w:rtl w:val="0"/>
          <w:lang w:val="en-US"/>
        </w:rPr>
        <w:t>etermination and fate</w:t>
      </w:r>
      <w:r>
        <w:rPr>
          <w:rStyle w:val="Hyperlink.1"/>
          <w:rtl w:val="0"/>
          <w:lang w:val="en-US"/>
        </w:rPr>
        <w:t xml:space="preserve">  </w:t>
      </w:r>
      <w:r>
        <w:rPr>
          <w:rStyle w:val="Hyperlink.1"/>
          <w:rtl w:val="0"/>
          <w:lang w:val="en-US"/>
        </w:rPr>
        <w:t>of oxytetracycline and related compounds in oxytetracycline production wastewater</w:t>
      </w:r>
      <w:r>
        <w:rPr>
          <w:rStyle w:val="Hyperlink.1"/>
          <w:rtl w:val="0"/>
          <w:lang w:val="en-US"/>
        </w:rPr>
        <w:t xml:space="preserve">  </w:t>
      </w:r>
      <w:r>
        <w:rPr>
          <w:rStyle w:val="Hyperlink.1"/>
          <w:rtl w:val="0"/>
          <w:lang w:val="en-US"/>
        </w:rPr>
        <w:t>and the receiving river. Environmental Toxicology and Chemistry, 27(1), 80-86.</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Mart</w:t>
      </w:r>
      <w:r>
        <w:rPr>
          <w:rStyle w:val="None"/>
          <w:rFonts w:ascii="Times New Roman" w:hAnsi="Times New Roman" w:hint="default"/>
          <w:b w:val="1"/>
          <w:bCs w:val="1"/>
          <w:kern w:val="0"/>
          <w:sz w:val="24"/>
          <w:szCs w:val="24"/>
          <w:rtl w:val="0"/>
          <w:lang w:val="en-US"/>
        </w:rPr>
        <w:t>í</w:t>
      </w:r>
      <w:r>
        <w:rPr>
          <w:rStyle w:val="None"/>
          <w:rFonts w:ascii="Times New Roman" w:hAnsi="Times New Roman"/>
          <w:b w:val="1"/>
          <w:bCs w:val="1"/>
          <w:kern w:val="0"/>
          <w:sz w:val="24"/>
          <w:szCs w:val="24"/>
          <w:rtl w:val="0"/>
          <w:lang w:val="en-US"/>
        </w:rPr>
        <w:t>nez, J. L.</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2008.</w:t>
      </w:r>
      <w:r>
        <w:rPr>
          <w:rStyle w:val="Hyperlink.1"/>
          <w:rtl w:val="0"/>
          <w:lang w:val="en-US"/>
        </w:rPr>
        <w:t xml:space="preserve"> Antibiotics and antibiotic resistance genes in natural</w:t>
      </w:r>
      <w:r>
        <w:rPr>
          <w:rStyle w:val="Hyperlink.1"/>
          <w:rtl w:val="0"/>
          <w:lang w:val="en-US"/>
        </w:rPr>
        <w:t xml:space="preserve">  </w:t>
      </w:r>
      <w:r>
        <w:rPr>
          <w:rStyle w:val="Hyperlink.1"/>
          <w:rtl w:val="0"/>
          <w:lang w:val="en-US"/>
        </w:rPr>
        <w:t>environments. Science, 321(5887), 365-367.</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Morrisson A</w:t>
      </w:r>
      <w:r>
        <w:rPr>
          <w:rStyle w:val="None"/>
          <w:rFonts w:ascii="Times New Roman" w:hAnsi="Times New Roman"/>
          <w:b w:val="1"/>
          <w:bCs w:val="1"/>
          <w:kern w:val="0"/>
          <w:sz w:val="24"/>
          <w:szCs w:val="24"/>
          <w:rtl w:val="0"/>
          <w:lang w:val="en-US"/>
        </w:rPr>
        <w:t>, .</w:t>
      </w:r>
      <w:r>
        <w:rPr>
          <w:rStyle w:val="None"/>
          <w:rFonts w:ascii="Times New Roman" w:hAnsi="Times New Roman"/>
          <w:b w:val="1"/>
          <w:bCs w:val="1"/>
          <w:kern w:val="0"/>
          <w:sz w:val="24"/>
          <w:szCs w:val="24"/>
          <w:rtl w:val="0"/>
          <w:lang w:val="en-US"/>
        </w:rPr>
        <w:t>J</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Wenzel RP</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1984.</w:t>
      </w:r>
      <w:r>
        <w:rPr>
          <w:rStyle w:val="Hyperlink.1"/>
          <w:rtl w:val="0"/>
          <w:lang w:val="en-US"/>
        </w:rPr>
        <w:t xml:space="preserve"> Epidemiology of infections due to</w:t>
      </w:r>
      <w:r>
        <w:rPr>
          <w:rStyle w:val="Hyperlink.1"/>
          <w:rtl w:val="0"/>
          <w:lang w:val="en-US"/>
        </w:rPr>
        <w:t xml:space="preserve">  </w:t>
      </w:r>
      <w:r>
        <w:rPr>
          <w:rStyle w:val="Hyperlink.1"/>
          <w:rtl w:val="0"/>
          <w:lang w:val="en-US"/>
        </w:rPr>
        <w:t>Pseudomonas aeruginosa. Rev Infect Dis. 6 (Suppl 3):S627-42.</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Piddock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L</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J.</w:t>
      </w:r>
      <w:r>
        <w:rPr>
          <w:rStyle w:val="None"/>
          <w:rFonts w:ascii="Times New Roman" w:hAnsi="Times New Roman"/>
          <w:b w:val="1"/>
          <w:bCs w:val="1"/>
          <w:kern w:val="0"/>
          <w:sz w:val="24"/>
          <w:szCs w:val="24"/>
          <w:rtl w:val="0"/>
          <w:lang w:val="en-US"/>
        </w:rPr>
        <w:t>, 2012</w:t>
      </w:r>
      <w:r>
        <w:rPr>
          <w:rStyle w:val="None"/>
          <w:rFonts w:ascii="Times New Roman" w:hAnsi="Times New Roman"/>
          <w:b w:val="1"/>
          <w:bCs w:val="1"/>
          <w:kern w:val="0"/>
          <w:sz w:val="24"/>
          <w:szCs w:val="24"/>
          <w:rtl w:val="0"/>
          <w:lang w:val="en-US"/>
        </w:rPr>
        <w:t xml:space="preserve"> </w:t>
      </w:r>
      <w:r>
        <w:rPr>
          <w:rStyle w:val="Hyperlink.1"/>
          <w:rtl w:val="0"/>
          <w:lang w:val="en-US"/>
        </w:rPr>
        <w:t>The crisis of no new antibiotics</w:t>
      </w:r>
      <w:r>
        <w:rPr>
          <w:rStyle w:val="Hyperlink.1"/>
          <w:rtl w:val="0"/>
          <w:lang w:val="en-US"/>
        </w:rPr>
        <w:t>—</w:t>
      </w:r>
      <w:r>
        <w:rPr>
          <w:rStyle w:val="Hyperlink.1"/>
          <w:rtl w:val="0"/>
          <w:lang w:val="en-US"/>
        </w:rPr>
        <w:t>what is the way forward? Lancet</w:t>
      </w:r>
      <w:r>
        <w:rPr>
          <w:rStyle w:val="Hyperlink.1"/>
          <w:rtl w:val="0"/>
          <w:lang w:val="en-US"/>
        </w:rPr>
        <w:t xml:space="preserve">  </w:t>
      </w:r>
      <w:r>
        <w:rPr>
          <w:rStyle w:val="Hyperlink.1"/>
          <w:rtl w:val="0"/>
          <w:lang w:val="en-US"/>
        </w:rPr>
        <w:t>Infect Dis</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Reynes, J. P., Calmels, T., Drocourt, D., Tibaby, G.</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1988.</w:t>
      </w:r>
      <w:r>
        <w:rPr>
          <w:rStyle w:val="Hyperlink.1"/>
          <w:rtl w:val="0"/>
          <w:lang w:val="en-US"/>
        </w:rPr>
        <w:t xml:space="preserve"> Cloning, expression in</w:t>
      </w:r>
      <w:r>
        <w:rPr>
          <w:rStyle w:val="Hyperlink.1"/>
          <w:rtl w:val="0"/>
          <w:lang w:val="en-US"/>
        </w:rPr>
        <w:t xml:space="preserve">  </w:t>
      </w:r>
      <w:r>
        <w:rPr>
          <w:rStyle w:val="Hyperlink.1"/>
          <w:rtl w:val="0"/>
          <w:lang w:val="en-US"/>
        </w:rPr>
        <w:t>Escherichia coli and nucleotide sequence of a tetracyclineresistance gene from</w:t>
      </w:r>
      <w:r>
        <w:rPr>
          <w:rStyle w:val="Hyperlink.1"/>
          <w:rtl w:val="0"/>
          <w:lang w:val="en-US"/>
        </w:rPr>
        <w:t xml:space="preserve">  </w:t>
      </w:r>
      <w:r>
        <w:rPr>
          <w:rStyle w:val="Hyperlink.1"/>
          <w:rtl w:val="0"/>
          <w:lang w:val="en-US"/>
        </w:rPr>
        <w:t xml:space="preserve">Streptomyces rimosus. </w:t>
      </w:r>
      <w:r>
        <w:rPr>
          <w:rStyle w:val="None"/>
          <w:rFonts w:ascii="Times New Roman" w:hAnsi="Times New Roman"/>
          <w:i w:val="1"/>
          <w:iCs w:val="1"/>
          <w:kern w:val="0"/>
          <w:sz w:val="24"/>
          <w:szCs w:val="24"/>
          <w:rtl w:val="0"/>
          <w:lang w:val="en-US"/>
        </w:rPr>
        <w:t>Journal of general microbiology</w:t>
      </w:r>
      <w:r>
        <w:rPr>
          <w:rStyle w:val="Hyperlink.1"/>
          <w:rtl w:val="0"/>
          <w:lang w:val="en-US"/>
        </w:rPr>
        <w:t>, 134(3), 585-598.</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Riesenfeld, C. S., Goodman, R. M.,</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Handelsman, J.</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2004. </w:t>
      </w:r>
      <w:r>
        <w:rPr>
          <w:rStyle w:val="Hyperlink.1"/>
          <w:rtl w:val="0"/>
          <w:lang w:val="en-US"/>
        </w:rPr>
        <w:t>Uncultured soil bacteria</w:t>
      </w:r>
      <w:r>
        <w:rPr>
          <w:rStyle w:val="Hyperlink.1"/>
          <w:rtl w:val="0"/>
          <w:lang w:val="en-US"/>
        </w:rPr>
        <w:t xml:space="preserve">  </w:t>
      </w:r>
      <w:r>
        <w:rPr>
          <w:rStyle w:val="Hyperlink.1"/>
          <w:rtl w:val="0"/>
          <w:lang w:val="en-US"/>
        </w:rPr>
        <w:t xml:space="preserve">are a reservoir of new antibiotic resistance genes. </w:t>
      </w:r>
      <w:r>
        <w:rPr>
          <w:rStyle w:val="None"/>
          <w:rFonts w:ascii="Times New Roman" w:hAnsi="Times New Roman"/>
          <w:i w:val="1"/>
          <w:iCs w:val="1"/>
          <w:kern w:val="0"/>
          <w:sz w:val="24"/>
          <w:szCs w:val="24"/>
          <w:rtl w:val="0"/>
          <w:lang w:val="en-US"/>
        </w:rPr>
        <w:t>Environmental microbiology</w:t>
      </w:r>
      <w:r>
        <w:rPr>
          <w:rStyle w:val="Hyperlink.1"/>
          <w:rtl w:val="0"/>
          <w:lang w:val="en-US"/>
        </w:rPr>
        <w:t>,</w:t>
      </w:r>
      <w:r>
        <w:rPr>
          <w:rStyle w:val="Hyperlink.1"/>
          <w:rtl w:val="0"/>
          <w:lang w:val="en-US"/>
        </w:rPr>
        <w:t xml:space="preserve">  </w:t>
      </w:r>
      <w:r>
        <w:rPr>
          <w:rStyle w:val="Hyperlink.1"/>
          <w:rtl w:val="0"/>
          <w:lang w:val="en-US"/>
        </w:rPr>
        <w:t>6(9), 981-989.</w:t>
      </w:r>
      <w:r>
        <w:rPr>
          <w:rStyle w:val="Hyperlink.1"/>
          <w:rtl w:val="0"/>
          <w:lang w:val="en-US"/>
        </w:rPr>
        <w:t> </w:t>
      </w: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u w:color="000000"/>
          <w14:textFill>
            <w14:solidFill>
              <w14:srgbClr w14:val="000000"/>
            </w14:solidFill>
          </w14:textFill>
        </w:rPr>
      </w:pPr>
      <w:r>
        <w:rPr>
          <w:rStyle w:val="None"/>
          <w:rFonts w:ascii="Times New Roman" w:hAnsi="Times New Roman"/>
          <w:b w:val="1"/>
          <w:bCs w:val="1"/>
          <w:kern w:val="0"/>
          <w:sz w:val="24"/>
          <w:szCs w:val="24"/>
          <w:rtl w:val="0"/>
          <w:lang w:val="en-US"/>
        </w:rPr>
        <w:t xml:space="preserve">Rossolini GM, Arena F,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Pecile P, Pollini S.</w:t>
      </w:r>
      <w:r>
        <w:rPr>
          <w:rStyle w:val="None"/>
          <w:rFonts w:ascii="Times New Roman" w:hAnsi="Times New Roman"/>
          <w:b w:val="1"/>
          <w:bCs w:val="1"/>
          <w:kern w:val="0"/>
          <w:sz w:val="24"/>
          <w:szCs w:val="24"/>
          <w:rtl w:val="0"/>
          <w:lang w:val="en-US"/>
        </w:rPr>
        <w:t xml:space="preserve">, 2014 </w:t>
      </w:r>
      <w:r>
        <w:rPr>
          <w:rStyle w:val="None"/>
          <w:rFonts w:ascii="Times New Roman" w:hAnsi="Times New Roman"/>
          <w:b w:val="1"/>
          <w:bCs w:val="1"/>
          <w:kern w:val="0"/>
          <w:sz w:val="24"/>
          <w:szCs w:val="24"/>
          <w:rtl w:val="0"/>
          <w:lang w:val="en-US"/>
        </w:rPr>
        <w:t xml:space="preserve"> </w:t>
      </w:r>
      <w:r>
        <w:rPr>
          <w:rStyle w:val="Hyperlink.1"/>
          <w:rtl w:val="0"/>
          <w:lang w:val="en-US"/>
        </w:rPr>
        <w:t>Update on the antibiotic resistance</w:t>
      </w:r>
      <w:r>
        <w:rPr>
          <w:rStyle w:val="Hyperlink.1"/>
          <w:rtl w:val="0"/>
          <w:lang w:val="en-US"/>
        </w:rPr>
        <w:t xml:space="preserve">  </w:t>
      </w:r>
      <w:r>
        <w:rPr>
          <w:rStyle w:val="Hyperlink.1"/>
          <w:rtl w:val="0"/>
          <w:lang w:val="en-US"/>
        </w:rPr>
        <w:t xml:space="preserve">crisis. </w:t>
      </w:r>
      <w:r>
        <w:rPr>
          <w:rStyle w:val="None"/>
          <w:rFonts w:ascii="Times New Roman" w:hAnsi="Times New Roman"/>
          <w:i w:val="1"/>
          <w:iCs w:val="1"/>
          <w:kern w:val="0"/>
          <w:sz w:val="24"/>
          <w:szCs w:val="24"/>
          <w:rtl w:val="0"/>
          <w:lang w:val="en-US"/>
        </w:rPr>
        <w:t>Clin Opin Pharmacol.</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Schatz, A.,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Waksman, S. A.</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1945</w:t>
      </w:r>
      <w:r>
        <w:rPr>
          <w:rStyle w:val="Hyperlink.1"/>
          <w:rtl w:val="0"/>
          <w:lang w:val="en-US"/>
        </w:rPr>
        <w:t>. Strain Specificity and Production of Antibiotic</w:t>
      </w:r>
      <w:r>
        <w:rPr>
          <w:rStyle w:val="Hyperlink.1"/>
          <w:rtl w:val="0"/>
          <w:lang w:val="en-US"/>
        </w:rPr>
        <w:t xml:space="preserve">  </w:t>
      </w:r>
      <w:r>
        <w:rPr>
          <w:rStyle w:val="Hyperlink.1"/>
          <w:rtl w:val="0"/>
          <w:lang w:val="en-US"/>
        </w:rPr>
        <w:t>Substances: IV. Variations Among Actinomycetes, with Special Reference to</w:t>
      </w:r>
      <w:r>
        <w:rPr>
          <w:rStyle w:val="Hyperlink.1"/>
          <w:rtl w:val="0"/>
          <w:lang w:val="en-US"/>
        </w:rPr>
        <w:t xml:space="preserve">  </w:t>
      </w:r>
      <w:r>
        <w:rPr>
          <w:rStyle w:val="Hyperlink.1"/>
          <w:rtl w:val="0"/>
          <w:lang w:val="en-US"/>
        </w:rPr>
        <w:t xml:space="preserve">Actinomyces griseus. </w:t>
      </w:r>
      <w:r>
        <w:rPr>
          <w:rStyle w:val="None"/>
          <w:rFonts w:ascii="Times New Roman" w:hAnsi="Times New Roman"/>
          <w:i w:val="1"/>
          <w:iCs w:val="1"/>
          <w:kern w:val="0"/>
          <w:sz w:val="24"/>
          <w:szCs w:val="24"/>
          <w:rtl w:val="0"/>
          <w:lang w:val="en-US"/>
        </w:rPr>
        <w:t>Proceedings of the National Academy of Sciences of the</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 xml:space="preserve">United States of America, </w:t>
      </w:r>
      <w:r>
        <w:rPr>
          <w:rStyle w:val="Hyperlink.1"/>
          <w:rtl w:val="0"/>
          <w:lang w:val="en-US"/>
        </w:rPr>
        <w:t>31(5), 129.</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Schmitz, F.J.,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Fluit. A.C.</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1999.</w:t>
      </w:r>
      <w:r>
        <w:rPr>
          <w:rStyle w:val="Hyperlink.1"/>
          <w:rtl w:val="0"/>
          <w:lang w:val="en-US"/>
        </w:rPr>
        <w:t xml:space="preserve"> Mechanisms of resistance. In Infectious Diseases.</w:t>
      </w:r>
      <w:r>
        <w:rPr>
          <w:rStyle w:val="Hyperlink.1"/>
          <w:rtl w:val="0"/>
          <w:lang w:val="en-US"/>
        </w:rPr>
        <w:t xml:space="preserve">  </w:t>
      </w:r>
      <w:r>
        <w:rPr>
          <w:rStyle w:val="Hyperlink.1"/>
          <w:rtl w:val="0"/>
          <w:lang w:val="en-US"/>
        </w:rPr>
        <w:t>ed Armstrong, D., Cohen, S. pp. 7.2.1</w:t>
      </w:r>
      <w:r>
        <w:rPr>
          <w:rStyle w:val="Hyperlink.1"/>
          <w:rtl w:val="0"/>
          <w:lang w:val="en-US"/>
        </w:rPr>
        <w:t>–</w:t>
      </w:r>
      <w:r>
        <w:rPr>
          <w:rStyle w:val="Hyperlink.1"/>
          <w:rtl w:val="0"/>
          <w:lang w:val="en-US"/>
        </w:rPr>
        <w:t>7.2.14, London: Mosby, Ltd.. 46. Segura, P. A., Fran</w:t>
      </w:r>
      <w:r>
        <w:rPr>
          <w:rStyle w:val="Hyperlink.1"/>
          <w:rtl w:val="0"/>
          <w:lang w:val="en-US"/>
        </w:rPr>
        <w:t>ç</w:t>
      </w:r>
      <w:r>
        <w:rPr>
          <w:rStyle w:val="Hyperlink.1"/>
          <w:rtl w:val="0"/>
          <w:lang w:val="en-US"/>
        </w:rPr>
        <w:t>ois, M., Gagnon, C., Sauv</w:t>
      </w:r>
      <w:r>
        <w:rPr>
          <w:rStyle w:val="Hyperlink.1"/>
          <w:rtl w:val="0"/>
          <w:lang w:val="en-US"/>
        </w:rPr>
        <w:t>é</w:t>
      </w:r>
      <w:r>
        <w:rPr>
          <w:rStyle w:val="Hyperlink.1"/>
          <w:rtl w:val="0"/>
          <w:lang w:val="en-US"/>
        </w:rPr>
        <w:t xml:space="preserve">, S. (2009). </w:t>
      </w:r>
      <w:r>
        <w:rPr>
          <w:rStyle w:val="None"/>
          <w:rFonts w:ascii="Times New Roman" w:hAnsi="Times New Roman"/>
          <w:i w:val="1"/>
          <w:iCs w:val="1"/>
          <w:kern w:val="0"/>
          <w:sz w:val="24"/>
          <w:szCs w:val="24"/>
          <w:rtl w:val="0"/>
          <w:lang w:val="en-US"/>
        </w:rPr>
        <w:t>Review of the occurrence</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of anti-infectives in contaminated wastewaters and natural and drinking waters.</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Environmental health perspectives,</w:t>
      </w:r>
      <w:r>
        <w:rPr>
          <w:rStyle w:val="Hyperlink.1"/>
          <w:rtl w:val="0"/>
          <w:lang w:val="en-US"/>
        </w:rPr>
        <w:t xml:space="preserve"> 117(5), 675.</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Sengupta</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S</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Chattopadhyay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M</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K</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Grossart H</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P</w:t>
      </w:r>
      <w:r>
        <w:rPr>
          <w:rStyle w:val="None"/>
          <w:rFonts w:ascii="Times New Roman" w:hAnsi="Times New Roman"/>
          <w:b w:val="1"/>
          <w:bCs w:val="1"/>
          <w:kern w:val="0"/>
          <w:sz w:val="24"/>
          <w:szCs w:val="24"/>
          <w:rtl w:val="0"/>
          <w:lang w:val="en-US"/>
        </w:rPr>
        <w:t xml:space="preserve">., 2013 </w:t>
      </w:r>
      <w:r>
        <w:rPr>
          <w:rStyle w:val="Hyperlink.1"/>
          <w:rtl w:val="0"/>
          <w:lang w:val="en-US"/>
        </w:rPr>
        <w:t xml:space="preserve"> The multifaceted roles of antibiotics</w:t>
      </w:r>
      <w:r>
        <w:rPr>
          <w:rStyle w:val="Hyperlink.1"/>
          <w:rtl w:val="0"/>
          <w:lang w:val="en-US"/>
        </w:rPr>
        <w:t xml:space="preserve">  </w:t>
      </w:r>
      <w:r>
        <w:rPr>
          <w:rStyle w:val="Hyperlink.1"/>
          <w:rtl w:val="0"/>
          <w:lang w:val="en-US"/>
        </w:rPr>
        <w:t xml:space="preserve">and antibiotic resistance in nature. </w:t>
      </w:r>
      <w:r>
        <w:rPr>
          <w:rStyle w:val="None"/>
          <w:rFonts w:ascii="Times New Roman" w:hAnsi="Times New Roman"/>
          <w:i w:val="1"/>
          <w:iCs w:val="1"/>
          <w:kern w:val="0"/>
          <w:sz w:val="24"/>
          <w:szCs w:val="24"/>
          <w:rtl w:val="0"/>
          <w:lang w:val="en-US"/>
        </w:rPr>
        <w:t>Front Microbiol.</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Sim, W. J., Lee, J. W., Lee, E. S., Shin, S. K., Hwang, S. R., </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Oh, J. E.</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2011.</w:t>
      </w:r>
      <w:r>
        <w:rPr>
          <w:rStyle w:val="Hyperlink.1"/>
          <w:rtl w:val="0"/>
          <w:lang w:val="en-US"/>
        </w:rPr>
        <w:t xml:space="preserve">  </w:t>
      </w:r>
      <w:r>
        <w:rPr>
          <w:rStyle w:val="Hyperlink.1"/>
          <w:rtl w:val="0"/>
          <w:lang w:val="en-US"/>
        </w:rPr>
        <w:t>Occurrence and distribution of pharmaceuticals in wastewater from households,</w:t>
      </w:r>
      <w:r>
        <w:rPr>
          <w:rStyle w:val="Hyperlink.1"/>
          <w:rtl w:val="0"/>
          <w:lang w:val="en-US"/>
        </w:rPr>
        <w:t xml:space="preserve">  </w:t>
      </w:r>
      <w:r>
        <w:rPr>
          <w:rStyle w:val="Hyperlink.1"/>
          <w:rtl w:val="0"/>
          <w:lang w:val="en-US"/>
        </w:rPr>
        <w:t xml:space="preserve">livestock farms, hospitals and pharmaceutical manufactures. </w:t>
      </w:r>
      <w:r>
        <w:rPr>
          <w:rStyle w:val="None"/>
          <w:rFonts w:ascii="Times New Roman" w:hAnsi="Times New Roman"/>
          <w:i w:val="1"/>
          <w:iCs w:val="1"/>
          <w:kern w:val="0"/>
          <w:sz w:val="24"/>
          <w:szCs w:val="24"/>
          <w:rtl w:val="0"/>
          <w:lang w:val="en-US"/>
        </w:rPr>
        <w:t xml:space="preserve">Chemosphere, </w:t>
      </w:r>
      <w:r>
        <w:rPr>
          <w:rStyle w:val="Hyperlink.1"/>
          <w:rtl w:val="0"/>
          <w:lang w:val="en-US"/>
        </w:rPr>
        <w:t>82(2),</w:t>
      </w:r>
      <w:r>
        <w:rPr>
          <w:rStyle w:val="Hyperlink.1"/>
          <w:rtl w:val="0"/>
          <w:lang w:val="en-US"/>
        </w:rPr>
        <w:t> </w:t>
      </w:r>
      <w:r>
        <w:rPr>
          <w:rStyle w:val="Hyperlink.1"/>
          <w:rtl w:val="0"/>
          <w:lang w:val="en-US"/>
        </w:rPr>
        <w:t>179-186.</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Spellberg B, Gilbert</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D</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N</w:t>
      </w:r>
      <w:r>
        <w:rPr>
          <w:rStyle w:val="Hyperlink.1"/>
          <w:rtl w:val="0"/>
          <w:lang w:val="en-US"/>
        </w:rPr>
        <w:t>.</w:t>
      </w:r>
      <w:r>
        <w:rPr>
          <w:rStyle w:val="Hyperlink.1"/>
          <w:rtl w:val="0"/>
          <w:lang w:val="en-US"/>
        </w:rPr>
        <w:t xml:space="preserve">, </w:t>
      </w:r>
      <w:r>
        <w:rPr>
          <w:rStyle w:val="None"/>
          <w:rFonts w:ascii="Times New Roman" w:hAnsi="Times New Roman"/>
          <w:b w:val="1"/>
          <w:bCs w:val="1"/>
          <w:kern w:val="0"/>
          <w:sz w:val="24"/>
          <w:szCs w:val="24"/>
          <w:rtl w:val="0"/>
          <w:lang w:val="en-US"/>
        </w:rPr>
        <w:t>2014</w:t>
      </w:r>
      <w:r>
        <w:rPr>
          <w:rStyle w:val="Hyperlink.1"/>
          <w:rtl w:val="0"/>
          <w:lang w:val="en-US"/>
        </w:rPr>
        <w:t xml:space="preserve"> </w:t>
      </w:r>
      <w:r>
        <w:rPr>
          <w:rStyle w:val="Hyperlink.1"/>
          <w:rtl w:val="0"/>
          <w:lang w:val="en-US"/>
        </w:rPr>
        <w:t xml:space="preserve"> The future of antibiotics and resistance: a tribute to a</w:t>
      </w:r>
      <w:r>
        <w:rPr>
          <w:rStyle w:val="Hyperlink.1"/>
          <w:rtl w:val="0"/>
          <w:lang w:val="en-US"/>
        </w:rPr>
        <w:t xml:space="preserve">  </w:t>
      </w:r>
      <w:r>
        <w:rPr>
          <w:rStyle w:val="Hyperlink.1"/>
          <w:rtl w:val="0"/>
          <w:lang w:val="en-US"/>
        </w:rPr>
        <w:t>career of leadership by John Bartlett.</w:t>
      </w:r>
      <w:r>
        <w:rPr>
          <w:rStyle w:val="None"/>
          <w:rFonts w:ascii="Times New Roman" w:hAnsi="Times New Roman"/>
          <w:i w:val="1"/>
          <w:iCs w:val="1"/>
          <w:kern w:val="0"/>
          <w:sz w:val="24"/>
          <w:szCs w:val="24"/>
          <w:rtl w:val="0"/>
          <w:lang w:val="en-US"/>
        </w:rPr>
        <w:t xml:space="preserve"> Clin Infect Dis.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Trieu-Cuot, P., De Cespedes, G., Bentorcha, F., Delbos, F., Gaspar, E.,</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Horaud, T.</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 xml:space="preserve">1993. </w:t>
      </w:r>
      <w:r>
        <w:rPr>
          <w:rStyle w:val="Hyperlink.1"/>
          <w:rtl w:val="0"/>
          <w:lang w:val="en-US"/>
        </w:rPr>
        <w:t>Study of heterogeneity of chloramphenicol acetyltransferase (CAT) genes in</w:t>
      </w:r>
      <w:r>
        <w:rPr>
          <w:rStyle w:val="Hyperlink.1"/>
          <w:rtl w:val="0"/>
          <w:lang w:val="en-US"/>
        </w:rPr>
        <w:t xml:space="preserve">  </w:t>
      </w:r>
      <w:r>
        <w:rPr>
          <w:rStyle w:val="Hyperlink.1"/>
          <w:rtl w:val="0"/>
          <w:lang w:val="en-US"/>
        </w:rPr>
        <w:t>streptococci and enterococcus by polymerase chain reaction: characterization of a</w:t>
      </w:r>
      <w:r>
        <w:rPr>
          <w:rStyle w:val="Hyperlink.1"/>
          <w:rtl w:val="0"/>
          <w:lang w:val="en-US"/>
        </w:rPr>
        <w:t xml:space="preserve">  </w:t>
      </w:r>
      <w:r>
        <w:rPr>
          <w:rStyle w:val="Hyperlink.1"/>
          <w:rtl w:val="0"/>
          <w:lang w:val="en-US"/>
        </w:rPr>
        <w:t>new CAT determinant.</w:t>
      </w:r>
      <w:r>
        <w:rPr>
          <w:rStyle w:val="None"/>
          <w:rFonts w:ascii="Times New Roman" w:hAnsi="Times New Roman"/>
          <w:i w:val="1"/>
          <w:iCs w:val="1"/>
          <w:kern w:val="0"/>
          <w:sz w:val="24"/>
          <w:szCs w:val="24"/>
          <w:rtl w:val="0"/>
          <w:lang w:val="en-US"/>
        </w:rPr>
        <w:t>Antimicrobial agents and chemotherapy</w:t>
      </w:r>
      <w:r>
        <w:rPr>
          <w:rStyle w:val="Hyperlink.1"/>
          <w:rtl w:val="0"/>
          <w:lang w:val="en-US"/>
        </w:rPr>
        <w:t>,37(12),2593-2598</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Verlicchi P, Galletti A, Petrovic M. and Barcelo </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D </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2010</w:t>
      </w:r>
      <w:r>
        <w:rPr>
          <w:rStyle w:val="Hyperlink.1"/>
          <w:rtl w:val="0"/>
          <w:lang w:val="en-US"/>
        </w:rPr>
        <w:t>. Hospital Effluents as a</w:t>
      </w:r>
      <w:r>
        <w:rPr>
          <w:rStyle w:val="Hyperlink.1"/>
          <w:rtl w:val="0"/>
          <w:lang w:val="en-US"/>
        </w:rPr>
        <w:t xml:space="preserve">  </w:t>
      </w:r>
      <w:r>
        <w:rPr>
          <w:rStyle w:val="Hyperlink.1"/>
          <w:rtl w:val="0"/>
          <w:lang w:val="en-US"/>
        </w:rPr>
        <w:t>Source of Emerging Pollutants: An Overview of Micropollutants and Sustainable</w:t>
      </w:r>
      <w:r>
        <w:rPr>
          <w:rStyle w:val="Hyperlink.1"/>
          <w:rtl w:val="0"/>
          <w:lang w:val="en-US"/>
        </w:rPr>
        <w:t xml:space="preserve">  </w:t>
      </w:r>
      <w:r>
        <w:rPr>
          <w:rStyle w:val="Hyperlink.1"/>
          <w:rtl w:val="0"/>
          <w:lang w:val="en-US"/>
        </w:rPr>
        <w:t xml:space="preserve">Treatment Options. </w:t>
      </w:r>
      <w:r>
        <w:rPr>
          <w:rStyle w:val="None"/>
          <w:rFonts w:ascii="Times New Roman" w:hAnsi="Times New Roman"/>
          <w:i w:val="1"/>
          <w:iCs w:val="1"/>
          <w:kern w:val="0"/>
          <w:sz w:val="24"/>
          <w:szCs w:val="24"/>
          <w:rtl w:val="0"/>
          <w:lang w:val="en-US"/>
        </w:rPr>
        <w:t xml:space="preserve">Journal of Hydrology, </w:t>
      </w:r>
      <w:r>
        <w:rPr>
          <w:rStyle w:val="Hyperlink.1"/>
          <w:rtl w:val="0"/>
          <w:lang w:val="en-US"/>
        </w:rPr>
        <w:t>389, 416-428.</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Waksman, S. A.</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1947</w:t>
      </w:r>
      <w:r>
        <w:rPr>
          <w:rStyle w:val="Hyperlink.1"/>
          <w:rtl w:val="0"/>
          <w:lang w:val="en-US"/>
        </w:rPr>
        <w:t xml:space="preserve">. What is an antibiotic or an antibiotic substance? </w:t>
      </w:r>
      <w:r>
        <w:rPr>
          <w:rStyle w:val="None"/>
          <w:rFonts w:ascii="Times New Roman" w:hAnsi="Times New Roman"/>
          <w:i w:val="1"/>
          <w:iCs w:val="1"/>
          <w:kern w:val="0"/>
          <w:sz w:val="24"/>
          <w:szCs w:val="24"/>
          <w:rtl w:val="0"/>
          <w:lang w:val="en-US"/>
        </w:rPr>
        <w:t>Mycologia,</w:t>
      </w:r>
      <w:r>
        <w:rPr>
          <w:rStyle w:val="None"/>
          <w:rFonts w:ascii="Times New Roman" w:hAnsi="Times New Roman" w:hint="default"/>
          <w:i w:val="1"/>
          <w:iCs w:val="1"/>
          <w:kern w:val="0"/>
          <w:sz w:val="24"/>
          <w:szCs w:val="24"/>
          <w:rtl w:val="0"/>
          <w:lang w:val="en-US"/>
        </w:rPr>
        <w:t> </w:t>
      </w:r>
      <w:r>
        <w:rPr>
          <w:rStyle w:val="Hyperlink.1"/>
          <w:rtl w:val="0"/>
          <w:lang w:val="en-US"/>
        </w:rPr>
        <w:t xml:space="preserve"> 39(5), 565-569.</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Wellington, E. M., Boxall, A., Cross, P., Feil, E. J., Gaze, W. H.,</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Hawkey, P. M., et</w:t>
      </w:r>
      <w:r>
        <w:rPr>
          <w:rStyle w:val="None"/>
          <w:rFonts w:ascii="Times New Roman" w:hAnsi="Times New Roman" w:hint="default"/>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al.</w:t>
      </w:r>
      <w:r>
        <w:rPr>
          <w:rStyle w:val="None"/>
          <w:rFonts w:ascii="Times New Roman" w:hAnsi="Times New Roman"/>
          <w:b w:val="1"/>
          <w:bCs w:val="1"/>
          <w:kern w:val="0"/>
          <w:sz w:val="24"/>
          <w:szCs w:val="24"/>
          <w:rtl w:val="0"/>
          <w:lang w:val="en-US"/>
        </w:rPr>
        <w:t>,</w:t>
      </w:r>
      <w:r>
        <w:rPr>
          <w:rStyle w:val="Hyperlink.1"/>
          <w:rtl w:val="0"/>
          <w:lang w:val="en-US"/>
        </w:rPr>
        <w:t xml:space="preserve"> </w:t>
      </w:r>
      <w:r>
        <w:rPr>
          <w:rStyle w:val="None"/>
          <w:rFonts w:ascii="Times New Roman" w:hAnsi="Times New Roman"/>
          <w:b w:val="1"/>
          <w:bCs w:val="1"/>
          <w:kern w:val="0"/>
          <w:sz w:val="24"/>
          <w:szCs w:val="24"/>
          <w:rtl w:val="0"/>
          <w:lang w:val="en-US"/>
        </w:rPr>
        <w:t xml:space="preserve">2013. </w:t>
      </w:r>
      <w:r>
        <w:rPr>
          <w:rStyle w:val="Hyperlink.1"/>
          <w:rtl w:val="0"/>
          <w:lang w:val="en-US"/>
        </w:rPr>
        <w:t>The role of the natural environment in the emergence of antibiotic</w:t>
      </w:r>
      <w:r>
        <w:rPr>
          <w:rStyle w:val="Hyperlink.1"/>
          <w:rtl w:val="0"/>
          <w:lang w:val="en-US"/>
        </w:rPr>
        <w:t xml:space="preserve">  </w:t>
      </w:r>
      <w:r>
        <w:rPr>
          <w:rStyle w:val="Hyperlink.1"/>
          <w:rtl w:val="0"/>
          <w:lang w:val="en-US"/>
        </w:rPr>
        <w:t xml:space="preserve">resistance in Gram-negative bacteria. </w:t>
      </w:r>
      <w:r>
        <w:rPr>
          <w:rStyle w:val="None"/>
          <w:rFonts w:ascii="Times New Roman" w:hAnsi="Times New Roman"/>
          <w:i w:val="1"/>
          <w:iCs w:val="1"/>
          <w:kern w:val="0"/>
          <w:sz w:val="24"/>
          <w:szCs w:val="24"/>
          <w:rtl w:val="0"/>
          <w:lang w:val="en-US"/>
        </w:rPr>
        <w:t>The Lancet infectious diseases</w:t>
      </w:r>
      <w:r>
        <w:rPr>
          <w:rStyle w:val="Hyperlink.1"/>
          <w:rtl w:val="0"/>
          <w:lang w:val="en-US"/>
        </w:rPr>
        <w:t>, 13(2), 155- 165.</w:t>
      </w: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 (Web)"/>
        <w:spacing w:after="0" w:line="360" w:lineRule="auto"/>
        <w:jc w:val="center"/>
        <w:rPr>
          <w:rStyle w:val="None"/>
          <w:outline w:val="0"/>
          <w:color w:val="000000"/>
          <w:kern w:val="0"/>
          <w:u w:color="000000"/>
          <w14:textFill>
            <w14:solidFill>
              <w14:srgbClr w14:val="000000"/>
            </w14:solidFill>
          </w14:textFill>
        </w:rPr>
      </w:pPr>
    </w:p>
    <w:p>
      <w:pPr>
        <w:pStyle w:val="Normal (Web)"/>
        <w:spacing w:after="0" w:line="360" w:lineRule="auto"/>
        <w:jc w:val="center"/>
        <w:rPr>
          <w:rStyle w:val="None"/>
          <w:outline w:val="0"/>
          <w:color w:val="000000"/>
          <w:kern w:val="0"/>
          <w:u w:color="000000"/>
          <w14:textFill>
            <w14:solidFill>
              <w14:srgbClr w14:val="000000"/>
            </w14:solidFill>
          </w14:textFill>
        </w:rPr>
      </w:pPr>
    </w:p>
    <w:p>
      <w:pPr>
        <w:pStyle w:val="Normal (Web)"/>
        <w:spacing w:after="0" w:line="360" w:lineRule="auto"/>
        <w:jc w:val="center"/>
        <w:rPr>
          <w:rStyle w:val="None"/>
          <w:outline w:val="0"/>
          <w:color w:val="000000"/>
          <w:kern w:val="0"/>
          <w:u w:color="000000"/>
          <w14:textFill>
            <w14:solidFill>
              <w14:srgbClr w14:val="000000"/>
            </w14:solidFill>
          </w14:textFill>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INNOVATIONS IN FARMING: ADVANCING ENVIRONMENTAL SUSTAINABILITY FOR A GREENER FUTURE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Dr. P. Aravind Perumal</w:t>
      </w:r>
      <w:r>
        <w:rPr>
          <w:rStyle w:val="Hyperlink.1"/>
        </w:rPr>
        <w:br w:type="textWrapping"/>
      </w:r>
      <w:r>
        <w:rPr>
          <w:rStyle w:val="Hyperlink.1"/>
          <w:rtl w:val="0"/>
          <w:lang w:val="en-US"/>
        </w:rPr>
        <w:t>Assistant Professor,</w:t>
      </w:r>
      <w:r>
        <w:rPr>
          <w:rStyle w:val="Hyperlink.1"/>
        </w:rPr>
        <w:br w:type="textWrapping"/>
      </w:r>
      <w:r>
        <w:rPr>
          <w:rStyle w:val="Hyperlink.1"/>
          <w:rtl w:val="0"/>
          <w:lang w:val="en-US"/>
        </w:rPr>
        <w:t>P.G. Department of Economics and Research Centre,</w:t>
      </w:r>
      <w:r>
        <w:rPr>
          <w:rStyle w:val="Hyperlink.1"/>
        </w:rPr>
        <w:br w:type="textWrapping"/>
      </w:r>
      <w:r>
        <w:rPr>
          <w:rStyle w:val="Hyperlink.1"/>
          <w:rtl w:val="0"/>
          <w:lang w:val="en-US"/>
        </w:rPr>
        <w:t>S.T. Hindu College, Nagercoil.</w:t>
      </w:r>
      <w:r>
        <w:rPr>
          <w:rStyle w:val="Hyperlink.1"/>
        </w:rPr>
        <w:br w:type="textWrapping"/>
      </w:r>
      <w:r>
        <w:rPr>
          <w:rStyle w:val="Hyperlink.1"/>
          <w:rtl w:val="0"/>
          <w:lang w:val="en-US"/>
        </w:rPr>
        <w:t>(Affiliated to ManonmaniamSundaranar University, Tirunelveli.)</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Dr. M. Petchiammal</w:t>
      </w:r>
      <w:r>
        <w:rPr>
          <w:rStyle w:val="Hyperlink.1"/>
        </w:rPr>
        <w:br w:type="textWrapping"/>
      </w:r>
      <w:r>
        <w:rPr>
          <w:rStyle w:val="Hyperlink.1"/>
          <w:rtl w:val="0"/>
          <w:lang w:val="en-US"/>
        </w:rPr>
        <w:t>Assistant Professor,</w:t>
      </w:r>
      <w:r>
        <w:rPr>
          <w:rStyle w:val="Hyperlink.1"/>
        </w:rPr>
        <w:br w:type="textWrapping"/>
      </w:r>
      <w:r>
        <w:rPr>
          <w:rStyle w:val="Hyperlink.1"/>
          <w:rtl w:val="0"/>
          <w:lang w:val="en-US"/>
        </w:rPr>
        <w:t>Department of Economics,</w:t>
      </w:r>
      <w:r>
        <w:rPr>
          <w:rStyle w:val="Hyperlink.1"/>
        </w:rPr>
        <w:br w:type="textWrapping"/>
      </w:r>
      <w:r>
        <w:rPr>
          <w:rStyle w:val="Hyperlink.1"/>
          <w:rtl w:val="0"/>
          <w:lang w:val="en-US"/>
        </w:rPr>
        <w:t>Sadakathullah Appa College, Palayamkottai, Tirunelveli.</w:t>
      </w:r>
      <w:r>
        <w:rPr>
          <w:rStyle w:val="Hyperlink.1"/>
        </w:rPr>
        <w:br w:type="textWrapping"/>
      </w:r>
      <w:r>
        <w:rPr>
          <w:rStyle w:val="Hyperlink.1"/>
          <w:rtl w:val="0"/>
          <w:lang w:val="en-US"/>
        </w:rPr>
        <w:t>(Affiliated to ManonmaniamSundaranar University, Tirunelveli.)</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New farming methods help protect the environment and provide enough food for people. Modern techniques like smart irrigation, organic farming, and precision agriculture make farming eco-friendlier and more efficient. These methods use fewer chemicals, prevent soil damage, and support plant and animal life. Using clean energy, like solar-powered irrigation and natural fertilizers, also helps reduce pollution. New ideas such as vertical farming, hydroponics, and regenerative agriculture improve crop growth while saving water and soil. These techniques help fight climate change by lowering harmful gas emissions. Digital tools like AI and remote sensing help farmers make better decisions, reduce waste, and improve productivity. Switching from old farming methods to sustainable ones needs government help, farmer training, and financial support. Policies, subsidies, and investments in research can encourage more farmers to adopt eco-friendly techniques. By using sustainable innovations, farming can support a cleaner environment while producing enough food for the world.</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Keywords:</w:t>
      </w:r>
      <w:r>
        <w:rPr>
          <w:rStyle w:val="Hyperlink.1"/>
          <w:rtl w:val="0"/>
          <w:lang w:val="en-US"/>
        </w:rPr>
        <w:t xml:space="preserve"> Farming, Sustainability, Innovation, Technology, Environment.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Farming is one of the most important industries in the world because it provides food for people. However, traditional farming methods often harm the environment by using too many chemicals, wasting water, and damaging the soil. As the global population grows, the demand for food increases, making it necessary to find better ways to produce food while protecting the planet. Innovations in farming are helping to solve this problem by introducing modern techniques that are more efficient and eco-friendlier. Sustainable farming methods focus on protecting natural resources while increasing food production. Techniques like precision farming, organic agriculture, and crop rotation reduce the need for harmful pesticides and fertilizers. Smart irrigation systems help save water, and renewable energy sources like solar power make farming more sustainable. These methods not only help the environment but also improve the quality of food and reduce costs for farmers in the long run. New technologies, such as hydroponics, vertical farming, and regenerative agriculture, allow farmers to grow more food using less land and water. Hydroponics helps plants grow without soil by using nutrient-rich water, while vertical farming uses stacked layers to produce crops in small spaces. These techniques are useful in cities where farmland is limited. Additionally, regenerative agriculture focuses on improving soil health, which helps plants grow better and removes carbon from the air, reducing pollution. Digital tools like artificial intelligence (AI) and remote sensing also help farmers make better decisions. AI analyzes weather conditions and soil quality to help farmers grow crops more efficiently, while remote sensors monitor plant health and detect problems early. These technologies improve productivity and reduce waste, making farming smarter and more sustainable. By adopting innovative farming methods, farmers can produce more food while protecting the environment. Governments, scientists, and farmers must work together to promote sustainable practices and ensure a greener future for the next generations.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1.1</w:t>
        <w:tab/>
        <w:t>Statement of the Problem</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Traditional farming methods often lead to soil degradation, excessive water usage, and pollution due to chemical fertilizers and pesticides. As global food demand increases, it is crucial to adopt sustainable farming innovations that balance productivity with environmental conservation. The problem lies in the slow adoption of these methods due to financial constraints, lack of awareness, and limited government support, necessitating further research and policy interventions to drive sustainable agricultural practices.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REVIEW OF LITERATURE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Smith and Jones (2020)</w:t>
      </w:r>
      <w:r>
        <w:rPr>
          <w:rStyle w:val="Hyperlink.1"/>
          <w:rtl w:val="0"/>
          <w:lang w:val="en-US"/>
        </w:rPr>
        <w:t xml:space="preserve"> explored the effects of sustainable farming techniques on environmental conservation. Their study found that organic farming and crop rotation significantly reduced soil erosion and water contamination. The research highlighted the need for government policies to promote eco-friendly practices among farmers. The authors emphasized that adopting green technologies in agriculture can help achieve long-term sustainability while ensuring food security for future generations.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Williams et al. (2019)</w:t>
      </w:r>
      <w:r>
        <w:rPr>
          <w:rStyle w:val="Hyperlink.1"/>
          <w:rtl w:val="0"/>
          <w:lang w:val="en-US"/>
        </w:rPr>
        <w:t xml:space="preserve"> analysed the role of precision agriculture in optimizing resource use and reducing waste. Their study demonstrated how AI-driven analytics and remote sensing improved farm productivity while minimizing pesticide and fertilizer use. The findings suggested that digital farming solutions not only increase efficiency but also reduce environmental harm. However, the study noted that the high initial investment costs of precision farming tools were a barrier to widespread adoption.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Green and Patel (2021)</w:t>
      </w:r>
      <w:r>
        <w:rPr>
          <w:rStyle w:val="Hyperlink.1"/>
          <w:rtl w:val="0"/>
          <w:lang w:val="en-US"/>
        </w:rPr>
        <w:t xml:space="preserve"> examined the integration of renewable energy sources, such as solar-powered irrigation and biogas, in agriculture. Their research indicated that farms using renewable energy experienced lower operational costs and reduced carbon emissions. The study also emphasized the importance of government subsidies and financial incentives to encourage farmers to shift to sustainable energy solutions. The authors concluded that renewable energy adoption is key to achieving long-term agricultural sustainability.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RESEARCH METHODOLOGY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This study uses both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primary</w:t>
      </w:r>
      <w:r>
        <w:rPr>
          <w:rStyle w:val="Hyperlink.1"/>
          <w:rtl w:val="0"/>
          <w:lang w:val="en-US"/>
        </w:rPr>
        <w:t xml:space="preserve">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secondary data</w:t>
      </w:r>
      <w:r>
        <w:rPr>
          <w:rStyle w:val="Hyperlink.1"/>
          <w:rtl w:val="0"/>
          <w:lang w:val="en-US"/>
        </w:rPr>
        <w:t>. Primary data is collected through farmer surveys, interviews, and field observations on sustainable farming practices. Secondary data is gathered from research articles, government reports, and industry publications. This combination provides a comprehensive understanding of innovations in farming and environmental sustainability.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w:t>
        <w:tab/>
        <w:t>Objectives of the study</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numPr>
          <w:ilvl w:val="0"/>
          <w:numId w:val="3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To assess the role of technology in improving resource efficiency in agriculture.</w:t>
      </w:r>
    </w:p>
    <w:p>
      <w:pPr>
        <w:pStyle w:val="Normal.0"/>
        <w:numPr>
          <w:ilvl w:val="0"/>
          <w:numId w:val="3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To examine the challenges faced in adopting sustainable farming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3.2</w:t>
        <w:tab/>
        <w:t>Innovations in Farming</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Precision Farming</w:t>
      </w:r>
      <w:r>
        <w:rPr>
          <w:rStyle w:val="Hyperlink.1"/>
          <w:rtl w:val="0"/>
          <w:lang w:val="en-US"/>
        </w:rPr>
        <w:t>: Precision farming involves using GPS, IoT sensors, and data analytics to monitor soil health, weather conditions, and crop requirements. This approach ensures that fertilizers, pesticides, and water are applied in exact amounts, reducing waste and maximizing crop yield. By utilizing technology, farmers can minimize environmental impact, conserve resources, and improve efficiency. The integration of AI and machine learning further enhances decision-making, allowing farmers to predict crop performance and detect early signs of disease. Precision farming not only boosts agricultural productivity but also promotes sustainable practices by reducing excessive chemical use and preventing soil degradation.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Hydroponics and Vertical Farming</w:t>
      </w:r>
      <w:r>
        <w:rPr>
          <w:rStyle w:val="Hyperlink.1"/>
          <w:rtl w:val="0"/>
          <w:lang w:val="en-US"/>
        </w:rPr>
        <w:t>: Hydroponics is a soil-less farming technique where plants grow in a nutrient-rich water solution, allowing for faster growth and reduced water usage. Vertical farming, on the other hand, stacks crop in layers within controlled indoor environments, maximizing space utilization in urban areas. These methods reduce land dependency and enable year-round farming, even in harsh climates. Additionally, they minimize pesticide use and decrease transportation emissions by allowing fresh produce to be grown closer to consumers. Hydroponics and vertical farming are sustainable solutions for food security, providing higher yields with fewer resources while reducing the environmental footprint of agriculture.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Smart Irrigation Systems</w:t>
      </w:r>
      <w:r>
        <w:rPr>
          <w:rStyle w:val="Hyperlink.1"/>
          <w:rtl w:val="0"/>
          <w:lang w:val="en-US"/>
        </w:rPr>
        <w:t>: Smart irrigation systems use AI-powered sensors and weather forecasts to regulate water distribution based on real-time soil moisture levels. Techniques such as drip irrigation deliver water directly to plant roots, reducing evaporation and runoff. This ensures optimal hydration while conserving water, making it especially useful in drought-prone regions. Farmers can remotely monitor and adjust irrigation schedules, minimizing waste and lowering operational costs. Smart irrigation prevents overwatering, which can lead to soil degradation and nutrient loss, promoting sustainable agriculture by efficiently utilizing limited water resources while improving crop health and overall yield.</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Biotechnology and Genetically Modified Crops</w:t>
      </w:r>
      <w:r>
        <w:rPr>
          <w:rStyle w:val="Hyperlink.1"/>
          <w:rtl w:val="0"/>
          <w:lang w:val="en-US"/>
        </w:rPr>
        <w:t>: Biotechnology enhances agricultural sustainability by developing genetically modified (GM) crops that resist pests, diseases, and harsh climates. These crops require fewer chemical inputs, reducing pesticide and herbicide usage, which lowers environmental contamination. GM crops also have higher nutritional value, improving food security in developing nations. Scientists use gene editing techniques to enhance drought resistance and yield potential, ensuring stable food production despite changing climate conditions. The adoption of GM crops allows farmers to produce more food on less land, helping to reduce deforestation, conserve biodiversity, and decrease reliance on synthetic fertilizers and harmful agricultural practices.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Renewable Energy in Agriculture</w:t>
      </w:r>
      <w:r>
        <w:rPr>
          <w:rStyle w:val="Hyperlink.1"/>
          <w:rtl w:val="0"/>
          <w:lang w:val="en-US"/>
        </w:rPr>
        <w:t>: The integration of renewable energy in farming, such as solar-powered irrigation, wind turbines, and biofuel-powered machinery, reduces reliance on fossil fuels. Solar panels can power irrigation systems and greenhouse operations, significantly cutting energy costs. Wind energy provides sustainable power for rural farms, while biofuels convert agricultural waste into clean energy. These renewable solutions lower carbon footprints and contribute to long-term sustainability. By transitioning to clean energy, farms become more resilient to fuel price fluctuations, reduce greenhouse gas emissions, and promote environmentally friendly farming practices that align with global climate change mitigation efforts.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Automation and AI in Farming</w:t>
      </w:r>
      <w:r>
        <w:rPr>
          <w:rStyle w:val="Hyperlink.1"/>
          <w:rtl w:val="0"/>
          <w:lang w:val="en-US"/>
        </w:rPr>
        <w:t>: AI-driven tools, robotic harvesters, and autonomous tractors are transforming farming efficiency by reducing labor dependency and optimizing productivity. Drones equipped with multispectral imaging monitor crop health, detect pest infestations, and guide precision spraying operations. Automated systems improve harvesting speed, reducing post-harvest losses. AI-powered decision-making tools analyze weather and soil data to provide predictive insights for better farm management. These innovations minimize human error, reduce resource wastage, and enhance agricultural output. The integration of AI and robotics streamlines farm operations, enabling large-scale food production while reducing costs and supporting sustainable farming practices.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Regenerative Agriculture</w:t>
      </w:r>
      <w:r>
        <w:rPr>
          <w:rStyle w:val="Hyperlink.1"/>
          <w:rtl w:val="0"/>
          <w:lang w:val="en-US"/>
        </w:rPr>
        <w:t>: Regenerative agriculture focuses on restoring soil health and biodiversity through methods like cover cropping, crop rotation, composting, and reduced tillage. These techniques enhance soil fertility, improve water retention, and prevent erosion, making farming systems more resilient to climate change. By reducing synthetic chemical use, regenerative practices promote carbon sequestration, helping to mitigate greenhouse gas emissions. This approach fosters biodiversity, supports pollinator populations, and reduces dependency on external fertilizers. Farmers practicing regenerative agriculture benefit from improved yields and long-term soil productivity while ensuring that agricultural land remains fertile for future generations.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Blockchain for Supply Chain Transparency</w:t>
      </w:r>
      <w:r>
        <w:rPr>
          <w:rStyle w:val="Hyperlink.1"/>
          <w:rtl w:val="0"/>
          <w:lang w:val="en-US"/>
        </w:rPr>
        <w:t>: Blockchain technology enhances transparency, traceability, and trust in the agricultural supply chain. By securely recording transactions, blockchain helps verify the authenticity of organic products, track food origins, and prevent fraud. Consumers can access real-time data on the journey of food from farm to table, promoting ethical sourcing and fair trade. Additionally, blockchain minimizes food waste by improving inventory management and reducing supply chain inefficiencies. Farmers benefit from fair pricing, while regulatory bodies can ensure compliance with sustainability standards. By fostering accountability and trust, blockchain supports sustainable agricultural trade and ethical food production practices.</w:t>
      </w:r>
    </w:p>
    <w:p>
      <w:pPr>
        <w:pStyle w:val="Normal.0"/>
        <w:spacing w:after="0" w:line="360" w:lineRule="auto"/>
        <w:ind w:firstLine="720"/>
        <w:jc w:val="both"/>
        <w:rPr>
          <w:rStyle w:val="Hyperlink.1"/>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Regenerative Agriculture</w:t>
      </w:r>
      <w:r>
        <w:rPr>
          <w:rStyle w:val="Hyperlink.1"/>
          <w:rtl w:val="0"/>
          <w:lang w:val="en-US"/>
        </w:rPr>
        <w:t>: Regenerative agriculture restores soil health through crop rotation, reduced tillage, and cover cropping. These practices enhance soil fertility, increase water retention, and promote biodiversity. By improving soil structure, regenerative farming helps combat climate change by sequestering carbon, reducing the need for chemical inputs, and making farming systems more resilient.</w:t>
      </w: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1 </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innovations in farming and their impact on productivity,                                     resource efficiency, and sustainability.</w:t>
      </w:r>
    </w:p>
    <w:tbl>
      <w:tblPr>
        <w:tblW w:w="924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70"/>
        <w:gridCol w:w="1363"/>
        <w:gridCol w:w="1279"/>
        <w:gridCol w:w="1809"/>
        <w:gridCol w:w="1462"/>
        <w:gridCol w:w="1359"/>
      </w:tblGrid>
      <w:tr>
        <w:tblPrEx>
          <w:shd w:val="clear" w:color="auto" w:fill="ced7e7"/>
        </w:tblPrEx>
        <w:trPr>
          <w:trHeight w:val="6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Innovation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Increase in Yield</w:t>
            </w:r>
            <w:r>
              <w:rPr>
                <w:rStyle w:val="None"/>
                <w:rFonts w:ascii="Times New Roman" w:hAnsi="Times New Roman" w:hint="default"/>
                <w:b w:val="1"/>
                <w:bCs w:val="1"/>
                <w:kern w:val="0"/>
                <w:sz w:val="24"/>
                <w:szCs w:val="24"/>
                <w:shd w:val="nil" w:color="auto" w:fill="auto"/>
                <w:rtl w:val="0"/>
                <w:lang w:val="en-US"/>
              </w:rPr>
              <w:t> </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Water Savings</w:t>
            </w:r>
            <w:r>
              <w:rPr>
                <w:rStyle w:val="None"/>
                <w:rFonts w:ascii="Times New Roman" w:hAnsi="Times New Roman" w:hint="default"/>
                <w:b w:val="1"/>
                <w:bCs w:val="1"/>
                <w:kern w:val="0"/>
                <w:sz w:val="24"/>
                <w:szCs w:val="24"/>
                <w:shd w:val="nil" w:color="auto" w:fill="auto"/>
                <w:rtl w:val="0"/>
                <w:lang w:val="en-US"/>
              </w:rPr>
              <w:t> </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Reduction in Chemical Use</w:t>
            </w:r>
            <w:r>
              <w:rPr>
                <w:rStyle w:val="None"/>
                <w:rFonts w:ascii="Times New Roman" w:hAnsi="Times New Roman" w:hint="default"/>
                <w:b w:val="1"/>
                <w:bCs w:val="1"/>
                <w:kern w:val="0"/>
                <w:sz w:val="24"/>
                <w:szCs w:val="24"/>
                <w:shd w:val="nil" w:color="auto" w:fill="auto"/>
                <w:rtl w:val="0"/>
                <w:lang w:val="en-US"/>
              </w:rPr>
              <w:t> </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Cost Efficiency</w:t>
            </w:r>
            <w:r>
              <w:rPr>
                <w:rStyle w:val="None"/>
                <w:rFonts w:ascii="Times New Roman" w:hAnsi="Times New Roman" w:hint="default"/>
                <w:b w:val="1"/>
                <w:bCs w:val="1"/>
                <w:kern w:val="0"/>
                <w:sz w:val="24"/>
                <w:szCs w:val="24"/>
                <w:shd w:val="nil" w:color="auto" w:fill="auto"/>
                <w:rtl w:val="0"/>
                <w:lang w:val="en-US"/>
              </w:rPr>
              <w:t> </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Adoption Rate</w:t>
            </w:r>
            <w:r>
              <w:rPr>
                <w:rStyle w:val="None"/>
                <w:rFonts w:ascii="Times New Roman" w:hAnsi="Times New Roman" w:hint="default"/>
                <w:b w:val="1"/>
                <w:bCs w:val="1"/>
                <w:kern w:val="0"/>
                <w:sz w:val="24"/>
                <w:szCs w:val="24"/>
                <w:shd w:val="nil" w:color="auto" w:fill="auto"/>
                <w:rtl w:val="0"/>
                <w:lang w:val="en-US"/>
              </w:rPr>
              <w:t> </w:t>
            </w:r>
          </w:p>
        </w:tc>
      </w:tr>
      <w:tr>
        <w:tblPrEx>
          <w:shd w:val="clear" w:color="auto" w:fill="ced7e7"/>
        </w:tblPrEx>
        <w:trPr>
          <w:trHeight w:val="3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Precision Farming</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55</w:t>
            </w:r>
          </w:p>
        </w:tc>
      </w:tr>
      <w:tr>
        <w:tblPrEx>
          <w:shd w:val="clear" w:color="auto" w:fill="ced7e7"/>
        </w:tblPrEx>
        <w:trPr>
          <w:trHeight w:val="3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Hydroponics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90</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70</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r>
      <w:tr>
        <w:tblPrEx>
          <w:shd w:val="clear" w:color="auto" w:fill="ced7e7"/>
        </w:tblPrEx>
        <w:trPr>
          <w:trHeight w:val="6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Smart Irrigation Systems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60</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r>
      <w:tr>
        <w:tblPrEx>
          <w:shd w:val="clear" w:color="auto" w:fill="ced7e7"/>
        </w:tblPrEx>
        <w:trPr>
          <w:trHeight w:val="3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Biotechnology</w:t>
            </w:r>
            <w:r>
              <w:rPr>
                <w:rStyle w:val="None"/>
                <w:rFonts w:ascii="Times New Roman" w:hAnsi="Times New Roman" w:hint="default"/>
                <w:kern w:val="0"/>
                <w:sz w:val="24"/>
                <w:szCs w:val="24"/>
                <w:shd w:val="nil" w:color="auto" w:fill="auto"/>
                <w:rtl w:val="0"/>
                <w:lang w:val="en-US"/>
              </w:rPr>
              <w:t>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60</w:t>
            </w:r>
          </w:p>
        </w:tc>
      </w:tr>
      <w:tr>
        <w:tblPrEx>
          <w:shd w:val="clear" w:color="auto" w:fill="ced7e7"/>
        </w:tblPrEx>
        <w:trPr>
          <w:trHeight w:val="6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Renewable Energy</w:t>
            </w:r>
            <w:r>
              <w:rPr>
                <w:rStyle w:val="None"/>
                <w:rFonts w:ascii="Times New Roman" w:hAnsi="Times New Roman" w:hint="default"/>
                <w:kern w:val="0"/>
                <w:sz w:val="24"/>
                <w:szCs w:val="24"/>
                <w:shd w:val="nil" w:color="auto" w:fill="auto"/>
                <w:rtl w:val="0"/>
                <w:lang w:val="en-US"/>
              </w:rPr>
              <w:t>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15</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10</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45</w:t>
            </w:r>
          </w:p>
        </w:tc>
      </w:tr>
      <w:tr>
        <w:tblPrEx>
          <w:shd w:val="clear" w:color="auto" w:fill="ced7e7"/>
        </w:tblPrEx>
        <w:trPr>
          <w:trHeight w:val="3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Automation</w:t>
            </w:r>
            <w:r>
              <w:rPr>
                <w:rStyle w:val="None"/>
                <w:rFonts w:ascii="Times New Roman" w:hAnsi="Times New Roman" w:hint="default"/>
                <w:kern w:val="0"/>
                <w:sz w:val="24"/>
                <w:szCs w:val="24"/>
                <w:shd w:val="nil" w:color="auto" w:fill="auto"/>
                <w:rtl w:val="0"/>
                <w:lang w:val="en-US"/>
              </w:rPr>
              <w:t>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r>
      <w:tr>
        <w:tblPrEx>
          <w:shd w:val="clear" w:color="auto" w:fill="ced7e7"/>
        </w:tblPrEx>
        <w:trPr>
          <w:trHeight w:val="3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Regenerative</w:t>
            </w:r>
            <w:r>
              <w:rPr>
                <w:rStyle w:val="None"/>
                <w:rFonts w:ascii="Times New Roman" w:hAnsi="Times New Roman" w:hint="default"/>
                <w:kern w:val="0"/>
                <w:sz w:val="24"/>
                <w:szCs w:val="24"/>
                <w:shd w:val="nil" w:color="auto" w:fill="auto"/>
                <w:rtl w:val="0"/>
                <w:lang w:val="en-US"/>
              </w:rPr>
              <w:t>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60</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42</w:t>
            </w:r>
          </w:p>
        </w:tc>
      </w:tr>
      <w:tr>
        <w:tblPrEx>
          <w:shd w:val="clear" w:color="auto" w:fill="ced7e7"/>
        </w:tblPrEx>
        <w:trPr>
          <w:trHeight w:val="6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Blockchain in Supply</w:t>
            </w:r>
            <w:r>
              <w:rPr>
                <w:rStyle w:val="None"/>
                <w:rFonts w:ascii="Times New Roman" w:hAnsi="Times New Roman" w:hint="default"/>
                <w:kern w:val="0"/>
                <w:sz w:val="24"/>
                <w:szCs w:val="24"/>
                <w:shd w:val="nil" w:color="auto" w:fill="auto"/>
                <w:rtl w:val="0"/>
                <w:lang w:val="en-US"/>
              </w:rPr>
              <w:t>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10</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15</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38</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Source: Primary data</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table showcases the impact of various farming innovations on agricultural efficiency. Hydroponics leads in yield increase (50%) and water savings (90%), while biotechnology reduces chemical use (50%). Smart irrigation enhances water efficiency (60%), and automation improves cost efficiency (50%). Adoption rates are highest for biotechnology (60%) and precision farming (55%), showing strong industry acceptance.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2</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Impact of farming innovations on sustainability and economic growth.</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3"/>
        <w:gridCol w:w="1550"/>
        <w:gridCol w:w="1417"/>
        <w:gridCol w:w="2158"/>
        <w:gridCol w:w="1552"/>
      </w:tblGrid>
      <w:tr>
        <w:tblPrEx>
          <w:shd w:val="clear" w:color="auto" w:fill="ced7e7"/>
        </w:tblPrEx>
        <w:trPr>
          <w:trHeight w:val="6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Innovation</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Increase in Yield</w:t>
            </w:r>
            <w:r>
              <w:rPr>
                <w:rStyle w:val="None"/>
                <w:rFonts w:ascii="Times New Roman" w:hAnsi="Times New Roman" w:hint="default"/>
                <w:b w:val="1"/>
                <w:bCs w:val="1"/>
                <w:kern w:val="0"/>
                <w:sz w:val="24"/>
                <w:szCs w:val="24"/>
                <w:shd w:val="nil" w:color="auto" w:fill="auto"/>
                <w:rtl w:val="0"/>
                <w:lang w:val="en-US"/>
              </w:rPr>
              <w:t> </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Water Savings</w:t>
            </w:r>
            <w:r>
              <w:rPr>
                <w:rStyle w:val="None"/>
                <w:rFonts w:ascii="Times New Roman" w:hAnsi="Times New Roman" w:hint="default"/>
                <w:b w:val="1"/>
                <w:bCs w:val="1"/>
                <w:kern w:val="0"/>
                <w:sz w:val="24"/>
                <w:szCs w:val="24"/>
                <w:shd w:val="nil" w:color="auto" w:fill="auto"/>
                <w:rtl w:val="0"/>
                <w:lang w:val="en-US"/>
              </w:rPr>
              <w:t> </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Reduction in Chemical Use</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Cost Efficiency</w:t>
            </w:r>
            <w:r>
              <w:rPr>
                <w:rStyle w:val="None"/>
                <w:rFonts w:ascii="Times New Roman" w:hAnsi="Times New Roman" w:hint="default"/>
                <w:b w:val="1"/>
                <w:bCs w:val="1"/>
                <w:kern w:val="0"/>
                <w:sz w:val="24"/>
                <w:szCs w:val="24"/>
                <w:shd w:val="nil" w:color="auto" w:fill="auto"/>
                <w:rtl w:val="0"/>
                <w:lang w:val="en-US"/>
              </w:rPr>
              <w:t> </w:t>
            </w:r>
          </w:p>
        </w:tc>
      </w:tr>
      <w:tr>
        <w:tblPrEx>
          <w:shd w:val="clear" w:color="auto" w:fill="ced7e7"/>
        </w:tblPrEx>
        <w:trPr>
          <w:trHeight w:val="6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Regenerative Agriculture</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r>
      <w:tr>
        <w:tblPrEx>
          <w:shd w:val="clear" w:color="auto" w:fill="ced7e7"/>
        </w:tblPrEx>
        <w:trPr>
          <w:trHeight w:val="3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Renewable Energy</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90</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70</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r>
      <w:tr>
        <w:tblPrEx>
          <w:shd w:val="clear" w:color="auto" w:fill="ced7e7"/>
        </w:tblPrEx>
        <w:trPr>
          <w:trHeight w:val="6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Smart Irrigation Systems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60</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r>
      <w:tr>
        <w:tblPrEx>
          <w:shd w:val="clear" w:color="auto" w:fill="ced7e7"/>
        </w:tblPrEx>
        <w:trPr>
          <w:trHeight w:val="6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Biotechnology &amp; GM Crops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r>
      <w:tr>
        <w:tblPrEx>
          <w:shd w:val="clear" w:color="auto" w:fill="ced7e7"/>
        </w:tblPrEx>
        <w:trPr>
          <w:trHeight w:val="3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Hydroponics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15</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10</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r>
      <w:tr>
        <w:tblPrEx>
          <w:shd w:val="clear" w:color="auto" w:fill="ced7e7"/>
        </w:tblPrEx>
        <w:trPr>
          <w:trHeight w:val="6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Automation &amp; AI in Farming</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r>
      <w:tr>
        <w:tblPrEx>
          <w:shd w:val="clear" w:color="auto" w:fill="ced7e7"/>
        </w:tblPrEx>
        <w:trPr>
          <w:trHeight w:val="3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Precision Farming</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60</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Source: Primary data</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table highlights the benefits of different farming innovations. Renewable energy leads in water savings (90%) and chemical reduction (70%), while hydroponics excels in cost efficiency (40%). Automation and AI enhance yield (40%) and cost efficiency (50%). Precision farming and regenerative agriculture effectively reduce chemical use (60% and 40%, respectively), promoting sustainable farming. Smart irrigation significantly improves water savings (60%), making it vital for resource conservation. Biotechnology increases yield (35%) and reduces chemical use (50%), improving crop resilience. These innovations contribute to sustainable agriculture by optimizing resources, reducing environmental impact, and improving overall farming efficiency.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Role of Technology in Improving Resource Efficiency in Agriculture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Technology has revolutionized agriculture by making resource use more efficient while maintaining high productivity. Advanced farming techniques help optimize inputs like water, fertilizers, and energy, reducing waste and enhancing sustainability. Below are key ways technology improves resource efficiency in agriculture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Precision Farming for Optimal Input Usage: </w:t>
      </w:r>
      <w:r>
        <w:rPr>
          <w:rStyle w:val="Hyperlink.1"/>
          <w:rtl w:val="0"/>
          <w:lang w:val="en-US"/>
        </w:rPr>
        <w:t>Precision farming uses GPS, IoT sensors, and AI to analyze soil conditions, monitor crop health, and apply fertilizers or pesticides only where needed. This targeted approach minimizes chemical use, reduces costs, and prevents environmental damage.</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Smart Irrigation Systems for Water Conservation: </w:t>
      </w:r>
      <w:r>
        <w:rPr>
          <w:rStyle w:val="Hyperlink.1"/>
          <w:rtl w:val="0"/>
          <w:lang w:val="en-US"/>
        </w:rPr>
        <w:t>Water scarcity is a major challenge in agriculture, but smart irrigation systems, such as drip and sensor-based irrigation, optimize water distribution. These technologies measure soil moisture levels and deliver water accordingly, reducing wastage and ensuring plants receive adequate hydration. This significantly conserves water while maintaining crop health.</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Automation and AI for Labor and Cost Efficiency: </w:t>
      </w:r>
      <w:r>
        <w:rPr>
          <w:rStyle w:val="Hyperlink.1"/>
          <w:rtl w:val="0"/>
          <w:lang w:val="en-US"/>
        </w:rPr>
        <w:t>Automated machinery, drones, and AI-powered farm management tools reduce the need for manual labor while improving efficiency. Drones assist in monitoring large farmlands, detecting pest infestations, and assessing crop health. AI-powered systems predict weather patterns and optimize harvesting schedules, reducing losses and improving productivity.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Biotechnology for Sustainable Crop Production: </w:t>
      </w:r>
      <w:r>
        <w:rPr>
          <w:rStyle w:val="Hyperlink.1"/>
          <w:rtl w:val="0"/>
          <w:lang w:val="en-US"/>
        </w:rPr>
        <w:t>Genetically modified (GM) crops and biotechnology innovations enhance crop resistance to pests, diseases, and extreme weather conditions. These technologies reduce dependency on chemical pesticides and fertilizers, lowering costs while ensuring sustainable agricultural practices.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Renewable Energy Integration for Sustainable Farming: </w:t>
      </w:r>
      <w:r>
        <w:rPr>
          <w:rStyle w:val="Hyperlink.1"/>
          <w:rtl w:val="0"/>
          <w:lang w:val="en-US"/>
        </w:rPr>
        <w:t>Solar-powered irrigation pumps, wind turbines, and bioenergy systems provide sustainable energy sources for agricultural operations. These technologies reduce dependence on fossil fuels, lowering greenhouse gas emissions and ensuring cost-effective energy solutions for farmers.By integrating these advanced technologies, agriculture can become more efficient, sustainable, and resilient to climate challenges, ensuring food security for the growing population.</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3</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Role of Technology in Improving Resource Efficiency in Agriculture</w:t>
      </w:r>
    </w:p>
    <w:tbl>
      <w:tblPr>
        <w:tblW w:w="924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49"/>
        <w:gridCol w:w="2194"/>
        <w:gridCol w:w="1504"/>
        <w:gridCol w:w="1376"/>
        <w:gridCol w:w="1963"/>
        <w:gridCol w:w="1556"/>
      </w:tblGrid>
      <w:tr>
        <w:tblPrEx>
          <w:shd w:val="clear" w:color="auto" w:fill="ced7e7"/>
        </w:tblPrEx>
        <w:trPr>
          <w:trHeight w:val="1200"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S. No.</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Technology</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Increase in Yield (%)</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Water Savings (%)</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Reduction in Chemical Use (%)</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Cost Efficiency (%)</w:t>
            </w:r>
          </w:p>
        </w:tc>
      </w:tr>
      <w:tr>
        <w:tblPrEx>
          <w:shd w:val="clear" w:color="auto" w:fill="ced7e7"/>
        </w:tblPrEx>
        <w:trPr>
          <w:trHeight w:val="310"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Precision Farming</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25</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30</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40</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r>
      <w:tr>
        <w:tblPrEx>
          <w:shd w:val="clear" w:color="auto" w:fill="ced7e7"/>
        </w:tblPrEx>
        <w:trPr>
          <w:trHeight w:val="755"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Smart Irrigation Systems</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60</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30</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25</w:t>
            </w:r>
          </w:p>
        </w:tc>
      </w:tr>
      <w:tr>
        <w:tblPrEx>
          <w:shd w:val="clear" w:color="auto" w:fill="ced7e7"/>
        </w:tblPrEx>
        <w:trPr>
          <w:trHeight w:val="755"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Automation &amp; AI in Farming</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40</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25</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35</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50</w:t>
            </w:r>
          </w:p>
        </w:tc>
      </w:tr>
      <w:tr>
        <w:tblPrEx>
          <w:shd w:val="clear" w:color="auto" w:fill="ced7e7"/>
        </w:tblPrEx>
        <w:trPr>
          <w:trHeight w:val="755"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Biotechnology &amp; GM Crops</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35</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50</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30</w:t>
            </w:r>
          </w:p>
        </w:tc>
      </w:tr>
      <w:tr>
        <w:tblPrEx>
          <w:shd w:val="clear" w:color="auto" w:fill="ced7e7"/>
        </w:tblPrEx>
        <w:trPr>
          <w:trHeight w:val="755"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Renewable Energy (Solar, Bio)</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15</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40</w:t>
            </w:r>
          </w:p>
        </w:tc>
      </w:tr>
      <w:tr>
        <w:tblPrEx>
          <w:shd w:val="clear" w:color="auto" w:fill="ced7e7"/>
        </w:tblPrEx>
        <w:trPr>
          <w:trHeight w:val="755"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6</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Hydroponics &amp; Vertical Farming</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50</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90</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70</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35</w:t>
            </w:r>
          </w:p>
        </w:tc>
      </w:tr>
      <w:tr>
        <w:tblPrEx>
          <w:shd w:val="clear" w:color="auto" w:fill="ced7e7"/>
        </w:tblPrEx>
        <w:trPr>
          <w:trHeight w:val="755"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7</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Regenerative Agriculture</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30</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50</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60</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25</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Source: Primary data</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table illustrates how various agricultural technologies enhance resource efficiency. Hydroponics &amp; Vertical Farming achieve the highest yield increase (50%), water savings (90%), and chemical reduction (70%). Automation &amp; AI in Farming provide the best cost efficiency (50%). Smart Irrigation Systems significantly conserve water (60%), while Biotechnology &amp; GM Crops effectively reduce chemical use (50%), demonstrating the critical role of technology in sustainable agriculture.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Challenges Faced in Adopting Sustainable Farming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High Initial Investment Costs</w:t>
      </w:r>
      <w:r>
        <w:rPr>
          <w:rStyle w:val="Hyperlink.1"/>
          <w:rtl w:val="0"/>
          <w:lang w:val="en-US"/>
        </w:rPr>
        <w:t>: Sustainable farming techniques often require significant financial investment in technologies such as precision farming, hydroponics, and renewable energy systems. Many small and medium-scale farmers struggle to afford these innovations due to limited access to credit and funding. Government subsidies and financial support programs are necessary to ease this financial burden.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Limited Awareness and Knowledge</w:t>
      </w:r>
      <w:r>
        <w:rPr>
          <w:rStyle w:val="Hyperlink.1"/>
          <w:rtl w:val="0"/>
          <w:lang w:val="en-US"/>
        </w:rPr>
        <w:t>: Many farmers lack awareness of sustainable farming benefits and the knowledge to implement them effectively. Traditional farming methods have been followed for generations, making adaptation to new techniques difficult. Training programs, workshops, and agricultural extension services are essential for educating farmers about eco-friendly agricultural practices.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Lack of Access to Advanced Technology</w:t>
      </w:r>
      <w:r>
        <w:rPr>
          <w:rStyle w:val="Hyperlink.1"/>
          <w:rtl w:val="0"/>
          <w:lang w:val="en-US"/>
        </w:rPr>
        <w:t>: The availability of modern farming tools such as AI-driven automation, smart irrigation, and biotechnology is still limited in many rural areas. Farmers in developing regions struggle with poor infrastructure, lack of internet connectivity, and high costs of obtaining and maintaining these technologies, slowing down the adoption process.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Market and Policy Barriers</w:t>
      </w:r>
      <w:r>
        <w:rPr>
          <w:rStyle w:val="Hyperlink.1"/>
          <w:rtl w:val="0"/>
          <w:lang w:val="en-US"/>
        </w:rPr>
        <w:t>: Sustainable farming products often face market challenges, such as higher production costs, pricing competition with conventional products, and fluctuating consumer demand. Additionally, inconsistent government policies, lack of strong regulations, and insufficient incentives create barriers to large-scale adoption, discouraging farmers from transitioning to sustainable practices.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Climate and Environmental Constraints</w:t>
      </w:r>
      <w:r>
        <w:rPr>
          <w:rStyle w:val="Hyperlink.1"/>
          <w:rtl w:val="0"/>
          <w:lang w:val="en-US"/>
        </w:rPr>
        <w:t>: Climate change poses significant risks to sustainable farming efforts, such as unpredictable weather patterns, water scarcity, and soil degradation. Implementing sustainable practices requires resilient strategies to adapt to changing climatic conditions while ensuring long-term productivity and food security. Farmers need better climate-smart agriculture solutions to overcome these obstacles.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w:t>
        <w:tab/>
        <w:t>FINDINGS</w:t>
      </w:r>
    </w:p>
    <w:p>
      <w:pPr>
        <w:pStyle w:val="Normal.0"/>
        <w:numPr>
          <w:ilvl w:val="0"/>
          <w:numId w:val="3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Sustainable farming methods improve crop yields by 25-50% while reducing water consumption by 30-90%.</w:t>
      </w:r>
    </w:p>
    <w:p>
      <w:pPr>
        <w:pStyle w:val="Normal.0"/>
        <w:numPr>
          <w:ilvl w:val="0"/>
          <w:numId w:val="3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High initial investment costs and lack of awareness are major barriers to adopting eco-friendly farming practices.</w:t>
      </w:r>
    </w:p>
    <w:p>
      <w:pPr>
        <w:pStyle w:val="Normal.0"/>
        <w:numPr>
          <w:ilvl w:val="0"/>
          <w:numId w:val="3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Advanced technologies like AI, smart irrigation, and hydroponics significantly enhance cost efficiency.</w:t>
      </w:r>
    </w:p>
    <w:p>
      <w:pPr>
        <w:pStyle w:val="Normal.0"/>
        <w:numPr>
          <w:ilvl w:val="0"/>
          <w:numId w:val="3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Farmers in rural areas struggle with limited access to modern farming tools and infrastructure.</w:t>
      </w:r>
    </w:p>
    <w:p>
      <w:pPr>
        <w:pStyle w:val="Normal.0"/>
        <w:numPr>
          <w:ilvl w:val="0"/>
          <w:numId w:val="3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Government policies and financial incentives play a critical role in promoting sustainable agriculture.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5.</w:t>
        <w:tab/>
        <w:t>Suggestions</w:t>
      </w:r>
    </w:p>
    <w:p>
      <w:pPr>
        <w:pStyle w:val="Normal.0"/>
        <w:numPr>
          <w:ilvl w:val="0"/>
          <w:numId w:val="36"/>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Increase government subsidies and financial aid to help farmers adopt sustainable technologies.</w:t>
      </w:r>
    </w:p>
    <w:p>
      <w:pPr>
        <w:pStyle w:val="Normal.0"/>
        <w:numPr>
          <w:ilvl w:val="0"/>
          <w:numId w:val="36"/>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Promote awareness and training programs to educate farmers on the benefits of eco-friendly farming.</w:t>
      </w:r>
    </w:p>
    <w:p>
      <w:pPr>
        <w:pStyle w:val="Normal.0"/>
        <w:numPr>
          <w:ilvl w:val="0"/>
          <w:numId w:val="36"/>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Improve access to technology and infrastructure in rural areas for better implementation.</w:t>
      </w:r>
    </w:p>
    <w:p>
      <w:pPr>
        <w:pStyle w:val="Normal.0"/>
        <w:numPr>
          <w:ilvl w:val="0"/>
          <w:numId w:val="36"/>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Encourage research and innovation in developing cost-effective sustainable farming solutions.</w:t>
      </w:r>
    </w:p>
    <w:p>
      <w:pPr>
        <w:pStyle w:val="Normal.0"/>
        <w:numPr>
          <w:ilvl w:val="0"/>
          <w:numId w:val="36"/>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Develop supportive market policies to create fair pricing and demand for sustainably grown produce.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Sustainable farming is essential for ensuring long-term agricultural productivity while minimizing environmental damage. Innovations such as precision farming, smart irrigation, and biotechnology help improve yield, conserve water, and reduce chemical usage. However, challenges such as high costs, limited awareness, and infrastructure gaps hinder widespread adoption. Governments, policymakers, and agricultural institutions must work together to provide financial support, training, and technological advancements to enable farmers to transition smoothly to sustainable practices. By integrating renewable energy sources, AI-driven analytics, and eco-friendly techniques, farming can become more efficient and environmentally responsible. Consumer demand for organic and sustainable products is growing, providing a strong market opportunity for farmers willing to adopt sustainable methods. With the right policies, investments, and education, sustainable agriculture can become the future of food production, ensuring food security and environmental preservation for future generations.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Hyperlink.1"/>
        </w:rPr>
      </w:pPr>
      <w:r>
        <w:rPr>
          <w:rStyle w:val="Hyperlink.1"/>
          <w:rtl w:val="0"/>
          <w:lang w:val="en-US"/>
        </w:rPr>
        <w:t>Pretty, J. (2018). "Sustainable intensification of agriculture: Progress and challenges." Current Opinion in Environmental Sustainability, 31, 61-68.</w:t>
      </w:r>
    </w:p>
    <w:p>
      <w:pPr>
        <w:pStyle w:val="Normal.0"/>
        <w:spacing w:after="0" w:line="360" w:lineRule="auto"/>
        <w:ind w:left="720" w:hanging="720"/>
        <w:jc w:val="both"/>
        <w:rPr>
          <w:rStyle w:val="Hyperlink.1"/>
        </w:rPr>
      </w:pPr>
      <w:r>
        <w:rPr>
          <w:rStyle w:val="Hyperlink.1"/>
          <w:rtl w:val="0"/>
          <w:lang w:val="en-US"/>
        </w:rPr>
        <w:t>Tilman, D., Cassman, K. G., Matson, P. A., Naylor, R., &amp; Polasky, S. (2011). "Agricultural sustainability and intensive production practices." Nature, 418(6898), 671-677.</w:t>
      </w:r>
    </w:p>
    <w:p>
      <w:pPr>
        <w:pStyle w:val="Normal.0"/>
        <w:spacing w:after="0" w:line="360" w:lineRule="auto"/>
        <w:ind w:left="720" w:hanging="720"/>
        <w:jc w:val="both"/>
        <w:rPr>
          <w:rStyle w:val="Hyperlink.1"/>
        </w:rPr>
      </w:pPr>
      <w:r>
        <w:rPr>
          <w:rStyle w:val="Hyperlink.1"/>
          <w:rtl w:val="0"/>
          <w:lang w:val="en-US"/>
        </w:rPr>
        <w:t>Godfray, H. C. J., &amp; Garnett, T. (2014). "Food security and sustainable intensification." Philosophical Transactions of the Royal Society B: Biological Sciences, 369(1639), 20120273.</w:t>
      </w:r>
    </w:p>
    <w:p>
      <w:pPr>
        <w:pStyle w:val="Normal.0"/>
        <w:spacing w:after="0" w:line="360" w:lineRule="auto"/>
        <w:ind w:left="720" w:hanging="720"/>
        <w:jc w:val="both"/>
        <w:rPr>
          <w:rStyle w:val="Hyperlink.1"/>
        </w:rPr>
      </w:pPr>
      <w:r>
        <w:rPr>
          <w:rStyle w:val="Hyperlink.1"/>
          <w:rtl w:val="0"/>
          <w:lang w:val="en-US"/>
        </w:rPr>
        <w:t>Rockstr</w:t>
      </w:r>
      <w:r>
        <w:rPr>
          <w:rStyle w:val="Hyperlink.1"/>
          <w:rtl w:val="0"/>
          <w:lang w:val="en-US"/>
        </w:rPr>
        <w:t>ö</w:t>
      </w:r>
      <w:r>
        <w:rPr>
          <w:rStyle w:val="Hyperlink.1"/>
          <w:rtl w:val="0"/>
          <w:lang w:val="en-US"/>
        </w:rPr>
        <w:t>m, J., Steffen, W., Noone, K., et al. (2009). "A safe operating space for humanity." Nature, 461(7263), 472-475.</w:t>
      </w:r>
    </w:p>
    <w:p>
      <w:pPr>
        <w:pStyle w:val="Normal.0"/>
        <w:spacing w:after="0" w:line="360" w:lineRule="auto"/>
        <w:ind w:left="720" w:hanging="720"/>
        <w:jc w:val="both"/>
        <w:rPr>
          <w:rStyle w:val="Hyperlink.1"/>
        </w:rPr>
      </w:pPr>
      <w:r>
        <w:rPr>
          <w:rStyle w:val="Hyperlink.1"/>
          <w:rtl w:val="0"/>
          <w:lang w:val="en-US"/>
        </w:rPr>
        <w:t xml:space="preserve">FAO (2022). "The Future of Food and Agriculture </w:t>
      </w:r>
      <w:r>
        <w:rPr>
          <w:rStyle w:val="Hyperlink.1"/>
          <w:rtl w:val="0"/>
          <w:lang w:val="en-US"/>
        </w:rPr>
        <w:t xml:space="preserve">– </w:t>
      </w:r>
      <w:r>
        <w:rPr>
          <w:rStyle w:val="Hyperlink.1"/>
          <w:rtl w:val="0"/>
          <w:lang w:val="en-US"/>
        </w:rPr>
        <w:t>Trends and Challenges." Food and Agriculture Organization of the United Nations Report.</w:t>
      </w:r>
    </w:p>
    <w:p>
      <w:pPr>
        <w:pStyle w:val="Normal.0"/>
        <w:spacing w:after="0" w:line="360" w:lineRule="auto"/>
        <w:ind w:left="720" w:hanging="720"/>
        <w:jc w:val="both"/>
        <w:rPr>
          <w:rStyle w:val="Hyperlink.1"/>
        </w:rPr>
      </w:pPr>
      <w:r>
        <w:rPr>
          <w:rStyle w:val="Hyperlink.1"/>
          <w:rtl w:val="0"/>
          <w:lang w:val="en-US"/>
        </w:rPr>
        <w:t>Lal, R. (2020). "Regenerative agriculture for food and climate." Journal of Soil and Water Conservation, 75(5), 123-129.</w:t>
      </w: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 xml:space="preserve">PHYTOCHEMICAL SCREENING AND ANTIBACTERIAL EFFECT OF                      </w:t>
      </w:r>
      <w:r>
        <w:rPr>
          <w:rStyle w:val="None"/>
          <w:b w:val="1"/>
          <w:bCs w:val="1"/>
          <w:i w:val="1"/>
          <w:iCs w:val="1"/>
          <w:outline w:val="0"/>
          <w:color w:val="000000"/>
          <w:kern w:val="0"/>
          <w:u w:color="000000"/>
          <w:rtl w:val="0"/>
          <w:lang w:val="en-US"/>
          <w14:textFill>
            <w14:solidFill>
              <w14:srgbClr w14:val="000000"/>
            </w14:solidFill>
          </w14:textFill>
        </w:rPr>
        <w:t>LEUCAS ASPERA</w:t>
      </w:r>
      <w:r>
        <w:rPr>
          <w:rStyle w:val="None"/>
          <w:b w:val="1"/>
          <w:bCs w:val="1"/>
          <w:outline w:val="0"/>
          <w:color w:val="000000"/>
          <w:kern w:val="0"/>
          <w:u w:color="000000"/>
          <w:rtl w:val="0"/>
          <w:lang w:val="en-US"/>
          <w14:textFill>
            <w14:solidFill>
              <w14:srgbClr w14:val="000000"/>
            </w14:solidFill>
          </w14:textFill>
        </w:rPr>
        <w:t xml:space="preserve"> PLANT EXTRACTS AGAINST AQUATIC                                                FISH PATHOGEN </w:t>
      </w:r>
      <w:r>
        <w:rPr>
          <w:rStyle w:val="None"/>
          <w:b w:val="1"/>
          <w:bCs w:val="1"/>
          <w:i w:val="1"/>
          <w:iCs w:val="1"/>
          <w:outline w:val="0"/>
          <w:color w:val="000000"/>
          <w:kern w:val="0"/>
          <w:u w:color="000000"/>
          <w:rtl w:val="0"/>
          <w:lang w:val="en-US"/>
          <w14:textFill>
            <w14:solidFill>
              <w14:srgbClr w14:val="000000"/>
            </w14:solidFill>
          </w14:textFill>
        </w:rPr>
        <w:t>AEROMONAS VERONII</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J. Frylin Kanaga</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1</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S.J. Sreeja</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2</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and R. Raja Jeya Sekar</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3</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Research Scholar, P.G. and Research Department of Zoology, S.T. Hindu College, Nagercoil - 629002, Affiliated to ManonmaniamSundaranar University, Tirunelveli, Tamil Nadu, India.</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2</w:t>
      </w:r>
      <w:r>
        <w:rPr>
          <w:rStyle w:val="Hyperlink.1"/>
          <w:rtl w:val="0"/>
          <w:lang w:val="en-US"/>
        </w:rPr>
        <w:t>Assistant Professor, P.G. and Research Department of Zoology, S.T. Hindu College, Nagercoil - 629002, Affiliated to ManonmaniamSundaranar University, Tirunelveli,                        Tamil Nadu, India</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3</w:t>
      </w:r>
      <w:r>
        <w:rPr>
          <w:rStyle w:val="Hyperlink.1"/>
          <w:rtl w:val="0"/>
          <w:lang w:val="en-US"/>
        </w:rPr>
        <w:t>Associate Professor, P.G. and Research Department of Zoology, S.T. Hindu College, Nagercoil - 629002, Affiliated to ManonmaniamSundaranar University,                                Tirunelveli, Tamil Nadu, India</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ABSTRACT </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aim of this study is to determine the antimicrobial activity of the medicinal plant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Leucasaspera </w:t>
      </w:r>
      <w:r>
        <w:rPr>
          <w:rStyle w:val="Hyperlink.1"/>
          <w:rtl w:val="0"/>
          <w:lang w:val="en-US"/>
        </w:rPr>
        <w:t xml:space="preserve">against the harmful disease causing aquatic fish pathogen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veronii</w:t>
      </w:r>
      <w:r>
        <w:rPr>
          <w:rStyle w:val="Hyperlink.1"/>
          <w:rtl w:val="0"/>
          <w:lang w:val="en-US"/>
        </w:rPr>
        <w:t xml:space="preserve">. The crude plant extracts of dried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Leucasaspera</w:t>
      </w:r>
      <w:r>
        <w:rPr>
          <w:rStyle w:val="Hyperlink.1"/>
          <w:rtl w:val="0"/>
          <w:lang w:val="en-US"/>
        </w:rPr>
        <w:t xml:space="preserve"> leaves were prepared by using polar solvents ethyl acetate, acetone and methanol. The phytochemical screening of the various plant extracts shown the presence of alkaloids, flavonoids, tannin, carbohydrates, phenol and saponins. The antibacterial activity of crude extracts were studied using agar well diffusion method. The different concentrations of crude extracts added in wells were 10, 20, 30 and 40 </w:t>
      </w:r>
      <w:r>
        <w:rPr>
          <w:rStyle w:val="Hyperlink.1"/>
          <w:rtl w:val="0"/>
          <w:lang w:val="en-US"/>
        </w:rPr>
        <w:t>µ</w:t>
      </w:r>
      <w:r>
        <w:rPr>
          <w:rStyle w:val="Hyperlink.1"/>
          <w:rtl w:val="0"/>
          <w:lang w:val="en-US"/>
        </w:rPr>
        <w:t xml:space="preserve">l. The results clearly indicates that acetone and methanol extracts shows high antibacterial activity to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veronii</w:t>
      </w:r>
      <w:r>
        <w:rPr>
          <w:rStyle w:val="Hyperlink.1"/>
          <w:rtl w:val="0"/>
          <w:lang w:val="en-US"/>
        </w:rPr>
        <w:t xml:space="preserve"> bacteria than ethyl acetate extract.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Key words:</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phyotochemical</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Aeromonas veronii</w:t>
      </w:r>
      <w:r>
        <w:rPr>
          <w:rStyle w:val="Hyperlink.1"/>
          <w:rtl w:val="0"/>
          <w:lang w:val="en-US"/>
        </w:rPr>
        <w:t>, antimicrobial, agar well diffusion.</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r>
        <w:rPr>
          <w:rStyle w:val="Hyperlink.1"/>
          <w:rtl w:val="0"/>
          <w:lang w:val="en-US"/>
        </w:rPr>
        <w:t>Nowadays various herbal medicines are used in treatment of diseases for human and animals. The plants of medicinal importance are available easily, efficient, safe, with low side effects and low expense. Of numerous medicinal plants some of them act as an antimicrobial agent. The extracts prepared from plants are used to cure infectious diseases caused by fungi and bacteria. (Pavunraj</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2014; Mohammadhosseini, 2017). The activities of phytochemicals present in plants are antibacterial, antifungal, anticonstipative, spasmolytic, antiplasmodial and antioxidant.</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secondary metabolites of plants are used to treat various diseases and these secondary metabolites include alkaloids, phenols, phenolic glycosides, saponins, sulfur compounds, terpenoids, unsaturated lactones, glucosinolates and cyanogenic glycosides (Mukherjee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2001 ; Quiroga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2001).</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Pr>
        <w:tab/>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aspera</w:t>
      </w:r>
      <w:r>
        <w:rPr>
          <w:rStyle w:val="Hyperlink.1"/>
          <w:rtl w:val="0"/>
          <w:lang w:val="en-US"/>
        </w:rPr>
        <w:t xml:space="preserve"> is a common medicinal plant found throughout</w:t>
      </w:r>
      <w:r>
        <w:rPr>
          <w:rStyle w:val="Hyperlink.1"/>
          <w:rtl w:val="0"/>
          <w:lang w:val="en-US"/>
        </w:rPr>
        <w:t xml:space="preserve">  </w:t>
      </w:r>
      <w:r>
        <w:rPr>
          <w:rStyle w:val="Hyperlink.1"/>
          <w:rtl w:val="0"/>
          <w:lang w:val="en-US"/>
        </w:rPr>
        <w:t xml:space="preserve">India. It is an annual herb of 15-60 cm height. This plant is used as a medicine for cold, cough, chronic skin eruption and painful swelling and also used as an insecticide (Chopra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2002).</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In fishes the common outbreaks of fish diseases are caused by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Hyperlink.1"/>
          <w:rtl w:val="0"/>
          <w:lang w:val="en-US"/>
        </w:rPr>
        <w:t xml:space="preserve"> species. Of these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 xml:space="preserve">species,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veronii</w:t>
      </w:r>
      <w:r>
        <w:rPr>
          <w:rStyle w:val="Hyperlink.1"/>
          <w:rtl w:val="0"/>
          <w:lang w:val="en-US"/>
        </w:rPr>
        <w:t xml:space="preserve"> is a harmful pathogenic bacteria among fish pathogens and have strong environmental adaptability (Parte, 2013).The main aim of the current study is to determine the phytochemicals present in leaves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aspera</w:t>
      </w:r>
      <w:r>
        <w:rPr>
          <w:rStyle w:val="Hyperlink.1"/>
          <w:rtl w:val="0"/>
          <w:lang w:val="en-US"/>
        </w:rPr>
        <w:t xml:space="preserve"> and its antibacterial activity against the pathogenic bacterium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veronii</w:t>
      </w:r>
      <w:r>
        <w:rPr>
          <w:rStyle w:val="Hyperlink.1"/>
          <w:rtl w:val="0"/>
          <w:lang w:val="en-US"/>
        </w:rPr>
        <w: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 xml:space="preserve"> MATERIALS AND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Plant collection</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xml:space="preserve"> plant leaves were collected from Killiyur Taluk of Kanyakumari District, Tamil Nadu. The collected leaves were washed with tap water to remove impurities and dust particles. The leaves are dried under room temperature for 2 months.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Preparation of leaf extract</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The dried leaves are finely powdered using electric blender and kept in air tight container. About 10 grams of powdered leaves were weighed and added 100 ml of polar solvents ethyl acetate, acetone and methanol separately. The mixtures were kept in a shaker for about 48 hours continuously. After the required period of shaking, the crude extracts obtained were filtered</w:t>
      </w:r>
      <w:r>
        <w:rPr>
          <w:rStyle w:val="Hyperlink.1"/>
          <w:rtl w:val="0"/>
          <w:lang w:val="en-US"/>
        </w:rPr>
        <w:t xml:space="preserve">  </w:t>
      </w:r>
      <w:r>
        <w:rPr>
          <w:rStyle w:val="Hyperlink.1"/>
          <w:rtl w:val="0"/>
          <w:lang w:val="en-US"/>
        </w:rPr>
        <w:t>using Whatman No. 1 filter paper. The filtrate obtained were stored in refrigerator for further analysis.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Phytochemical analysis of crude extracts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The phytochemical screening of ethyl acetate, acetone and methanol crude extracts were performed</w:t>
      </w:r>
      <w:r>
        <w:rPr>
          <w:rStyle w:val="Hyperlink.1"/>
          <w:rtl w:val="0"/>
          <w:lang w:val="en-US"/>
        </w:rPr>
        <w:t xml:space="preserve">  </w:t>
      </w:r>
      <w:r>
        <w:rPr>
          <w:rStyle w:val="Hyperlink.1"/>
          <w:rtl w:val="0"/>
          <w:lang w:val="en-US"/>
        </w:rPr>
        <w:t>using standard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Test 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The fish pathogen,</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veronii</w:t>
      </w:r>
      <w:r>
        <w:rPr>
          <w:rStyle w:val="Hyperlink.1"/>
          <w:rtl w:val="0"/>
          <w:lang w:val="en-US"/>
        </w:rPr>
        <w:t xml:space="preserve">  </w:t>
      </w:r>
      <w:r>
        <w:rPr>
          <w:rStyle w:val="Hyperlink.1"/>
          <w:rtl w:val="0"/>
          <w:lang w:val="en-US"/>
        </w:rPr>
        <w:t>were used as a test 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Antibacterial assay</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antibacterial activity of crude plant extracts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veronii</w:t>
      </w:r>
      <w:r>
        <w:rPr>
          <w:rStyle w:val="Hyperlink.1"/>
          <w:rtl w:val="0"/>
          <w:lang w:val="en-US"/>
        </w:rPr>
        <w:t xml:space="preserve"> bacteria were done by agar well diffusion method. To 25ml nutrient agar medium plates the nutrient broth containing bacteria were smeared using sterile cotton swab. The wells are punctured using sterile metallic borer of size 6mm and the crude extracts of 10, 20, 30 and 40 </w:t>
      </w:r>
      <w:r>
        <w:rPr>
          <w:rStyle w:val="Hyperlink.1"/>
          <w:rtl w:val="0"/>
          <w:lang w:val="en-US"/>
        </w:rPr>
        <w:t>µ</w:t>
      </w:r>
      <w:r>
        <w:rPr>
          <w:rStyle w:val="Hyperlink.1"/>
          <w:rtl w:val="0"/>
          <w:lang w:val="en-US"/>
        </w:rPr>
        <w:t>l concentrations were added on the respective wells. Then the plates are incubated at 37</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o</w:t>
      </w:r>
      <w:r>
        <w:rPr>
          <w:rStyle w:val="Hyperlink.1"/>
          <w:rtl w:val="0"/>
          <w:lang w:val="en-US"/>
        </w:rPr>
        <w:t>C for about 24 hours. After the required period of incubation the diameter of the zone of inhibition were measured in mm.</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Statistical analysis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statistical analysis was performed by using mean </w:t>
      </w:r>
      <w:r>
        <w:rPr>
          <w:rStyle w:val="Hyperlink.1"/>
          <w:rtl w:val="0"/>
          <w:lang w:val="en-US"/>
        </w:rPr>
        <w:t xml:space="preserve">± </w:t>
      </w:r>
      <w:r>
        <w:rPr>
          <w:rStyle w:val="Hyperlink.1"/>
          <w:rtl w:val="0"/>
          <w:lang w:val="en-US"/>
        </w:rPr>
        <w:t>SD of the three replicates.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 </w:t>
        <w:tab/>
        <w:t>Results and discussion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aquaculture practices high amounts of antibiotics are used by farmers to prevent economic losses caused due to infectious diseases and this may leads to antibiotic resistance. To overcome this, alternatively used plant extracts to control bacterial diseases against fish pathogens.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The extracts produced from plants is an alternate source to antibiotics in treatment of bacterial diseases (Ghafarifarsani</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2023b ; Yousefi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2023a,b). The Aeromonas veronii bacteria causes serious symptoms in fishes include skin ulcers, hemorrhage and fin rot (Ibrahim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2022a).</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Qualitative phytochemical studies</w:t>
      </w:r>
    </w:p>
    <w:tbl>
      <w:tblPr>
        <w:tblW w:w="924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1"/>
        <w:gridCol w:w="1523"/>
        <w:gridCol w:w="2136"/>
        <w:gridCol w:w="2630"/>
        <w:gridCol w:w="2202"/>
      </w:tblGrid>
      <w:tr>
        <w:tblPrEx>
          <w:shd w:val="clear" w:color="auto" w:fill="ced7e7"/>
        </w:tblPrEx>
        <w:trPr>
          <w:trHeight w:val="755"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S .No</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Test</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Ethyl acetate                                    extract (EAE)</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Acetone</w:t>
            </w:r>
            <w:r>
              <w:rPr>
                <w:rStyle w:val="None"/>
                <w:rFonts w:ascii="Times New Roman" w:hAnsi="Times New Roman" w:hint="default"/>
                <w:b w:val="1"/>
                <w:bCs w:val="1"/>
                <w:kern w:val="0"/>
                <w:sz w:val="24"/>
                <w:szCs w:val="24"/>
                <w:shd w:val="nil" w:color="auto" w:fill="auto"/>
                <w:rtl w:val="0"/>
                <w:lang w:val="en-US"/>
              </w:rPr>
              <w:t xml:space="preserve">    </w:t>
            </w:r>
            <w:r>
              <w:rPr>
                <w:rStyle w:val="None"/>
                <w:rFonts w:ascii="Times New Roman" w:hAnsi="Times New Roman"/>
                <w:b w:val="1"/>
                <w:bCs w:val="1"/>
                <w:kern w:val="0"/>
                <w:sz w:val="24"/>
                <w:szCs w:val="24"/>
                <w:shd w:val="nil" w:color="auto" w:fill="auto"/>
                <w:rtl w:val="0"/>
                <w:lang w:val="en-US"/>
              </w:rPr>
              <w:t>extract (ACE)</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Methanol extract (ME)</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Alkaloids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Flavonoids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Tannins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Terpenoids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Carbohydrate</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6.</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Protein</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7.</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Phenol</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8.</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Glycosides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9.</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Steroids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Saponins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bl>
    <w:p>
      <w:pPr>
        <w:pStyle w:val="Normal.0"/>
        <w:widowControl w:val="0"/>
        <w:spacing w:after="0" w:line="240" w:lineRule="auto"/>
        <w:ind w:left="108" w:hanging="108"/>
        <w:rPr>
          <w:rStyle w:val="None"/>
          <w:rFonts w:ascii="Times New Roman" w:cs="Times New Roman" w:hAnsi="Times New Roman" w:eastAsia="Times New Roman"/>
          <w:kern w:val="0"/>
          <w:sz w:val="24"/>
          <w:szCs w:val="24"/>
        </w:rPr>
      </w:pPr>
    </w:p>
    <w:p>
      <w:pPr>
        <w:pStyle w:val="Normal.0"/>
        <w:widowControl w:val="0"/>
        <w:spacing w:after="0" w:line="24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indicates presence and - indicates absence</w:t>
      </w:r>
      <w:r>
        <w:rPr>
          <w:rStyle w:val="Hyperlink.1"/>
          <w:rtl w:val="0"/>
          <w:lang w:val="en-US"/>
        </w:rPr>
        <w:t> </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 Phytochemical constituents in different</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leaf extracts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Leucas</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aspera</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plant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phytochemical screening of ethyl acetate, acetone and methanol crude extracts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xml:space="preserve"> plant leaves showed the presence of alkaloids, flavonoids, tannin, carbohydrates, phenol and saponins. The ethyl acetate extract showed the presence of bioactive components such as alkaloid, flavonoid and tannin. The acetone extract showed the presence of alkaloid, tannin, carbohydrate, phenol and saponin. The methanol crude extact indicated the presence of alkaloid, flavonoid, tannin, phenol and saponin. The maximum number of phytochemicals were found in acetone and methanol crude extract and the results were summarized in Table </w:t>
      </w:r>
      <w:r>
        <w:rPr>
          <w:rStyle w:val="Hyperlink.1"/>
          <w:rtl w:val="0"/>
          <w:lang w:val="en-US"/>
        </w:rPr>
        <w:t xml:space="preserve">– </w:t>
      </w:r>
      <w:r>
        <w:rPr>
          <w:rStyle w:val="Hyperlink.1"/>
          <w:rtl w:val="0"/>
          <w:lang w:val="en-US"/>
        </w:rPr>
        <w:t>1</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Antibacterial activity of crude extracts</w:t>
      </w:r>
    </w:p>
    <w:tbl>
      <w:tblPr>
        <w:tblW w:w="6358" w:type="dxa"/>
        <w:jc w:val="left"/>
        <w:tblInd w:w="149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63"/>
        <w:gridCol w:w="1083"/>
        <w:gridCol w:w="1128"/>
        <w:gridCol w:w="1128"/>
        <w:gridCol w:w="1128"/>
        <w:gridCol w:w="1128"/>
      </w:tblGrid>
      <w:tr>
        <w:tblPrEx>
          <w:shd w:val="clear" w:color="auto" w:fill="ced7e7"/>
        </w:tblPrEx>
        <w:trPr>
          <w:trHeight w:val="310" w:hRule="atLeast"/>
        </w:trPr>
        <w:tc>
          <w:tcPr>
            <w:tcW w:type="dxa" w:w="7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S. No</w:t>
            </w:r>
          </w:p>
        </w:tc>
        <w:tc>
          <w:tcPr>
            <w:tcW w:type="dxa" w:w="108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Extracts</w:t>
            </w:r>
          </w:p>
        </w:tc>
        <w:tc>
          <w:tcPr>
            <w:tcW w:type="dxa" w:w="4512"/>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Zone of inhibition in mm</w:t>
            </w:r>
          </w:p>
        </w:tc>
      </w:tr>
      <w:tr>
        <w:tblPrEx>
          <w:shd w:val="clear" w:color="auto" w:fill="ced7e7"/>
        </w:tblPrEx>
        <w:trPr>
          <w:trHeight w:val="310" w:hRule="atLeast"/>
        </w:trPr>
        <w:tc>
          <w:tcPr>
            <w:tcW w:type="dxa" w:w="7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08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10</w:t>
            </w:r>
            <w:r>
              <w:rPr>
                <w:rStyle w:val="None"/>
                <w:rFonts w:ascii="Times New Roman" w:hAnsi="Times New Roman" w:hint="default"/>
                <w:b w:val="1"/>
                <w:bCs w:val="1"/>
                <w:kern w:val="0"/>
                <w:sz w:val="24"/>
                <w:szCs w:val="24"/>
                <w:shd w:val="nil" w:color="auto" w:fill="auto"/>
                <w:rtl w:val="0"/>
                <w:lang w:val="en-US"/>
              </w:rPr>
              <w:t>µ</w:t>
            </w:r>
            <w:r>
              <w:rPr>
                <w:rStyle w:val="None"/>
                <w:rFonts w:ascii="Times New Roman" w:hAnsi="Times New Roman"/>
                <w:b w:val="1"/>
                <w:bCs w:val="1"/>
                <w:kern w:val="0"/>
                <w:sz w:val="24"/>
                <w:szCs w:val="24"/>
                <w:shd w:val="nil" w:color="auto" w:fill="auto"/>
                <w:rtl w:val="0"/>
                <w:lang w:val="en-US"/>
              </w:rPr>
              <w:t>l</w:t>
            </w:r>
          </w:p>
        </w:tc>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20</w:t>
            </w:r>
            <w:r>
              <w:rPr>
                <w:rStyle w:val="None"/>
                <w:rFonts w:ascii="Times New Roman" w:hAnsi="Times New Roman" w:hint="default"/>
                <w:b w:val="1"/>
                <w:bCs w:val="1"/>
                <w:kern w:val="0"/>
                <w:sz w:val="24"/>
                <w:szCs w:val="24"/>
                <w:shd w:val="nil" w:color="auto" w:fill="auto"/>
                <w:rtl w:val="0"/>
                <w:lang w:val="en-US"/>
              </w:rPr>
              <w:t>µ</w:t>
            </w:r>
            <w:r>
              <w:rPr>
                <w:rStyle w:val="None"/>
                <w:rFonts w:ascii="Times New Roman" w:hAnsi="Times New Roman"/>
                <w:b w:val="1"/>
                <w:bCs w:val="1"/>
                <w:kern w:val="0"/>
                <w:sz w:val="24"/>
                <w:szCs w:val="24"/>
                <w:shd w:val="nil" w:color="auto" w:fill="auto"/>
                <w:rtl w:val="0"/>
                <w:lang w:val="en-US"/>
              </w:rPr>
              <w:t>l</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30</w:t>
            </w:r>
            <w:r>
              <w:rPr>
                <w:rStyle w:val="None"/>
                <w:rFonts w:ascii="Times New Roman" w:hAnsi="Times New Roman" w:hint="default"/>
                <w:b w:val="1"/>
                <w:bCs w:val="1"/>
                <w:kern w:val="0"/>
                <w:sz w:val="24"/>
                <w:szCs w:val="24"/>
                <w:shd w:val="nil" w:color="auto" w:fill="auto"/>
                <w:rtl w:val="0"/>
                <w:lang w:val="en-US"/>
              </w:rPr>
              <w:t>µ</w:t>
            </w:r>
            <w:r>
              <w:rPr>
                <w:rStyle w:val="None"/>
                <w:rFonts w:ascii="Times New Roman" w:hAnsi="Times New Roman"/>
                <w:b w:val="1"/>
                <w:bCs w:val="1"/>
                <w:kern w:val="0"/>
                <w:sz w:val="24"/>
                <w:szCs w:val="24"/>
                <w:shd w:val="nil" w:color="auto" w:fill="auto"/>
                <w:rtl w:val="0"/>
                <w:lang w:val="en-US"/>
              </w:rPr>
              <w:t>l</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40</w:t>
            </w:r>
            <w:r>
              <w:rPr>
                <w:rStyle w:val="None"/>
                <w:rFonts w:ascii="Times New Roman" w:hAnsi="Times New Roman" w:hint="default"/>
                <w:b w:val="1"/>
                <w:bCs w:val="1"/>
                <w:kern w:val="0"/>
                <w:sz w:val="24"/>
                <w:szCs w:val="24"/>
                <w:shd w:val="nil" w:color="auto" w:fill="auto"/>
                <w:rtl w:val="0"/>
                <w:lang w:val="en-US"/>
              </w:rPr>
              <w:t>µ</w:t>
            </w:r>
            <w:r>
              <w:rPr>
                <w:rStyle w:val="None"/>
                <w:rFonts w:ascii="Times New Roman" w:hAnsi="Times New Roman"/>
                <w:b w:val="1"/>
                <w:bCs w:val="1"/>
                <w:kern w:val="0"/>
                <w:sz w:val="24"/>
                <w:szCs w:val="24"/>
                <w:shd w:val="nil" w:color="auto" w:fill="auto"/>
                <w:rtl w:val="0"/>
                <w:lang w:val="en-US"/>
              </w:rPr>
              <w:t>l</w:t>
            </w:r>
          </w:p>
        </w:tc>
      </w:tr>
      <w:tr>
        <w:tblPrEx>
          <w:shd w:val="clear" w:color="auto" w:fill="ced7e7"/>
        </w:tblPrEx>
        <w:trPr>
          <w:trHeight w:val="310" w:hRule="atLeast"/>
        </w:trPr>
        <w:tc>
          <w:tcPr>
            <w:tcW w:type="dxa" w:w="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w:t>
            </w:r>
          </w:p>
        </w:tc>
        <w:tc>
          <w:tcPr>
            <w:tcW w:type="dxa" w:w="1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EAE</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w:t>
            </w:r>
          </w:p>
        </w:tc>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5.29</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2.08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3.21</w:t>
            </w:r>
          </w:p>
        </w:tc>
      </w:tr>
      <w:tr>
        <w:tblPrEx>
          <w:shd w:val="clear" w:color="auto" w:fill="ced7e7"/>
        </w:tblPrEx>
        <w:trPr>
          <w:trHeight w:val="310" w:hRule="atLeast"/>
        </w:trPr>
        <w:tc>
          <w:tcPr>
            <w:tcW w:type="dxa" w:w="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w:t>
            </w:r>
          </w:p>
        </w:tc>
        <w:tc>
          <w:tcPr>
            <w:tcW w:type="dxa" w:w="1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ACE</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2.08</w:t>
            </w:r>
          </w:p>
        </w:tc>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2.08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1.15</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0.57</w:t>
            </w:r>
          </w:p>
        </w:tc>
      </w:tr>
      <w:tr>
        <w:tblPrEx>
          <w:shd w:val="clear" w:color="auto" w:fill="ced7e7"/>
        </w:tblPrEx>
        <w:trPr>
          <w:trHeight w:val="310" w:hRule="atLeast"/>
        </w:trPr>
        <w:tc>
          <w:tcPr>
            <w:tcW w:type="dxa" w:w="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w:t>
            </w:r>
          </w:p>
        </w:tc>
        <w:tc>
          <w:tcPr>
            <w:tcW w:type="dxa" w:w="1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ME</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2.08</w:t>
            </w:r>
          </w:p>
        </w:tc>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1.15</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0.47</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0.94</w:t>
            </w:r>
          </w:p>
        </w:tc>
      </w:tr>
    </w:tbl>
    <w:p>
      <w:pPr>
        <w:pStyle w:val="Normal.0"/>
        <w:widowControl w:val="0"/>
        <w:spacing w:after="0" w:line="240" w:lineRule="auto"/>
        <w:ind w:left="1386" w:hanging="1386"/>
        <w:rPr>
          <w:rStyle w:val="None"/>
          <w:rFonts w:ascii="Times New Roman" w:cs="Times New Roman" w:hAnsi="Times New Roman" w:eastAsia="Times New Roman"/>
          <w:kern w:val="0"/>
          <w:sz w:val="24"/>
          <w:szCs w:val="24"/>
        </w:rPr>
      </w:pPr>
    </w:p>
    <w:p>
      <w:pPr>
        <w:pStyle w:val="Normal.0"/>
        <w:widowControl w:val="0"/>
        <w:spacing w:after="0" w:line="240" w:lineRule="auto"/>
        <w:ind w:left="1278" w:hanging="1278"/>
        <w:jc w:val="both"/>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Antibacterial activity of different crude extracts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Leucas aspera</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plant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antibacterial activity of different crude extracts were evaluated against the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 veronii</w:t>
      </w:r>
      <w:r>
        <w:rPr>
          <w:rStyle w:val="Hyperlink.1"/>
          <w:rtl w:val="0"/>
          <w:lang w:val="en-US"/>
        </w:rPr>
        <w:t xml:space="preserve"> bacteria. The maximum zone of inhibition were observed in ethyl acetate, acetone and methanol extracts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Leucas aspera </w:t>
      </w:r>
      <w:r>
        <w:rPr>
          <w:rStyle w:val="Hyperlink.1"/>
          <w:rtl w:val="0"/>
          <w:lang w:val="en-US"/>
        </w:rPr>
        <w:t xml:space="preserve">were 14 </w:t>
      </w:r>
      <w:r>
        <w:rPr>
          <w:rStyle w:val="Hyperlink.1"/>
          <w:rtl w:val="0"/>
          <w:lang w:val="en-US"/>
        </w:rPr>
        <w:t xml:space="preserve">± </w:t>
      </w:r>
      <w:r>
        <w:rPr>
          <w:rStyle w:val="Hyperlink.1"/>
          <w:rtl w:val="0"/>
          <w:lang w:val="en-US"/>
        </w:rPr>
        <w:t xml:space="preserve">3.21 mm, 15 </w:t>
      </w:r>
      <w:r>
        <w:rPr>
          <w:rStyle w:val="Hyperlink.1"/>
          <w:rtl w:val="0"/>
          <w:lang w:val="en-US"/>
        </w:rPr>
        <w:t xml:space="preserve">± </w:t>
      </w:r>
      <w:r>
        <w:rPr>
          <w:rStyle w:val="Hyperlink.1"/>
          <w:rtl w:val="0"/>
          <w:lang w:val="en-US"/>
        </w:rPr>
        <w:t xml:space="preserve">0.57 mm and 16 </w:t>
      </w:r>
      <w:r>
        <w:rPr>
          <w:rStyle w:val="Hyperlink.1"/>
          <w:rtl w:val="0"/>
          <w:lang w:val="en-US"/>
        </w:rPr>
        <w:t xml:space="preserve">± </w:t>
      </w:r>
      <w:r>
        <w:rPr>
          <w:rStyle w:val="Hyperlink.1"/>
          <w:rtl w:val="0"/>
          <w:lang w:val="en-US"/>
        </w:rPr>
        <w:t xml:space="preserve">0.94 </w:t>
      </w:r>
      <w:r>
        <w:rPr>
          <w:rStyle w:val="Hyperlink.1"/>
          <w:rtl w:val="0"/>
          <w:lang w:val="en-US"/>
        </w:rPr>
        <w:t xml:space="preserve">  </w:t>
      </w:r>
      <w:r>
        <w:rPr>
          <w:rStyle w:val="Hyperlink.1"/>
          <w:rtl w:val="0"/>
          <w:lang w:val="en-US"/>
        </w:rPr>
        <w:t xml:space="preserve">mm of 40 </w:t>
      </w:r>
      <w:r>
        <w:rPr>
          <w:rStyle w:val="Hyperlink.1"/>
          <w:rtl w:val="0"/>
          <w:lang w:val="en-US"/>
        </w:rPr>
        <w:t>µ</w:t>
      </w:r>
      <w:r>
        <w:rPr>
          <w:rStyle w:val="Hyperlink.1"/>
          <w:rtl w:val="0"/>
          <w:lang w:val="en-US"/>
        </w:rPr>
        <w:t xml:space="preserve">l concentration. Similarly, the minimum zone of inhibition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 veronii</w:t>
      </w:r>
      <w:r>
        <w:rPr>
          <w:rStyle w:val="Hyperlink.1"/>
          <w:rtl w:val="0"/>
          <w:lang w:val="en-US"/>
        </w:rPr>
        <w:t xml:space="preserve">  </w:t>
      </w:r>
      <w:r>
        <w:rPr>
          <w:rStyle w:val="Hyperlink.1"/>
          <w:rtl w:val="0"/>
          <w:lang w:val="en-US"/>
        </w:rPr>
        <w:t xml:space="preserve">was showed in 13 </w:t>
      </w:r>
      <w:r>
        <w:rPr>
          <w:rStyle w:val="Hyperlink.1"/>
          <w:rtl w:val="0"/>
          <w:lang w:val="en-US"/>
        </w:rPr>
        <w:t xml:space="preserve">± </w:t>
      </w:r>
      <w:r>
        <w:rPr>
          <w:rStyle w:val="Hyperlink.1"/>
          <w:rtl w:val="0"/>
          <w:lang w:val="en-US"/>
        </w:rPr>
        <w:t xml:space="preserve">2.08mm of 10 </w:t>
      </w:r>
      <w:r>
        <w:rPr>
          <w:rStyle w:val="Hyperlink.1"/>
          <w:rtl w:val="0"/>
          <w:lang w:val="en-US"/>
        </w:rPr>
        <w:t>µ</w:t>
      </w:r>
      <w:r>
        <w:rPr>
          <w:rStyle w:val="Hyperlink.1"/>
          <w:rtl w:val="0"/>
          <w:lang w:val="en-US"/>
        </w:rPr>
        <w:t xml:space="preserve">l concentration of acetone extract, 14 </w:t>
      </w:r>
      <w:r>
        <w:rPr>
          <w:rStyle w:val="Hyperlink.1"/>
          <w:rtl w:val="0"/>
          <w:lang w:val="en-US"/>
        </w:rPr>
        <w:t xml:space="preserve">± </w:t>
      </w:r>
      <w:r>
        <w:rPr>
          <w:rStyle w:val="Hyperlink.1"/>
          <w:rtl w:val="0"/>
          <w:lang w:val="en-US"/>
        </w:rPr>
        <w:t xml:space="preserve">2.08mm of 10 </w:t>
      </w:r>
      <w:r>
        <w:rPr>
          <w:rStyle w:val="Hyperlink.1"/>
          <w:rtl w:val="0"/>
          <w:lang w:val="en-US"/>
        </w:rPr>
        <w:t>µ</w:t>
      </w:r>
      <w:r>
        <w:rPr>
          <w:rStyle w:val="Hyperlink.1"/>
          <w:rtl w:val="0"/>
          <w:lang w:val="en-US"/>
        </w:rPr>
        <w:t>l concentration of methanol extract and</w:t>
      </w:r>
      <w:r>
        <w:rPr>
          <w:rStyle w:val="Hyperlink.1"/>
          <w:rtl w:val="0"/>
          <w:lang w:val="en-US"/>
        </w:rPr>
        <w:t xml:space="preserve">  </w:t>
      </w:r>
      <w:r>
        <w:rPr>
          <w:rStyle w:val="Hyperlink.1"/>
          <w:rtl w:val="0"/>
          <w:lang w:val="en-US"/>
        </w:rPr>
        <w:t>no zone of inhibition were observed in 10</w:t>
      </w:r>
      <w:r>
        <w:rPr>
          <w:rStyle w:val="Hyperlink.1"/>
          <w:rtl w:val="0"/>
          <w:lang w:val="en-US"/>
        </w:rPr>
        <w:t>µ</w:t>
      </w:r>
      <w:r>
        <w:rPr>
          <w:rStyle w:val="Hyperlink.1"/>
          <w:rtl w:val="0"/>
          <w:lang w:val="en-US"/>
        </w:rPr>
        <w:t xml:space="preserve">l concentration of ethyl acetate crude extract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xml:space="preserve"> Similar results of ethyl acetate and methanol extracts showed as an antibacterial agent against certain bacteria at different concentrations (Ilango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2008). The results of antibacterial activity of the crude extracts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xml:space="preserve"> plant were presented in Table </w:t>
      </w:r>
      <w:r>
        <w:rPr>
          <w:rStyle w:val="Hyperlink.1"/>
          <w:rtl w:val="0"/>
          <w:lang w:val="en-US"/>
        </w:rPr>
        <w:t xml:space="preserve">– </w:t>
      </w:r>
      <w:r>
        <w:rPr>
          <w:rStyle w:val="Hyperlink.1"/>
          <w:rtl w:val="0"/>
          <w:lang w:val="en-US"/>
        </w:rPr>
        <w:t>2</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r>
        <w:rPr>
          <w:rStyle w:val="Hyperlink.1"/>
          <w:rtl w:val="0"/>
          <w:lang w:val="en-US"/>
        </w:rPr>
        <w:t>In this study, acetone and methanol crude extracts of</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xml:space="preserve"> plantposses high antibacterial activity compared to ethyl acetate extract. This work clearly indicates that phytochemicals found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xml:space="preserve"> plant were responsible for antibacterial activity.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Chopra, R.N., Nayar, S.L., Chopra, I.C.,</w:t>
      </w:r>
      <w:r>
        <w:rPr>
          <w:rStyle w:val="Hyperlink.1"/>
          <w:rtl w:val="0"/>
          <w:lang w:val="en-US"/>
        </w:rPr>
        <w:t xml:space="preserve"> Glossary of Indian medicinal plant. National institute of science communication and information resources. New Delhi: Council of Scientific and Industrial Research (CSIR); 2002, p. 153.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Ghafarifarsani H, Hoseinifar, S.H., Molayemraftar T, Raeeszadeh M, Van Doan H, 2023b.</w:t>
      </w:r>
      <w:r>
        <w:rPr>
          <w:rStyle w:val="Hyperlink.1"/>
          <w:rtl w:val="0"/>
          <w:lang w:val="en-US"/>
        </w:rPr>
        <w:t xml:space="preserve"> Pot marigold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Calendula officinalis</w:t>
      </w:r>
      <w:r>
        <w:rPr>
          <w:rStyle w:val="Hyperlink.1"/>
          <w:rtl w:val="0"/>
          <w:lang w:val="en-US"/>
        </w:rPr>
        <w:t>) powder in rainbow trout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Oncorhynchus mykiss</w:t>
      </w:r>
      <w:r>
        <w:rPr>
          <w:rStyle w:val="Hyperlink.1"/>
          <w:rtl w:val="0"/>
          <w:lang w:val="en-US"/>
        </w:rPr>
        <w:t xml:space="preserve">) feed: effects on growth, immunity,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Yersinia ruckeri</w:t>
      </w:r>
      <w:r>
        <w:rPr>
          <w:rStyle w:val="Hyperlink.1"/>
          <w:rtl w:val="0"/>
          <w:lang w:val="en-US"/>
        </w:rPr>
        <w:t>resistance. AquacNutr, 7785722.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Ibrahim, R.E., Amer, S.A., Shahin, S.A., Darwish, M.I., Albogami S, Abdelwarith, A.A.,Younis, E.M., Abduljabbar, M.H., Davies, S.J., Attia, G.A., 2022a</w:t>
      </w:r>
      <w:r>
        <w:rPr>
          <w:rStyle w:val="Hyperlink.1"/>
          <w:rtl w:val="0"/>
          <w:lang w:val="en-US"/>
        </w:rPr>
        <w:t>. Effect of fish meal substitution withdried bovine hemoglobin on the growth, blood hematology, antioxidant activity and related genes expression, and tissue histoarchitecture of Nile tilapia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Oreochromis niloticus</w:t>
      </w:r>
      <w:r>
        <w:rPr>
          <w:rStyle w:val="Hyperlink.1"/>
          <w:rtl w:val="0"/>
          <w:lang w:val="en-US"/>
        </w:rPr>
        <w:t>). Aquac Rep 26:101276.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Ilango, K., Ramya, S. &amp; Gopinath, G, 2008.</w:t>
      </w:r>
      <w:r>
        <w:rPr>
          <w:rStyle w:val="Hyperlink.1"/>
          <w:rtl w:val="0"/>
          <w:lang w:val="en-US"/>
        </w:rPr>
        <w:t xml:space="preserve"> Antibacterial activity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Leucas aspera </w:t>
      </w:r>
      <w:r>
        <w:rPr>
          <w:rStyle w:val="Hyperlink.1"/>
          <w:rtl w:val="0"/>
          <w:lang w:val="en-US"/>
        </w:rPr>
        <w:t>spreng. International Journal of Chemical Science, 6(2),526-530.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Mohammadhosseini, M., 2017.</w:t>
      </w:r>
      <w:r>
        <w:rPr>
          <w:rStyle w:val="Hyperlink.1"/>
          <w:rtl w:val="0"/>
          <w:lang w:val="en-US"/>
        </w:rPr>
        <w:t xml:space="preserve"> The ethnobotanical, phytochemical and pharmacological properties and medicinal applications of essential oils and extracts of different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Ziziphora</w:t>
      </w:r>
      <w:r>
        <w:rPr>
          <w:rStyle w:val="Hyperlink.1"/>
          <w:rtl w:val="0"/>
          <w:lang w:val="en-US"/>
        </w:rPr>
        <w:t>species. Ind. Crops Prod. 105(1), 164-192.</w:t>
        <w:tab/>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Mukherjee, A.K., Basu S, Sarkar N, Ghosh, A.C., 2001.</w:t>
      </w:r>
      <w:r>
        <w:rPr>
          <w:rStyle w:val="Hyperlink.1"/>
          <w:rtl w:val="0"/>
          <w:lang w:val="en-US"/>
        </w:rPr>
        <w:t xml:space="preserve">  </w:t>
      </w:r>
      <w:r>
        <w:rPr>
          <w:rStyle w:val="Hyperlink.1"/>
          <w:rtl w:val="0"/>
          <w:lang w:val="en-US"/>
        </w:rPr>
        <w:t>Advances in cancer therapy with plant based natural products. Curr Med Chem. 8:1467- 86.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Parte, A.C.,2013.</w:t>
      </w:r>
      <w:r>
        <w:rPr>
          <w:rStyle w:val="Hyperlink.1"/>
          <w:rtl w:val="0"/>
          <w:lang w:val="en-US"/>
        </w:rPr>
        <w:t xml:space="preserve"> LPSN</w:t>
      </w:r>
      <w:r>
        <w:rPr>
          <w:rStyle w:val="Hyperlink.1"/>
          <w:rtl w:val="0"/>
          <w:lang w:val="en-US"/>
        </w:rPr>
        <w:t>—</w:t>
      </w:r>
      <w:r>
        <w:rPr>
          <w:rStyle w:val="Hyperlink.1"/>
          <w:rtl w:val="0"/>
          <w:lang w:val="en-US"/>
        </w:rPr>
        <w:t>List of prokaryotic names with standing in nomenclature. Nucleic Acids Res. 42, 613</w:t>
      </w:r>
      <w:r>
        <w:rPr>
          <w:rStyle w:val="Hyperlink.1"/>
          <w:rtl w:val="0"/>
          <w:lang w:val="en-US"/>
        </w:rPr>
        <w:t>–</w:t>
      </w:r>
      <w:r>
        <w:rPr>
          <w:rStyle w:val="Hyperlink.1"/>
          <w:rtl w:val="0"/>
          <w:lang w:val="en-US"/>
        </w:rPr>
        <w:t>616. [</w:t>
      </w:r>
      <w:r>
        <w:rPr>
          <w:rStyle w:val="None"/>
          <w:rFonts w:ascii="Times New Roman" w:hAnsi="Times New Roman"/>
          <w:outline w:val="0"/>
          <w:color w:val="0875b8"/>
          <w:kern w:val="0"/>
          <w:sz w:val="24"/>
          <w:szCs w:val="24"/>
          <w:u w:color="0875b8"/>
          <w:rtl w:val="0"/>
          <w:lang w:val="en-US"/>
          <w14:textFill>
            <w14:solidFill>
              <w14:srgbClr w14:val="0875B8"/>
            </w14:solidFill>
          </w14:textFill>
        </w:rPr>
        <w:t>CrossRef</w:t>
      </w:r>
      <w:r>
        <w:rPr>
          <w:rStyle w:val="Hyperlink.1"/>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Pavunraj, M., Baskar, K., Janarthanan, S., Arumugam, M., 2014.</w:t>
      </w:r>
      <w:r>
        <w:rPr>
          <w:rStyle w:val="Hyperlink.1"/>
          <w:rtl w:val="0"/>
          <w:lang w:val="en-US"/>
        </w:rPr>
        <w:t xml:space="preserve"> Antibacterial and antifeedant activities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Spilanthesacmella</w:t>
      </w:r>
      <w:r>
        <w:rPr>
          <w:rStyle w:val="Hyperlink.1"/>
          <w:rtl w:val="0"/>
          <w:lang w:val="en-US"/>
        </w:rPr>
        <w:t xml:space="preserve">leaf extract against Gram-negative and Gram-positive bacteria and brinjal fruit borer,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Leucinodesorbonalis</w:t>
      </w:r>
      <w:r>
        <w:rPr>
          <w:rStyle w:val="Hyperlink.1"/>
          <w:rtl w:val="0"/>
          <w:lang w:val="en-US"/>
        </w:rPr>
        <w:t>larvae. J. Coast Life Med. 2(12), 980-985.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Quiroga, E.N., Sampietro, A.R., Vattuone, M.A., 2001.</w:t>
      </w:r>
      <w:r>
        <w:rPr>
          <w:rStyle w:val="Hyperlink.1"/>
          <w:rtl w:val="0"/>
          <w:lang w:val="en-US"/>
        </w:rPr>
        <w:t xml:space="preserve"> Screening antifungal activities of selected medicinal plants. J Ethnopharmacol, 74:89-96.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Yousefi M, Farsani, M.N., Ghafarifarsani H, Raeeszadeh M, 2023a.</w:t>
      </w:r>
      <w:r>
        <w:rPr>
          <w:rStyle w:val="Hyperlink.1"/>
          <w:rtl w:val="0"/>
          <w:lang w:val="en-US"/>
        </w:rPr>
        <w:t xml:space="preserve"> Dietary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Lactobacillus helveticus</w:t>
      </w:r>
      <w:r>
        <w:rPr>
          <w:rStyle w:val="Hyperlink.1"/>
          <w:rtl w:val="0"/>
          <w:lang w:val="en-US"/>
        </w:rPr>
        <w:t>and gum Arabic improves growth indices, digestive enzyme activities, intestinal microbiota, innate immunological parameters, antioxidant capacity, and disease resistance in common carp. Fish Shellfish Immunol 135:108652.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Yousefi M, Ghafarifarsani H, Raissy M, Yilmaz S, Vatnikov, Y.A., Kulikov, E.V., 2023b.</w:t>
      </w:r>
      <w:r>
        <w:rPr>
          <w:rStyle w:val="Hyperlink.1"/>
          <w:rtl w:val="0"/>
          <w:lang w:val="en-US"/>
        </w:rPr>
        <w:t xml:space="preserve"> Effects of dietary malic acid supplementation on growth performance, antioxidant and immunological parameters, and intestinal gene expressions in rainbow trout.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Oncorhynchus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mykiss </w:t>
      </w:r>
      <w:r>
        <w:rPr>
          <w:rStyle w:val="Hyperlink.1"/>
          <w:rtl w:val="0"/>
          <w:lang w:val="en-US"/>
        </w:rPr>
        <w:t>Aquaculture 563:738864.</w:t>
      </w: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 xml:space="preserve">PHYTOGENIC POTENTIAL OF </w:t>
      </w:r>
      <w:r>
        <w:rPr>
          <w:rStyle w:val="None"/>
          <w:b w:val="1"/>
          <w:bCs w:val="1"/>
          <w:i w:val="1"/>
          <w:iCs w:val="1"/>
          <w:outline w:val="0"/>
          <w:color w:val="000000"/>
          <w:kern w:val="0"/>
          <w:u w:color="000000"/>
          <w:rtl w:val="0"/>
          <w:lang w:val="en-US"/>
          <w14:textFill>
            <w14:solidFill>
              <w14:srgbClr w14:val="000000"/>
            </w14:solidFill>
          </w14:textFill>
        </w:rPr>
        <w:t>PSIDIUM GUAJAVA</w:t>
      </w:r>
      <w:r>
        <w:rPr>
          <w:rStyle w:val="None"/>
          <w:b w:val="1"/>
          <w:bCs w:val="1"/>
          <w:outline w:val="0"/>
          <w:color w:val="000000"/>
          <w:kern w:val="0"/>
          <w:u w:color="000000"/>
          <w:rtl w:val="0"/>
          <w:lang w:val="en-US"/>
          <w14:textFill>
            <w14:solidFill>
              <w14:srgbClr w14:val="000000"/>
            </w14:solidFill>
          </w14:textFill>
        </w:rPr>
        <w:t xml:space="preserve"> LEAVES IN                   ORNAMENTAL AQUACULTURE: ENHANCING GROWTH AND RESISTANCE TO </w:t>
      </w:r>
      <w:r>
        <w:rPr>
          <w:rStyle w:val="None"/>
          <w:b w:val="1"/>
          <w:bCs w:val="1"/>
          <w:i w:val="1"/>
          <w:iCs w:val="1"/>
          <w:outline w:val="0"/>
          <w:color w:val="000000"/>
          <w:kern w:val="0"/>
          <w:u w:color="000000"/>
          <w:rtl w:val="0"/>
          <w:lang w:val="en-US"/>
          <w14:textFill>
            <w14:solidFill>
              <w14:srgbClr w14:val="000000"/>
            </w14:solidFill>
          </w14:textFill>
        </w:rPr>
        <w:t>AEROMONAS HYDROPHILA</w:t>
      </w:r>
      <w:r>
        <w:rPr>
          <w:rStyle w:val="None"/>
          <w:b w:val="1"/>
          <w:bCs w:val="1"/>
          <w:outline w:val="0"/>
          <w:color w:val="000000"/>
          <w:kern w:val="0"/>
          <w:u w:color="000000"/>
          <w:rtl w:val="0"/>
          <w:lang w:val="en-US"/>
          <w14:textFill>
            <w14:solidFill>
              <w14:srgbClr w14:val="000000"/>
            </w14:solidFill>
          </w14:textFill>
        </w:rPr>
        <w:t xml:space="preserve"> ST1 IN </w:t>
      </w:r>
      <w:r>
        <w:rPr>
          <w:rStyle w:val="None"/>
          <w:b w:val="1"/>
          <w:bCs w:val="1"/>
          <w:i w:val="1"/>
          <w:iCs w:val="1"/>
          <w:outline w:val="0"/>
          <w:color w:val="000000"/>
          <w:kern w:val="0"/>
          <w:u w:color="000000"/>
          <w:rtl w:val="0"/>
          <w:lang w:val="en-US"/>
          <w14:textFill>
            <w14:solidFill>
              <w14:srgbClr w14:val="000000"/>
            </w14:solidFill>
          </w14:textFill>
        </w:rPr>
        <w:t>POECILIA SPHENOPS.</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Harish. A</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1*</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Raja Jeya Sekar. R</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1</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Vijila. S.M</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2</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P.G. and Research Department of Zoology, S.T. Hindu College, Nagercoil-629002,</w:t>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Affiliated to ManonmaniamSundaranar University, Tirunelveli, Tamilnadu, India.</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2</w:t>
      </w:r>
      <w:r>
        <w:rPr>
          <w:rStyle w:val="Hyperlink.1"/>
          <w:rtl w:val="0"/>
          <w:lang w:val="en-US"/>
        </w:rPr>
        <w:t>Department of Zoology, Pioneer Kumaraswamy College, Nagercoil-629003,</w:t>
      </w:r>
      <w:r>
        <w:rPr>
          <w:rStyle w:val="Hyperlink.1"/>
          <w:rtl w:val="0"/>
          <w:lang w:val="en-US"/>
        </w:rPr>
        <w:t> </w:t>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tl w:val="0"/>
          <w:lang w:val="en-US"/>
        </w:rPr>
        <w:t>Affiliated to ManonmaniamSundaranar University, Tirunelveli, Tamilnadu, India.</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w:t>
      </w:r>
      <w:r>
        <w:rPr>
          <w:rStyle w:val="Hyperlink.1"/>
          <w:rtl w:val="0"/>
          <w:lang w:val="en-US"/>
        </w:rPr>
        <w:t>(Corresponding author</w:t>
      </w:r>
      <w:r>
        <w:rPr>
          <w:rStyle w:val="Hyperlink.1"/>
          <w:rtl w:val="0"/>
          <w:lang w:val="en-US"/>
        </w:rPr>
        <w:t>’</w:t>
      </w:r>
      <w:r>
        <w:rPr>
          <w:rStyle w:val="Hyperlink.1"/>
          <w:rtl w:val="0"/>
          <w:lang w:val="en-US"/>
        </w:rPr>
        <w:t xml:space="preserve">s Email id: </w:t>
      </w:r>
      <w:r>
        <w:rPr>
          <w:rStyle w:val="Hyperlink.3"/>
        </w:rPr>
        <w:fldChar w:fldCharType="begin" w:fldLock="0"/>
      </w:r>
      <w:r>
        <w:rPr>
          <w:rStyle w:val="Hyperlink.3"/>
        </w:rPr>
        <w:instrText xml:space="preserve"> HYPERLINK "mailto:sekar.rrj@gmail.com"</w:instrText>
      </w:r>
      <w:r>
        <w:rPr>
          <w:rStyle w:val="Hyperlink.3"/>
        </w:rPr>
        <w:fldChar w:fldCharType="separate" w:fldLock="0"/>
      </w:r>
      <w:r>
        <w:rPr>
          <w:rStyle w:val="Hyperlink.3"/>
          <w:rtl w:val="0"/>
          <w:lang w:val="en-US"/>
        </w:rPr>
        <w:t>sekar.rrj@gmail.com</w:t>
      </w:r>
      <w:r>
        <w:rPr/>
        <w:fldChar w:fldCharType="end" w:fldLock="0"/>
      </w:r>
      <w:r>
        <w:rPr>
          <w:rStyle w:val="Hyperlink.1"/>
          <w:rtl w:val="0"/>
          <w:lang w:val="en-US"/>
        </w:rPr>
        <w:t>)</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present study investigated the effects of dietary supplementation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Psidium guajava</w:t>
      </w:r>
      <w:r>
        <w:rPr>
          <w:rStyle w:val="Hyperlink.1"/>
          <w:rtl w:val="0"/>
          <w:lang w:val="en-US"/>
        </w:rPr>
        <w:t xml:space="preserve"> (guava) leaf powder on growth performance and resistance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 hydrophila</w:t>
      </w:r>
      <w:r>
        <w:rPr>
          <w:rStyle w:val="Hyperlink.1"/>
          <w:rtl w:val="0"/>
          <w:lang w:val="en-US"/>
        </w:rPr>
        <w:t xml:space="preserve"> infection in the ornamental fish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Poecilia sphenops</w:t>
      </w:r>
      <w:r>
        <w:rPr>
          <w:rStyle w:val="Hyperlink.1"/>
          <w:rtl w:val="0"/>
          <w:lang w:val="en-US"/>
        </w:rPr>
        <w:t xml:space="preserve">. Fish with an average initial weight of 17.09 g were fed experimental diets containing different levels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for</w:t>
      </w:r>
      <w:r>
        <w:rPr>
          <w:rStyle w:val="Hyperlink.1"/>
          <w:rtl w:val="0"/>
          <w:lang w:val="en-US"/>
        </w:rPr>
        <w:t> </w:t>
      </w:r>
      <w:r>
        <w:rPr>
          <w:rStyle w:val="Hyperlink.1"/>
          <w:rtl w:val="0"/>
          <w:lang w:val="en-US"/>
        </w:rPr>
        <w:t xml:space="preserve">30 days: GD1 (5%), GD2 (10%), GD3 (15%), GD4 (20%), and GD5 (25%). Growth performance parameters, including specific growth rate (SGR) and weight gain (WG), were evaluated at the end of the feeding trial. Subsequently, the fish were challenged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and survival was monitored over a 10-day period. Histopathological examinations of gill tissues were performed following the challenge test. Among the experimental groups, fish fed the GD5 diet exhibited significantly improved growth performance, recording the highest SGR (1.34%) and WG (1.41 </w:t>
      </w:r>
      <w:r>
        <w:rPr>
          <w:rStyle w:val="Hyperlink.1"/>
          <w:rtl w:val="0"/>
          <w:lang w:val="en-US"/>
        </w:rPr>
        <w:t xml:space="preserve">± </w:t>
      </w:r>
      <w:r>
        <w:rPr>
          <w:rStyle w:val="Hyperlink.1"/>
          <w:rtl w:val="0"/>
          <w:lang w:val="en-US"/>
        </w:rPr>
        <w:t xml:space="preserve">0.43 g). Following bacterial challenge, the GD5 group achieved a 100% survival rate, indicating enhanced resistance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Histopathological analysis revealed severe fragmentation of the secondary lamellae and hyperplasia of the primary lamellae in infected fish from the basal diet (BD) and GD1 groups. Fish fed the GD2 diet exhibited only mild pathological alterations, whereas the GD3 and GD4 groups showed minimal secondary lamellar damage and an absence of primary lamellar hyperplasia. Notably, fish receiving the GD5 diet displayed complete restoration of gill architecture, with no evidence of fragmentation or hyperplasia. These findings demonstrated that dietary inclusion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particularly at 25% supplementation (GD5), significantly enhanced growth performance and confers substantial protection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infection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The study highlights the potential application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as a sustainable, plant-based functional feed additive for improving growth, disease resistance, in ornamental aquaculture.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Keywords: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 guajava, P. sphenops, A. hydrophila</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Growth parameters, Histopathology</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r>
        <w:rPr>
          <w:rStyle w:val="Hyperlink.1"/>
          <w:rtl w:val="0"/>
          <w:lang w:val="en-US"/>
        </w:rPr>
        <w:t>Ornamental fish farming is a rapidly increasing industry because of its popularity and extremely profitable exports to a diverse variety of countries (Ahilanb</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2013). The outbreak of several bacterial infections results in significant fish mortality, which results in huge economic losses for ornamental fish farming (Austin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2007). The major bacterial diseases like red fin disease, motile areomonassepticemia, and hemorrhagicsepticemia are caused by a gram-negative fresh water bacteria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(Bisht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2016). Numerous synthetic drug types are used to treat these bacterial diseases, but they are costly and unsuccessful. These synthetic drugs are also harmful to the environment because they promote biomagnification and the emergence of resistant bacterial strains (Citarasu</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2002). Antibiotics that are spread in aquatic habitats will have disastrous impacts on other animals (Kim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2009).</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Plant-derived extracts are used to treat a number of fish ailments in order to enhance natural behaviour and immunity while also preventing infection transmission (Sheeba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 xml:space="preserve">2023). Herbal plants are the best source of antibiotic alternatives for common aquaculture infections (Van Hai and Ngo, 2015). Numerous herbal plant by-products aid in the improvement of fish immune systems (Giri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2015).</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 guajava </w:t>
      </w:r>
      <w:r>
        <w:rPr>
          <w:rStyle w:val="Hyperlink.1"/>
          <w:rtl w:val="0"/>
          <w:lang w:val="en-US"/>
        </w:rPr>
        <w:t xml:space="preserve">is widely available throughout Asia, particularly in India, and is consumed for its exquisite flavour, health benefits, and traditional treatment of a range of diseases (Gutierrez </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2008; Joseph and Priya, 2011). Guava leaves are utilised as a natural antibiotic because they contain active components that serve as anti-bacterial substances. Among these chemical components are tannins, saponins, ethanol, polyphenols, flavonoids, essential oils (eugenol), malic acid, ursolic acid, psidiolic acid, cratogolic acid, oleanolic acid, guajaverin acid, and others (Afifi and Erlin, 2017). Many compounds produced from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including quercetin and flavonoids, have demonstrated therapeutic potential in humans (Joseph and Priya, 2011). Guava leaf extracts have been proven to have antibacterial and anti-inflammatory effects. (Metwally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2010; Biridi</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2010).</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Histopathological study of fish organs is a powerful technique for identifying infections quickly. This approach is particularly useful for detecting pathogen infection in fish organs at an early stage (Takashima and Hibiya, 1995; Genten</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 xml:space="preserve">2009). Pathogens, poisonous substances, adverse dietary and environmental conditions, as well as other stresses, all influence histopathological changes. Furthermore, histopathological biomarkers are reliable indicators of environmental stress because they consider biotic factors and water quality in a comprehensive view of fish health (Segner and Braunbeck, 1988; Handy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2002; Stentiford</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et al., </w:t>
      </w:r>
      <w:r>
        <w:rPr>
          <w:rStyle w:val="Hyperlink.1"/>
          <w:rtl w:val="0"/>
          <w:lang w:val="en-US"/>
        </w:rPr>
        <w:t xml:space="preserve">2003; Zimmerli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2007).</w:t>
      </w:r>
      <w:r>
        <w:rPr>
          <w:rStyle w:val="Hyperlink.1"/>
          <w:rtl w:val="0"/>
          <w:lang w:val="en-US"/>
        </w:rPr>
        <w:t> </w:t>
      </w:r>
    </w:p>
    <w:p>
      <w:pPr>
        <w:pStyle w:val="Normal.0"/>
        <w:spacing w:after="0" w:line="360" w:lineRule="auto"/>
        <w:ind w:firstLine="720"/>
        <w:jc w:val="both"/>
        <w:rPr>
          <w:rStyle w:val="Hyperlink.1"/>
        </w:rPr>
      </w:pPr>
      <w:r>
        <w:rPr>
          <w:rStyle w:val="Hyperlink.1"/>
          <w:rtl w:val="0"/>
          <w:lang w:val="en-US"/>
        </w:rPr>
        <w:t xml:space="preserve">The leaves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are capable of protecting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infection. In this work,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are supplemented with a fish basal diet to prevent infection in </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caused by the freshwater fish disease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Based on our findings, we believe that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contain a variety of bioactive chemicals that are responsible for their antibacterial activity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w:t>
        <w:tab/>
        <w:t>MATERIAL AND METHODS</w:t>
      </w:r>
    </w:p>
    <w:p>
      <w:pPr>
        <w:pStyle w:val="Normal.0"/>
        <w:spacing w:after="0" w:line="360" w:lineRule="auto"/>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Preparation of plant powder</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leaves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 guajava </w:t>
      </w:r>
      <w:r>
        <w:rPr>
          <w:rStyle w:val="Hyperlink.1"/>
          <w:rtl w:val="0"/>
          <w:lang w:val="en-US"/>
        </w:rPr>
        <w:t>were collected from the southern villages of Nagercoil, Kanyakumari district, Tamilnadu, India. The leaves were washed thoroughly with distilled water and then the washed leaves were shade dried at room temperature. The dried leaves were crushed to a fine powder and sieved through 75-micron mesh sieve and stored at room temperature.</w:t>
      </w:r>
    </w:p>
    <w:p>
      <w:pPr>
        <w:pStyle w:val="Normal.0"/>
        <w:spacing w:after="0" w:line="360" w:lineRule="auto"/>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2.2.</w:t>
        <w:tab/>
        <w:t xml:space="preserve"> Diet preparation</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basal diet was prepared according to the methodology of Giri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2012. The ingredients for basal diet were taken in appropriate quantity and were blended in a mixture and cooked and then pelletized, air dried and sieved into appropriate pellets, and were stored at </w:t>
      </w:r>
      <w:r>
        <w:rPr>
          <w:rStyle w:val="Hyperlink.1"/>
          <w:rtl w:val="0"/>
          <w:lang w:val="en-US"/>
        </w:rPr>
        <w:t xml:space="preserve">            </w:t>
      </w:r>
      <w:r>
        <w:rPr>
          <w:rStyle w:val="Hyperlink.1"/>
          <w:rtl w:val="0"/>
          <w:lang w:val="en-US"/>
        </w:rPr>
        <w:t>-20</w:t>
      </w:r>
      <w:r>
        <w:rPr>
          <w:rStyle w:val="Hyperlink.1"/>
          <w:rtl w:val="0"/>
          <w:lang w:val="en-US"/>
        </w:rPr>
        <w:t xml:space="preserve">º </w:t>
      </w:r>
      <w:r>
        <w:rPr>
          <w:rStyle w:val="Hyperlink.1"/>
          <w:rtl w:val="0"/>
          <w:lang w:val="en-US"/>
        </w:rPr>
        <w:t xml:space="preserve">C for further use. The prepared basal diet was used as control diet. Appropriate quantity of basal diet was added with supplementary diet with prepared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 guajava </w:t>
      </w:r>
      <w:r>
        <w:rPr>
          <w:rStyle w:val="Hyperlink.1"/>
          <w:rtl w:val="0"/>
          <w:lang w:val="en-US"/>
        </w:rPr>
        <w:t>leaf powder at 5 different concentrations. i.e., BDC (Basal Diet Control without guava leaf powder), GD1 -5 %, GD2- 10 %, GD3- 15 %, GD4- 20 %, GD5- 25 % (Table 1).</w:t>
      </w:r>
    </w:p>
    <w:p>
      <w:pPr>
        <w:pStyle w:val="Normal.0"/>
        <w:spacing w:after="0" w:line="360" w:lineRule="auto"/>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2.3. </w:t>
        <w:tab/>
        <w:t>Experimental setup</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ornamental fish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(17.09 </w:t>
      </w:r>
      <w:r>
        <w:rPr>
          <w:rStyle w:val="Hyperlink.1"/>
          <w:rtl w:val="0"/>
          <w:lang w:val="en-US"/>
        </w:rPr>
        <w:t xml:space="preserve">± </w:t>
      </w:r>
      <w:r>
        <w:rPr>
          <w:rStyle w:val="Hyperlink.1"/>
          <w:rtl w:val="0"/>
          <w:lang w:val="en-US"/>
        </w:rPr>
        <w:t>0.06 gm) was brought from an aquarium shop in Nagercoil, Kanyakumari, Tamilnadu, India, and were transported alive to the laboratory in oxygenated plastic bags. The fishes were acclimatized in 4 food grade plastic tubs each of 50 liters capacity for 2 weeks in laboratory conditions. Basic water quality parameters like dissolved oxygen concentration 5.2-7.2 mg / l</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 xml:space="preserve"> (Winkler</w:t>
      </w:r>
      <w:r>
        <w:rPr>
          <w:rStyle w:val="Hyperlink.1"/>
          <w:rtl w:val="0"/>
          <w:lang w:val="en-US"/>
        </w:rPr>
        <w:t>’</w:t>
      </w:r>
      <w:r>
        <w:rPr>
          <w:rStyle w:val="Hyperlink.1"/>
          <w:rtl w:val="0"/>
          <w:lang w:val="en-US"/>
        </w:rPr>
        <w:t xml:space="preserve">s method), pH 5.5 </w:t>
      </w:r>
      <w:r>
        <w:rPr>
          <w:rStyle w:val="Hyperlink.1"/>
          <w:rtl w:val="0"/>
          <w:lang w:val="en-US"/>
        </w:rPr>
        <w:t xml:space="preserve">– </w:t>
      </w:r>
      <w:r>
        <w:rPr>
          <w:rStyle w:val="Hyperlink.1"/>
          <w:rtl w:val="0"/>
          <w:lang w:val="en-US"/>
        </w:rPr>
        <w:t xml:space="preserve">7.1, and temperature 22 </w:t>
      </w:r>
      <w:r>
        <w:rPr>
          <w:rStyle w:val="Hyperlink.1"/>
          <w:rtl w:val="0"/>
          <w:lang w:val="en-US"/>
        </w:rPr>
        <w:t xml:space="preserve">± </w:t>
      </w:r>
      <w:r>
        <w:rPr>
          <w:rStyle w:val="Hyperlink.1"/>
          <w:rtl w:val="0"/>
          <w:lang w:val="en-US"/>
        </w:rPr>
        <w:t>2</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º</w:t>
      </w:r>
      <w:r>
        <w:rPr>
          <w:rStyle w:val="Hyperlink.1"/>
          <w:rtl w:val="0"/>
          <w:lang w:val="en-US"/>
        </w:rPr>
        <w:t xml:space="preserve">C were maintained during this period (Harikrishnan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2010).</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After two weeks of acclimatization, the fishes were randomly divided into 6 experimental groups. Each experimental group had 10 fishes in 50 liters plastic tub.</w:t>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2.4. </w:t>
        <w:tab/>
        <w:t>Feeding of herbal diet</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grouped fishes were fed with </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 guajava </w:t>
      </w:r>
      <w:r>
        <w:rPr>
          <w:rStyle w:val="Hyperlink.1"/>
          <w:rtl w:val="0"/>
          <w:lang w:val="en-US"/>
        </w:rPr>
        <w:t>leaf powder supplemented diet (BDC, GD1, GD2, GD3, GD4, GD5) for 30 days at 3 % of body weight for 2 times per day.</w:t>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2.5 Growth performance parameters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fish weight was recorded at the beginning and end of every week. Total fishes in a group were weighed and divided by the number of fish in each group to find average body weight of fishes in each group. The growth parameters are evaluated by using the following formulae (Mir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2017).</w:t>
      </w:r>
    </w:p>
    <w:p>
      <w:pPr>
        <w:pStyle w:val="Normal.0"/>
        <w:numPr>
          <w:ilvl w:val="0"/>
          <w:numId w:val="3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Weight gain = FBW- IBW</w:t>
      </w:r>
    </w:p>
    <w:p>
      <w:pPr>
        <w:pStyle w:val="Normal.0"/>
        <w:spacing w:after="0" w:line="360" w:lineRule="auto"/>
        <w:ind w:left="720" w:firstLine="0"/>
        <w:jc w:val="both"/>
        <w:rPr>
          <w:rStyle w:val="None"/>
          <w:rFonts w:ascii="Times New Roman" w:cs="Times New Roman" w:hAnsi="Times New Roman" w:eastAsia="Times New Roman"/>
          <w:kern w:val="0"/>
          <w:sz w:val="24"/>
          <w:szCs w:val="24"/>
        </w:rPr>
      </w:pPr>
      <w:r>
        <w:rPr>
          <w:rStyle w:val="Hyperlink.1"/>
          <w:rtl w:val="0"/>
          <w:lang w:val="en-US"/>
        </w:rPr>
        <w:t>Here FBW: Final Body Weight, IBW: Initial Body Weight.</w:t>
      </w:r>
    </w:p>
    <w:p>
      <w:pPr>
        <w:pStyle w:val="Normal.0"/>
        <w:numPr>
          <w:ilvl w:val="0"/>
          <w:numId w:val="40"/>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SGR (%) =ln ( FBW) - ln (IBW) (N) </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w:t>
      </w:r>
      <w:r>
        <w:rPr>
          <w:rStyle w:val="None"/>
          <w:rFonts w:ascii="Times New Roman" w:hAnsi="Times New Roman"/>
          <w:outline w:val="0"/>
          <w:color w:val="000000"/>
          <w:kern w:val="0"/>
          <w:sz w:val="24"/>
          <w:szCs w:val="24"/>
          <w:u w:color="000000"/>
          <w:rtl w:val="0"/>
          <w:lang w:val="en-US"/>
          <w14:textFill>
            <w14:solidFill>
              <w14:srgbClr w14:val="000000"/>
            </w14:solidFill>
          </w14:textFill>
        </w:rPr>
        <w:t>100</w:t>
      </w:r>
    </w:p>
    <w:p>
      <w:pPr>
        <w:pStyle w:val="Normal.0"/>
        <w:spacing w:after="0" w:line="360" w:lineRule="auto"/>
        <w:ind w:left="720" w:firstLine="0"/>
        <w:jc w:val="both"/>
        <w:rPr>
          <w:rStyle w:val="None"/>
          <w:rFonts w:ascii="Times New Roman" w:cs="Times New Roman" w:hAnsi="Times New Roman" w:eastAsia="Times New Roman"/>
          <w:kern w:val="0"/>
          <w:sz w:val="24"/>
          <w:szCs w:val="24"/>
        </w:rPr>
      </w:pPr>
      <w:r>
        <w:rPr>
          <w:rStyle w:val="Hyperlink.1"/>
          <w:rtl w:val="0"/>
          <w:lang w:val="en-US"/>
        </w:rPr>
        <w:t>Here, FBW = Final Body Weight, IBW = Initial Body Weight, N = Number of days,</w:t>
      </w:r>
      <w:r>
        <w:rPr>
          <w:rStyle w:val="Hyperlink.1"/>
          <w:rtl w:val="0"/>
          <w:lang w:val="en-US"/>
        </w:rPr>
        <w:t xml:space="preserve">  </w:t>
      </w:r>
      <w:r>
        <w:rPr>
          <w:rStyle w:val="Hyperlink.1"/>
          <w:rtl w:val="0"/>
          <w:lang w:val="en-US"/>
        </w:rPr>
        <w:t>ln = Natural log.</w:t>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2.6. </w:t>
        <w:tab/>
        <w:t>Preparation of bacteria for challenge trail</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bacteria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was isolated from the stock culture and cultured in tryptone soy agar (TSA) using streak plate method and incubated at 37</w:t>
      </w:r>
      <w:r>
        <w:rPr>
          <w:rStyle w:val="Hyperlink.1"/>
          <w:rtl w:val="0"/>
          <w:lang w:val="en-US"/>
        </w:rPr>
        <w:t xml:space="preserve">º </w:t>
      </w:r>
      <w:r>
        <w:rPr>
          <w:rStyle w:val="Hyperlink.1"/>
          <w:rtl w:val="0"/>
          <w:lang w:val="en-US"/>
        </w:rPr>
        <w:t xml:space="preserve">C for 24 hours. After 24 hours colony forming units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were transferred to 5 ml tryptic soy broth and kept in shaker for 24 hours at 37</w:t>
      </w:r>
      <w:r>
        <w:rPr>
          <w:rStyle w:val="Hyperlink.1"/>
          <w:rtl w:val="0"/>
          <w:lang w:val="en-US"/>
        </w:rPr>
        <w:t xml:space="preserve">º </w:t>
      </w:r>
      <w:r>
        <w:rPr>
          <w:rStyle w:val="Hyperlink.1"/>
          <w:rtl w:val="0"/>
          <w:lang w:val="en-US"/>
        </w:rPr>
        <w:t xml:space="preserve">C. Then 50 </w:t>
      </w:r>
      <w:r>
        <w:rPr>
          <w:rStyle w:val="Hyperlink.1"/>
          <w:rtl w:val="0"/>
          <w:lang w:val="en-US"/>
        </w:rPr>
        <w:t>µ</w:t>
      </w:r>
      <w:r>
        <w:rPr>
          <w:rStyle w:val="Hyperlink.1"/>
          <w:rtl w:val="0"/>
          <w:lang w:val="en-US"/>
        </w:rPr>
        <w:t xml:space="preserve">l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suspension (1 x 10</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6</w:t>
      </w:r>
      <w:r>
        <w:rPr>
          <w:rStyle w:val="Hyperlink.1"/>
          <w:rtl w:val="0"/>
          <w:lang w:val="en-US"/>
        </w:rPr>
        <w:t xml:space="preserve"> cells ml</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 was taken for the challenge test.</w:t>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2.7. </w:t>
        <w:tab/>
        <w:t>Challenge test</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After 30 days feeding period, the fishes of each diet concentration including control diet were injected with 50 </w:t>
      </w:r>
      <w:r>
        <w:rPr>
          <w:rStyle w:val="Hyperlink.1"/>
          <w:rtl w:val="0"/>
          <w:lang w:val="en-US"/>
        </w:rPr>
        <w:t>µ</w:t>
      </w:r>
      <w:r>
        <w:rPr>
          <w:rStyle w:val="Hyperlink.1"/>
          <w:rtl w:val="0"/>
          <w:lang w:val="en-US"/>
        </w:rPr>
        <w:t xml:space="preserve">l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suspension (bacterial density CFU m</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 xml:space="preserve"> x 10</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6</w:t>
      </w:r>
      <w:r>
        <w:rPr>
          <w:rStyle w:val="Hyperlink.1"/>
          <w:rtl w:val="0"/>
          <w:lang w:val="en-US"/>
        </w:rPr>
        <w:t>) intraperitoneally. The fishes were observed for 10 days. Abnormal clinical signs and survival rate of fishes were calculated. Survival rate (%) = Number of live fish / Number of fish stocked x 100 (Opasola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2013).</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2</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.8. </w:t>
        <w:tab/>
        <w:t>Histopathological analysis</w:t>
      </w:r>
    </w:p>
    <w:p>
      <w:pPr>
        <w:pStyle w:val="Normal.0"/>
        <w:spacing w:after="0" w:line="360" w:lineRule="auto"/>
        <w:ind w:firstLine="284"/>
        <w:jc w:val="both"/>
        <w:rPr>
          <w:rStyle w:val="None"/>
          <w:rFonts w:ascii="Times New Roman" w:cs="Times New Roman" w:hAnsi="Times New Roman" w:eastAsia="Times New Roman"/>
          <w:kern w:val="0"/>
          <w:sz w:val="24"/>
          <w:szCs w:val="24"/>
        </w:rPr>
      </w:pPr>
      <w:r>
        <w:rPr>
          <w:rStyle w:val="Hyperlink.1"/>
          <w:rtl w:val="0"/>
        </w:rPr>
        <w:tab/>
        <w:t xml:space="preserve">Fragments of gills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of different diet concentration of challenge test were fixed in 10% buffered formalin solution. The organs were then dehydrated in alcohol solution, and cleared in xylol. Then the organs were embedded in paraffin wax at 60 </w:t>
      </w:r>
      <w:r>
        <w:rPr>
          <w:rStyle w:val="Hyperlink.1"/>
          <w:rtl w:val="0"/>
          <w:lang w:val="en-US"/>
        </w:rPr>
        <w:t>º</w:t>
      </w:r>
      <w:r>
        <w:rPr>
          <w:rStyle w:val="Hyperlink.1"/>
          <w:rtl w:val="0"/>
          <w:lang w:val="en-US"/>
        </w:rPr>
        <w:t xml:space="preserve">C and posterior cross sections of 5 </w:t>
      </w:r>
      <w:r>
        <w:rPr>
          <w:rStyle w:val="Hyperlink.1"/>
          <w:rtl w:val="0"/>
          <w:lang w:val="en-US"/>
        </w:rPr>
        <w:t>µ</w:t>
      </w:r>
      <w:r>
        <w:rPr>
          <w:rStyle w:val="Hyperlink.1"/>
          <w:rtl w:val="0"/>
          <w:lang w:val="en-US"/>
        </w:rPr>
        <w:t>m thickness was made and then stained with heamotoxylin and eosin (HE). The slides were mounted and analyzed in phase contrast microscope. The changes in tissue pattern of gills were assessed based on the severity of lesions.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 </w:t>
        <w:tab/>
        <w:t>RESULTS</w:t>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3.1. </w:t>
        <w:tab/>
        <w:t xml:space="preserve">Growth parameter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 sphenops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effect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 guajava </w:t>
      </w:r>
      <w:r>
        <w:rPr>
          <w:rStyle w:val="Hyperlink.1"/>
          <w:rtl w:val="0"/>
          <w:lang w:val="en-US"/>
        </w:rPr>
        <w:t xml:space="preserve">leaves on the growth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are shown in table 2 and figure 1. The weight gain was higher in GD5 (1.41 </w:t>
      </w:r>
      <w:r>
        <w:rPr>
          <w:rStyle w:val="Hyperlink.1"/>
          <w:rtl w:val="0"/>
          <w:lang w:val="en-US"/>
        </w:rPr>
        <w:t xml:space="preserve">± </w:t>
      </w:r>
      <w:r>
        <w:rPr>
          <w:rStyle w:val="Hyperlink.1"/>
          <w:rtl w:val="0"/>
          <w:lang w:val="en-US"/>
        </w:rPr>
        <w:t xml:space="preserve">0.43 gm) and GD4 diet combinations (1.34 </w:t>
      </w:r>
      <w:r>
        <w:rPr>
          <w:rStyle w:val="Hyperlink.1"/>
          <w:rtl w:val="0"/>
          <w:lang w:val="en-US"/>
        </w:rPr>
        <w:t xml:space="preserve">± </w:t>
      </w:r>
      <w:r>
        <w:rPr>
          <w:rStyle w:val="Hyperlink.1"/>
          <w:rtl w:val="0"/>
          <w:lang w:val="en-US"/>
        </w:rPr>
        <w:t xml:space="preserve">0.21 gm) when compared to the weight gain in DC (1.23 </w:t>
      </w:r>
      <w:r>
        <w:rPr>
          <w:rStyle w:val="Hyperlink.1"/>
          <w:rtl w:val="0"/>
          <w:lang w:val="en-US"/>
        </w:rPr>
        <w:t xml:space="preserve">± </w:t>
      </w:r>
      <w:r>
        <w:rPr>
          <w:rStyle w:val="Hyperlink.1"/>
          <w:rtl w:val="0"/>
          <w:lang w:val="en-US"/>
        </w:rPr>
        <w:t>0.29 gm). The GD1</w:t>
      </w:r>
      <w:r>
        <w:rPr>
          <w:rStyle w:val="Hyperlink.1"/>
          <w:rtl w:val="0"/>
          <w:lang w:val="en-US"/>
        </w:rPr>
        <w:t xml:space="preserve">                          </w:t>
      </w:r>
      <w:r>
        <w:rPr>
          <w:rStyle w:val="Hyperlink.1"/>
          <w:rtl w:val="0"/>
          <w:lang w:val="en-US"/>
        </w:rPr>
        <w:t xml:space="preserve">(1.19 </w:t>
      </w:r>
      <w:r>
        <w:rPr>
          <w:rStyle w:val="Hyperlink.1"/>
          <w:rtl w:val="0"/>
          <w:lang w:val="en-US"/>
        </w:rPr>
        <w:t xml:space="preserve">± </w:t>
      </w:r>
      <w:r>
        <w:rPr>
          <w:rStyle w:val="Hyperlink.1"/>
          <w:rtl w:val="0"/>
          <w:lang w:val="en-US"/>
        </w:rPr>
        <w:t xml:space="preserve">0.40 gm) showed lower weight gain than the weight gain of DC (1.23 </w:t>
      </w:r>
      <w:r>
        <w:rPr>
          <w:rStyle w:val="Hyperlink.1"/>
          <w:rtl w:val="0"/>
          <w:lang w:val="en-US"/>
        </w:rPr>
        <w:t xml:space="preserve">± </w:t>
      </w:r>
      <w:r>
        <w:rPr>
          <w:rStyle w:val="Hyperlink.1"/>
          <w:rtl w:val="0"/>
          <w:lang w:val="en-US"/>
        </w:rPr>
        <w:t xml:space="preserve">0.29 gm). GD2 (1.25 </w:t>
      </w:r>
      <w:r>
        <w:rPr>
          <w:rStyle w:val="Hyperlink.1"/>
          <w:rtl w:val="0"/>
          <w:lang w:val="en-US"/>
        </w:rPr>
        <w:t xml:space="preserve">± </w:t>
      </w:r>
      <w:r>
        <w:rPr>
          <w:rStyle w:val="Hyperlink.1"/>
          <w:rtl w:val="0"/>
          <w:lang w:val="en-US"/>
        </w:rPr>
        <w:t xml:space="preserve">0.35 gm) and GD3 diet (1.29 </w:t>
      </w:r>
      <w:r>
        <w:rPr>
          <w:rStyle w:val="Hyperlink.1"/>
          <w:rtl w:val="0"/>
          <w:lang w:val="en-US"/>
        </w:rPr>
        <w:t xml:space="preserve">± </w:t>
      </w:r>
      <w:r>
        <w:rPr>
          <w:rStyle w:val="Hyperlink.1"/>
          <w:rtl w:val="0"/>
          <w:lang w:val="en-US"/>
        </w:rPr>
        <w:t xml:space="preserve">0.36 gm) showed higher weight gain than the weight gain of DC (1.23 </w:t>
      </w:r>
      <w:r>
        <w:rPr>
          <w:rStyle w:val="Hyperlink.1"/>
          <w:rtl w:val="0"/>
          <w:lang w:val="en-US"/>
        </w:rPr>
        <w:t xml:space="preserve">± </w:t>
      </w:r>
      <w:r>
        <w:rPr>
          <w:rStyle w:val="Hyperlink.1"/>
          <w:rtl w:val="0"/>
          <w:lang w:val="en-US"/>
        </w:rPr>
        <w:t xml:space="preserve">0.29 gm) and GD1 (1.19 </w:t>
      </w:r>
      <w:r>
        <w:rPr>
          <w:rStyle w:val="Hyperlink.1"/>
          <w:rtl w:val="0"/>
          <w:lang w:val="en-US"/>
        </w:rPr>
        <w:t xml:space="preserve">± </w:t>
      </w:r>
      <w:r>
        <w:rPr>
          <w:rStyle w:val="Hyperlink.1"/>
          <w:rtl w:val="0"/>
          <w:lang w:val="en-US"/>
        </w:rPr>
        <w:t xml:space="preserve">0.40 gm). The specific growth rate (SGR) was higher in GD5 diet (1.34 %) than SGR recorded in other diet groups. According to the earlier results of Mir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2017</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Hyperlink.1"/>
          <w:rtl w:val="0"/>
          <w:lang w:val="en-US"/>
        </w:rPr>
        <w:t xml:space="preserve">the highest weight gain % (95.84 </w:t>
      </w:r>
      <w:r>
        <w:rPr>
          <w:rStyle w:val="Hyperlink.1"/>
          <w:rtl w:val="0"/>
          <w:lang w:val="en-US"/>
        </w:rPr>
        <w:t xml:space="preserve">± </w:t>
      </w:r>
      <w:r>
        <w:rPr>
          <w:rStyle w:val="Hyperlink.1"/>
          <w:rtl w:val="0"/>
          <w:lang w:val="en-US"/>
        </w:rPr>
        <w:t xml:space="preserve">1.91) and SGR (1.12 </w:t>
      </w:r>
      <w:r>
        <w:rPr>
          <w:rStyle w:val="Hyperlink.1"/>
          <w:rtl w:val="0"/>
          <w:lang w:val="en-US"/>
        </w:rPr>
        <w:t xml:space="preserve">± </w:t>
      </w:r>
      <w:r>
        <w:rPr>
          <w:rStyle w:val="Hyperlink.1"/>
          <w:rtl w:val="0"/>
          <w:lang w:val="en-US"/>
        </w:rPr>
        <w:t xml:space="preserve">0.16) were recorded in basal, diet added with 2 % fucoidan and methionine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The higher SGR were observed in Ginger powder diet 3.02 </w:t>
      </w:r>
      <w:r>
        <w:rPr>
          <w:rStyle w:val="Hyperlink.1"/>
          <w:rtl w:val="0"/>
          <w:lang w:val="en-US"/>
        </w:rPr>
        <w:t xml:space="preserve">± </w:t>
      </w:r>
      <w:r>
        <w:rPr>
          <w:rStyle w:val="Hyperlink.1"/>
          <w:rtl w:val="0"/>
          <w:lang w:val="en-US"/>
        </w:rPr>
        <w:t xml:space="preserve">0.06) when compared with the control basal diet (Sukumaran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2016).</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2. Growth performance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 sphenops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in different diet                                        concentrations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 guajava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p>
    <w:tbl>
      <w:tblPr>
        <w:tblW w:w="5915"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1308"/>
        <w:gridCol w:w="1308"/>
        <w:gridCol w:w="1308"/>
        <w:gridCol w:w="1308"/>
      </w:tblGrid>
      <w:tr>
        <w:tblPrEx>
          <w:shd w:val="clear" w:color="auto" w:fill="ced7e7"/>
        </w:tblPrEx>
        <w:trPr>
          <w:trHeight w:val="755"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Diet</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IBW</w:t>
            </w:r>
          </w:p>
          <w:p>
            <w:pPr>
              <w:pStyle w:val="Normal.0"/>
              <w:bidi w:val="0"/>
              <w:spacing w:after="0" w:line="360" w:lineRule="auto"/>
              <w:ind w:left="0" w:right="0" w:firstLine="0"/>
              <w:jc w:val="center"/>
              <w:rPr>
                <w:rtl w:val="0"/>
              </w:rPr>
            </w:pPr>
            <w:r>
              <w:rPr>
                <w:rStyle w:val="None"/>
                <w:rFonts w:ascii="Times New Roman" w:hAnsi="Times New Roman"/>
                <w:kern w:val="0"/>
                <w:sz w:val="24"/>
                <w:szCs w:val="24"/>
                <w:shd w:val="nil" w:color="auto" w:fill="auto"/>
                <w:rtl w:val="0"/>
                <w:lang w:val="en-US"/>
              </w:rPr>
              <w:t>(gm)</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FBW</w:t>
            </w:r>
          </w:p>
          <w:p>
            <w:pPr>
              <w:pStyle w:val="Normal.0"/>
              <w:bidi w:val="0"/>
              <w:spacing w:after="0" w:line="360" w:lineRule="auto"/>
              <w:ind w:left="0" w:right="0" w:firstLine="0"/>
              <w:jc w:val="center"/>
              <w:rPr>
                <w:rtl w:val="0"/>
              </w:rPr>
            </w:pPr>
            <w:r>
              <w:rPr>
                <w:rStyle w:val="None"/>
                <w:rFonts w:ascii="Times New Roman" w:hAnsi="Times New Roman"/>
                <w:kern w:val="0"/>
                <w:sz w:val="24"/>
                <w:szCs w:val="24"/>
                <w:shd w:val="nil" w:color="auto" w:fill="auto"/>
                <w:rtl w:val="0"/>
                <w:lang w:val="en-US"/>
              </w:rPr>
              <w:t>(gm)</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WG</w:t>
            </w:r>
          </w:p>
          <w:p>
            <w:pPr>
              <w:pStyle w:val="Normal.0"/>
              <w:bidi w:val="0"/>
              <w:spacing w:after="0" w:line="360" w:lineRule="auto"/>
              <w:ind w:left="0" w:right="0" w:firstLine="0"/>
              <w:jc w:val="center"/>
              <w:rPr>
                <w:rtl w:val="0"/>
              </w:rPr>
            </w:pPr>
            <w:r>
              <w:rPr>
                <w:rStyle w:val="None"/>
                <w:rFonts w:ascii="Times New Roman" w:hAnsi="Times New Roman"/>
                <w:kern w:val="0"/>
                <w:sz w:val="24"/>
                <w:szCs w:val="24"/>
                <w:shd w:val="nil" w:color="auto" w:fill="auto"/>
                <w:rtl w:val="0"/>
                <w:lang w:val="en-US"/>
              </w:rPr>
              <w:t>(gm)</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SGR</w:t>
            </w:r>
          </w:p>
          <w:p>
            <w:pPr>
              <w:pStyle w:val="Normal.0"/>
              <w:bidi w:val="0"/>
              <w:spacing w:after="0" w:line="360" w:lineRule="auto"/>
              <w:ind w:left="0" w:right="0" w:firstLine="0"/>
              <w:jc w:val="center"/>
              <w:rPr>
                <w:rtl w:val="0"/>
              </w:rPr>
            </w:pPr>
            <w:r>
              <w:rPr>
                <w:rStyle w:val="None"/>
                <w:rFonts w:ascii="Times New Roman" w:hAnsi="Times New Roman"/>
                <w:kern w:val="0"/>
                <w:sz w:val="24"/>
                <w:szCs w:val="24"/>
                <w:shd w:val="nil" w:color="auto" w:fill="auto"/>
                <w:rtl w:val="0"/>
                <w:lang w:val="en-US"/>
              </w:rPr>
              <w:t>(%)</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DC</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2.85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0.13</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1.16</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1.23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0.29</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1.19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0.12</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GD1</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2.91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0.29</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1.30</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1.19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0.40</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1.14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0.08</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GD2</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2.83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0.17</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1.18</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1.25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0.35</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1.21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0.06</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GD3</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2.87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0.16</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1.19</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1.29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0.36</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1.23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0.13</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GD4</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2.78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0.08</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1.10</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1.34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0.21</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1.31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0.11</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GD5</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2.83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0.20</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4.24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1.22</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1.41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0.43</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1.34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0.15</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xml:space="preserve"> (Data expressed as Mean </w:t>
      </w:r>
      <w:r>
        <w:rPr>
          <w:rStyle w:val="Hyperlink.1"/>
          <w:rtl w:val="0"/>
          <w:lang w:val="en-US"/>
        </w:rPr>
        <w:t xml:space="preserve">± </w:t>
      </w:r>
      <w:r>
        <w:rPr>
          <w:rStyle w:val="Hyperlink.1"/>
          <w:rtl w:val="0"/>
          <w:lang w:val="en-US"/>
        </w:rPr>
        <w:t>SD, n=3. DC: Diet Control, GD1 to GD5: Guava Diet 1 to Guava Diet 5, IBW: Initial Body Weight, FBW: Final Body Weight, WG: Weight Gain, SGR: Specific Growth Rate).</w:t>
      </w:r>
    </w:p>
    <w:p>
      <w:pPr>
        <w:pStyle w:val="Normal.0"/>
        <w:spacing w:after="0" w:line="360" w:lineRule="auto"/>
        <w:ind w:left="709" w:hanging="11"/>
        <w:jc w:val="both"/>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4342315" cy="2133096"/>
            <wp:effectExtent l="0" t="0" r="0" b="0"/>
            <wp:docPr id="1073741896" name="officeArt object" descr="image.png"/>
            <wp:cNvGraphicFramePr/>
            <a:graphic xmlns:a="http://schemas.openxmlformats.org/drawingml/2006/main">
              <a:graphicData uri="http://schemas.openxmlformats.org/drawingml/2006/picture">
                <pic:pic xmlns:pic="http://schemas.openxmlformats.org/drawingml/2006/picture">
                  <pic:nvPicPr>
                    <pic:cNvPr id="1073741896" name="image.png" descr="image.png"/>
                    <pic:cNvPicPr>
                      <a:picLocks noChangeAspect="1"/>
                    </pic:cNvPicPr>
                  </pic:nvPicPr>
                  <pic:blipFill>
                    <a:blip r:embed="rId67">
                      <a:extLst/>
                    </a:blip>
                    <a:stretch>
                      <a:fillRect/>
                    </a:stretch>
                  </pic:blipFill>
                  <pic:spPr>
                    <a:xfrm>
                      <a:off x="0" y="0"/>
                      <a:ext cx="4342315" cy="2133096"/>
                    </a:xfrm>
                    <a:prstGeom prst="rect">
                      <a:avLst/>
                    </a:prstGeom>
                    <a:ln w="12700" cap="flat">
                      <a:noFill/>
                      <a:miter lim="400000"/>
                    </a:ln>
                    <a:effectLst/>
                  </pic:spPr>
                </pic:pic>
              </a:graphicData>
            </a:graphic>
          </wp:inline>
        </w:drawing>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3.2. </w:t>
        <w:tab/>
        <w:t>Challenge test</w:t>
      </w:r>
    </w:p>
    <w:p>
      <w:pPr>
        <w:pStyle w:val="Normal.0"/>
        <w:spacing w:after="0" w:line="360" w:lineRule="auto"/>
        <w:jc w:val="both"/>
        <w:rPr>
          <w:rStyle w:val="Hyperlink.1"/>
        </w:rPr>
      </w:pPr>
      <w:r>
        <w:rPr>
          <w:rStyle w:val="Hyperlink.1"/>
          <w:rtl w:val="0"/>
        </w:rPr>
        <w:tab/>
        <w:t xml:space="preserve">The dietary supplementation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protected molly fish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infection. The highest percentage of survival was recorded in GD5, GD4 diet group and lowest percentage of survival was recorded in challenge control diet group and GD1 diet group. (Figure 2, table 3). The basal diet group added with 2 % fucoidan and methionine recorded the highest percentage of survival when compared with the control group in the challenge test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(Mir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 xml:space="preserve">2017). The survival rate was found to be higher in fish fed with moringa supplements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w:t>
      </w:r>
      <w:r>
        <w:rPr>
          <w:rStyle w:val="None"/>
          <w:rFonts w:ascii="Times New Roman" w:hAnsi="Times New Roman"/>
          <w:outline w:val="0"/>
          <w:color w:val="222222"/>
          <w:kern w:val="0"/>
          <w:sz w:val="24"/>
          <w:szCs w:val="24"/>
          <w:u w:color="222222"/>
          <w:shd w:val="clear" w:color="auto" w:fill="ffffff"/>
          <w:rtl w:val="0"/>
          <w:lang w:val="en-US"/>
          <w14:textFill>
            <w14:solidFill>
              <w14:srgbClr w14:val="222222"/>
            </w14:solidFill>
          </w14:textFill>
        </w:rPr>
        <w:t>Gbadamos</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2016).</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3. Survival rate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 sphenops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in different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 xml:space="preserve">P. guajava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diet                                         concentrations infected</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with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A. hydrophila.</w:t>
      </w:r>
    </w:p>
    <w:tbl>
      <w:tblPr>
        <w:tblW w:w="6150" w:type="dxa"/>
        <w:jc w:val="center"/>
        <w:tblInd w:w="14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1308"/>
        <w:gridCol w:w="1308"/>
        <w:gridCol w:w="1308"/>
        <w:gridCol w:w="1543"/>
      </w:tblGrid>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Diet</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IBW (gm)</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FBW (gm)</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WG (gm)</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Survival (%)</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DC</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1.16</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1.47</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0.12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0.06</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GD1</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1.30</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4.21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1.48</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0.11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0.08</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GD2</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1.18</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4.25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1.45</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0.16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0.10</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GD3</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1.19</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4.38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1.67</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0.22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0.14</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40</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GD4</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1.10</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4.48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1.88</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0.36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0.18</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80</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GD5</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4.24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1.22</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4.66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1.96</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0.42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0.19</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100</w:t>
            </w:r>
          </w:p>
        </w:tc>
      </w:tr>
    </w:tbl>
    <w:p>
      <w:pPr>
        <w:pStyle w:val="Normal.0"/>
        <w:widowControl w:val="0"/>
        <w:spacing w:after="0" w:line="240" w:lineRule="auto"/>
        <w:ind w:left="1296" w:hanging="1296"/>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ind w:left="1188" w:hanging="1188"/>
        <w:jc w:val="center"/>
        <w:rPr>
          <w:rStyle w:val="None"/>
          <w:rFonts w:ascii="Times New Roman" w:cs="Times New Roman" w:hAnsi="Times New Roman" w:eastAsia="Times New Roman"/>
          <w:b w:val="1"/>
          <w:bCs w:val="1"/>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xml:space="preserve">(Data expressed as Mean </w:t>
      </w:r>
      <w:r>
        <w:rPr>
          <w:rStyle w:val="Hyperlink.1"/>
          <w:rtl w:val="0"/>
          <w:lang w:val="en-US"/>
        </w:rPr>
        <w:t xml:space="preserve">± </w:t>
      </w:r>
      <w:r>
        <w:rPr>
          <w:rStyle w:val="Hyperlink.1"/>
          <w:rtl w:val="0"/>
          <w:lang w:val="en-US"/>
        </w:rPr>
        <w:t>SD, n=5. DC: Diet Control, GD1 to GD5: Guava Diet 1 to Guava Diet 5, IBW: Initial Body Weight, FBW: Final Body Weight, WG: Weight Gain).</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4833862" cy="2150593"/>
            <wp:effectExtent l="0" t="0" r="0" b="0"/>
            <wp:docPr id="1073741897" name="officeArt object" descr="image.png"/>
            <wp:cNvGraphicFramePr/>
            <a:graphic xmlns:a="http://schemas.openxmlformats.org/drawingml/2006/main">
              <a:graphicData uri="http://schemas.openxmlformats.org/drawingml/2006/picture">
                <pic:pic xmlns:pic="http://schemas.openxmlformats.org/drawingml/2006/picture">
                  <pic:nvPicPr>
                    <pic:cNvPr id="1073741897" name="image.png" descr="image.png"/>
                    <pic:cNvPicPr>
                      <a:picLocks noChangeAspect="1"/>
                    </pic:cNvPicPr>
                  </pic:nvPicPr>
                  <pic:blipFill>
                    <a:blip r:embed="rId68">
                      <a:extLst/>
                    </a:blip>
                    <a:stretch>
                      <a:fillRect/>
                    </a:stretch>
                  </pic:blipFill>
                  <pic:spPr>
                    <a:xfrm>
                      <a:off x="0" y="0"/>
                      <a:ext cx="4833862" cy="2150593"/>
                    </a:xfrm>
                    <a:prstGeom prst="rect">
                      <a:avLst/>
                    </a:prstGeom>
                    <a:ln w="12700" cap="flat">
                      <a:noFill/>
                      <a:miter lim="400000"/>
                    </a:ln>
                    <a:effectLst/>
                  </pic:spPr>
                </pic:pic>
              </a:graphicData>
            </a:graphic>
          </wp:inline>
        </w:drawing>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3.3. </w:t>
        <w:tab/>
        <w:t>Histopathological analysis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w:t>
        <w:tab/>
      </w:r>
      <w:r>
        <w:rPr>
          <w:rStyle w:val="Hyperlink.1"/>
          <w:rtl w:val="0"/>
          <w:lang w:val="en-US"/>
        </w:rPr>
        <w:t xml:space="preserve">In the histopathological analysis, the gill filaments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fed with the BDC diet and GD1 were highly affected. Many fragmentations were observed in the secondary lamella, and hyperplasia were found in the primary lamella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fed with BDC and GD1 diets. The fragmentations and hyperplasia were comparatively lower than those of BDC and GD1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fed with GD2 diet. The development of gill filaments started with the GD3 diet. Primary and secondary lamella were observed to be normal in the GD4 and GD5 diets. Thus, the histopathological analysis proved that the fragmented lamella present in the gills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fed with BDC and GD1 dietsinfected by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were completely cured in GD4 and GD5 diets. In histopathological analysis, the gill filaments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fed with the BDC diet and GD1 were highly affected. Many fragmentations were observed in the secondary lamella, and hyperplasia were found in the primary lamella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fed with BDC and GD1 diets. The fragmentations and hyperplasia were comparatively lower than those of BDC and GD1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fed with GD2 diet. The development of gill filaments started with the GD3 diet. Primary and secondary lamella were observed to be normal in the GD4 and GD5 diets. Thus, the histopathological analysis proved that the fragmented lamella present in the gills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fed with BDC and GD1 dietsinfected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were completely cured in GD4 and GD5 diets. The gills of fish infected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showed hyperplasia, haemorrhage, necrosis, and congestion. The increase in lamellar epithelial cells causes hyperplasia, which occurs between the primary and secondary lamella and causes damage to red blood cells, which leads to a lack of oxygen and causes death in fish (Rosidah</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2020).</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r>
        <w:rPr>
          <w:rStyle w:val="Hyperlink.1"/>
          <w:rtl w:val="0"/>
          <w:lang w:val="en-US"/>
        </w:rPr>
        <w:t xml:space="preserve">The infection caused on by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can be prevented bythe antimicrobial principles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In order to prevent the infection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by the aquatic fish pathogen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fish basal food is supplemented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Our research findings revealed that the antibacterial effect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played a vital role in the inhibition of growth of bacterial pathogen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in the ornamental fish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xml:space="preserve">Afifi, S. H., Al-Thobiati, S., &amp;Hazaa, M. S. (2000). Bacteriological and histqpathological studies on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Aeromonas hydrophila</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xml:space="preserve"> infection of Nile tilapia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Oreochromis niloticas)</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xml:space="preserve"> from fish farms in Saudi Arabia.</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Assiut Veterinary Medical Journal</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42</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(84), 195-205.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Ahilan, B., Jegan, K., &amp; Felix, N. (2013). Influence of botanical additives on the growth and colouration of juvenile goldfish, Carassius auratus (Linnaeus).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Journal of Aquaculture in the Tropics</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28</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(1-4), 77.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Austin, B., Austin, D. A., &amp; Munn, C. B. (2007).</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Bacterial fish pathogens: disease of farmed and wild fish</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(Vol. 26, p. 552). Chichester: Springer.</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Birdi, T., Daswani, P., Brijesh, S., Tetali, P., Natu, A., &amp; Antia, N. (2010). Newer insights into the mechanism of action of Psidium guajava L. leaves in infectious diarrhoea.</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BMC complementary and alternative medicine</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10</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(1), 1-11.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Bisht, R., Chanyal, S., &amp; Agrawal, P. K. (2016). Antimicrobial and phytochemical analysis of leaf extract of medicinal fruit plants.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Asian Journal of Pharmaceutical and Clinical Research</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9</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(4), 131-136.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Citarasu, T., Babu, M. M., Sekar, R. R. J., &amp;Petermarian, M. (2002). Developing Artemia enriched herbal diet for producing quality larvae in Penaeus monodon, Fabricius.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Asian Fisheries Science</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15</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(1), 21-32.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Gbadamosi, O. K., Fasakin, A. E., &amp; Adebayo, O. T. (2016). Hepatoprotective and stress-reducing effects of dietary Moringa oleifera extract against Aeromonas hydrophila infections and transportation-induced stress in Nile tilapia, Oreochromis niloticus (Linnaeus 1757) fingerlings.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International Journal of Environmental &amp; Agriculture Research</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2</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121-128.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Genten, F., Terwinghe, E., &amp;Danguy, A. (2009).</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Atlas of fish histology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CRC Press.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outline w:val="0"/>
          <w:color w:val="000000"/>
          <w:kern w:val="0"/>
          <w:sz w:val="24"/>
          <w:szCs w:val="24"/>
          <w:u w:color="000000"/>
          <w:shd w:val="clear" w:color="auto" w:fill="ffffff"/>
          <w:rtl w:val="0"/>
          <w14:textFill>
            <w14:solidFill>
              <w14:srgbClr w14:val="000000"/>
            </w14:solidFill>
          </w14:textFill>
        </w:rPr>
        <w:tab/>
        <w:t>Giri, S. S., Sen, S. S., &amp; Sukumaran, V. (2012). Effects of dietary supplementation of potential probiotic Pseudomonas aeruginosa VSG-2 on the innate immunity and disease resistance of tropical freshwater fish, Labeorohita.</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Fish &amp; shellfish immunology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32</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(6), 1135-1140.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Giri, S. S., Sen, S. S., Chi, C., Kim, H. J., Yun, S., Park, S. C., &amp; Sukumaran, V. (2015). Effect of guava leaves on the growth performance and cytokine gene expression of Labeorohita and its susceptibility to Aeromonas hydrophila infection.</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Fish &amp; shellfish immunology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46</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(2), 217-224.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Guti</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é</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rrez, R. M. P., Mitchell, S., &amp; Solis, R. V. (2008). Psidium guajava: a review of its traditional uses, phytochemistry and pharmacology.</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Journal of ethnopharmacology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117</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(1), 1-27.</w:t>
        <w:tab/>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Handy, R. D., Runnalls, T., &amp; Russell, P. M. (2002). Histopathologic biomarkers in three spined sticklebacks, Gasterosteus aculeatus, from several rivers in Southern England that meet the freshwater fisheries directive.</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Ecotoxicology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11</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467-479.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Harikrishnan, R., Balasundaram, C., &amp; Heo, M. S. (2010). Herbal supplementation diets on hematology and innate immunity in goldfish against Aeromonas hydrophila.</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Fish &amp; shellfish immunology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28</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(2), 354-361.</w:t>
      </w: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Joseph, B., &amp; Priya, M. (2011). Review on nutritional, medicinal and pharmacological properties of guava (Psidium guajava Linn.).</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International Journal of pharma and bio sciences</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2</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(1), 53-69.</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Kim, H. Y., Seung, H. Y., Lee, M. J., Kim, T. H., &amp; Kim, S. D. (2009). Radiolysis of selected antibiotics and their toxic effects on various aquatic organisms.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Radiation Physics and Chemistry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78</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(4), 267-272.</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Metwally, A. M., Omar, A. A., Harraz, F. M., &amp; El Sohafy, S. M. (2010). Phytochemical investigation and antimicrobial activity of Psidium guajava L. leaves.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Pharmacognosy magazine</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6</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(23), 212.</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Mir, I. N., Sahu, N. P., Pal, A. K., &amp; Makesh, M. (2017). Synergistic effect of l-methionine and fucoidan rich extract in eliciting growth and non-specific immune response of Labeorohita fingerlings against Aeromonas hydrophila.</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Aquaculture</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479</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396-40.</w:t>
      </w:r>
      <w:r>
        <w:rPr>
          <w:rStyle w:val="Hyperlink.1"/>
        </w:rPr>
        <w:tab/>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Opasola, O. A., Adewoye, S. O., &amp; Fawole, O. O. (2013). Growth Performance and Survival Rate of Clarias gariepinus Fed Lactobacillus acidophilus supplemented diets. J Agric Vet Sci 6: 45</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50.</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Rosidah, R., Yunita, M. D., Nurruhwati, I., &amp; Rizal, A. (2020). Histopathological changes in gold fish (Carassius auratus (Linnaeus, 1758)) infected by Aeromonas hydrophila bacteria with various densities.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World Scientific News</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(142), 150-168.</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Segner, H., &amp; Braunbeck, T. (1988). Hepatocellular adaptation to extreme nutritional conditions in ide, Leuciscus idusmelanotus L.(Cyprinidae). A morphofunctional analysis.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Fish Physiology and Biochemistry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5</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79-97.</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Sheeba, S. J., Sekar, R. R. J., Harish, A., &amp; Vijila, S. M. (2023). In vitro Antibacterial Activity and FTIR Analysis of Anisomeles malabarica (L.) Leaves Extract against Mycobacterium marinum Affecting Gold Fish (Carassius auratus).</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Stentiford, G. D., Longshaw, M., Lyons, B. P., Jones, G., Green, M., &amp; Feist, S. W. (2003). Histopathological biomarkers in estuarine fish species for the assessment of biological effects of contaminants.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Marine Environmental Research</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55</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(2), 137-159.</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Sukumaran, V., Park, S. C., &amp; Giri, S. S. (2016). Role of dietary ginger Zingiber officinale in improving growth performances and immune functions of Labeorohita fingerlings.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Fish &amp; shellfish immunology</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57</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362-370.</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Takashima, F., &amp; Hibiya, T. (1995). An atlas of fish histology: normal and pathological features.</w:t>
      </w:r>
    </w:p>
    <w:p>
      <w:pPr>
        <w:pStyle w:val="Normal.0"/>
        <w:spacing w:after="0" w:line="500" w:lineRule="exact"/>
        <w:ind w:left="720" w:hanging="720"/>
        <w:jc w:val="both"/>
        <w:rPr>
          <w:rStyle w:val="None"/>
          <w:rFonts w:ascii="Times New Roman" w:cs="Times New Roman" w:hAnsi="Times New Roman" w:eastAsia="Times New Roman"/>
          <w:outline w:val="0"/>
          <w:color w:val="000000"/>
          <w:kern w:val="0"/>
          <w:sz w:val="24"/>
          <w:szCs w:val="24"/>
          <w:u w:color="000000"/>
          <w:shd w:val="clear" w:color="auto" w:fill="ffffff"/>
          <w14:textFill>
            <w14:solidFill>
              <w14:srgbClr w14:val="000000"/>
            </w14:solidFill>
          </w14:textFill>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Van Hai, N. (2015). The use of medicinal plants as immunostimulants in aquaculture: A review.</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Aquaculture</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446</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 88-96.</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Zimmerli, S., Bernet, D., Burckhardt-Holm, P., Schmidt-Posthaus, H., Volanthen, P., Wahli, T., &amp; Segner, H. (2007). Assessment of fish health status in four Swiss rivers showing a decline of brown trouth catches.</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Aquatic Sciences</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w:t>
      </w:r>
      <w:r>
        <w:rPr>
          <w:rStyle w:val="None"/>
          <w:rFonts w:ascii="Times New Roman" w:hAnsi="Times New Roman" w:hint="default"/>
          <w:outline w:val="0"/>
          <w:color w:val="000000"/>
          <w:kern w:val="0"/>
          <w:sz w:val="24"/>
          <w:szCs w:val="24"/>
          <w:u w:color="000000"/>
          <w:shd w:val="clear" w:color="auto" w:fill="ffffff"/>
          <w:rtl w:val="0"/>
          <w:lang w:val="en-US"/>
          <w14:textFill>
            <w14:solidFill>
              <w14:srgbClr w14:val="000000"/>
            </w14:solidFill>
          </w14:textFill>
        </w:rPr>
        <w:t> </w:t>
      </w:r>
      <w:r>
        <w:rPr>
          <w:rStyle w:val="None"/>
          <w:rFonts w:ascii="Times New Roman" w:hAnsi="Times New Roman"/>
          <w:i w:val="1"/>
          <w:iCs w:val="1"/>
          <w:outline w:val="0"/>
          <w:color w:val="000000"/>
          <w:kern w:val="0"/>
          <w:sz w:val="24"/>
          <w:szCs w:val="24"/>
          <w:u w:color="000000"/>
          <w:shd w:val="clear" w:color="auto" w:fill="ffffff"/>
          <w:rtl w:val="0"/>
          <w:lang w:val="en-US"/>
          <w14:textFill>
            <w14:solidFill>
              <w14:srgbClr w14:val="000000"/>
            </w14:solidFill>
          </w14:textFill>
        </w:rPr>
        <w:t>69</w:t>
      </w:r>
      <w:r>
        <w:rPr>
          <w:rStyle w:val="None"/>
          <w:rFonts w:ascii="Times New Roman" w:hAnsi="Times New Roman"/>
          <w:outline w:val="0"/>
          <w:color w:val="000000"/>
          <w:kern w:val="0"/>
          <w:sz w:val="24"/>
          <w:szCs w:val="24"/>
          <w:u w:color="000000"/>
          <w:shd w:val="clear" w:color="auto" w:fill="ffffff"/>
          <w:rtl w:val="0"/>
          <w:lang w:val="en-US"/>
          <w14:textFill>
            <w14:solidFill>
              <w14:srgbClr w14:val="000000"/>
            </w14:solidFill>
          </w14:textFill>
        </w:rPr>
        <w:t>(1), 11-25.</w:t>
      </w:r>
      <w:r>
        <w:rPr>
          <w:rStyle w:val="None"/>
          <w:rFonts w:ascii="Times New Roman" w:cs="Times New Roman" w:hAnsi="Times New Roman" w:eastAsia="Times New Roman"/>
          <w:outline w:val="0"/>
          <w:color w:val="000000"/>
          <w:kern w:val="0"/>
          <w:sz w:val="24"/>
          <w:szCs w:val="24"/>
          <w:u w:color="000000"/>
          <w:shd w:val="clear" w:color="auto" w:fill="ffffff"/>
          <w14:textFill>
            <w14:solidFill>
              <w14:srgbClr w14:val="000000"/>
            </w14:solidFill>
          </w14:textFill>
        </w:rPr>
        <w:br w:type="textWrapping"/>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r>
        <w:rPr>
          <w:rStyle w:val="None"/>
          <w:rFonts w:ascii="Times New Roman" w:cs="Times New Roman" w:hAnsi="Times New Roman" w:eastAsia="Times New Roman"/>
          <w:kern w:val="0"/>
          <w:sz w:val="24"/>
          <w:szCs w:val="24"/>
        </w:rPr>
        <w:br w:type="textWrapping"/>
        <w:br w:type="textWrapping"/>
        <w:br w:type="textWrapping"/>
        <w:br w:type="textWrapping"/>
      </w:r>
    </w:p>
    <w:p>
      <w:pPr>
        <w:pStyle w:val="Normal (Web)"/>
        <w:spacing w:after="0" w:line="360" w:lineRule="auto"/>
        <w:ind w:right="26"/>
        <w:jc w:val="center"/>
        <w:rPr>
          <w:rStyle w:val="None"/>
          <w:kern w:val="0"/>
        </w:rPr>
      </w:pPr>
      <w:r>
        <w:rPr>
          <w:rStyle w:val="None"/>
          <w:b w:val="1"/>
          <w:bCs w:val="1"/>
          <w:outline w:val="0"/>
          <w:color w:val="000000"/>
          <w:kern w:val="0"/>
          <w:u w:color="000000"/>
          <w:rtl w:val="0"/>
          <w:lang w:val="en-US"/>
          <w14:textFill>
            <w14:solidFill>
              <w14:srgbClr w14:val="000000"/>
            </w14:solidFill>
          </w14:textFill>
        </w:rPr>
        <w:t xml:space="preserve">ISOLATION AND CHARACTERISATION OF EFFICIENT HYDROCARBON </w:t>
      </w:r>
      <w:r>
        <w:rPr>
          <w:rStyle w:val="None"/>
          <w:b w:val="1"/>
          <w:bCs w:val="1"/>
          <w:outline w:val="0"/>
          <w:color w:val="000000"/>
          <w:kern w:val="0"/>
          <w:u w:color="000000"/>
          <w:rtl w:val="0"/>
          <w:lang w:val="en-US"/>
          <w14:textFill>
            <w14:solidFill>
              <w14:srgbClr w14:val="000000"/>
            </w14:solidFill>
          </w14:textFill>
        </w:rPr>
        <w:t xml:space="preserve">– </w:t>
      </w:r>
      <w:r>
        <w:rPr>
          <w:rStyle w:val="None"/>
          <w:b w:val="1"/>
          <w:bCs w:val="1"/>
          <w:outline w:val="0"/>
          <w:color w:val="000000"/>
          <w:kern w:val="0"/>
          <w:u w:color="000000"/>
          <w:rtl w:val="0"/>
          <w:lang w:val="en-US"/>
          <w14:textFill>
            <w14:solidFill>
              <w14:srgbClr w14:val="000000"/>
            </w14:solidFill>
          </w14:textFill>
        </w:rPr>
        <w:t>DEGRADING BACTERIA FROM PETROLEUM CONTAMINATED OIL</w:t>
      </w:r>
      <w:r>
        <w:rPr>
          <w:rStyle w:val="None"/>
          <w:b w:val="1"/>
          <w:bCs w:val="1"/>
          <w:outline w:val="0"/>
          <w:color w:val="000000"/>
          <w:kern w:val="0"/>
          <w:u w:color="000000"/>
          <w:rtl w:val="0"/>
          <w:lang w:val="en-US"/>
          <w14:textFill>
            <w14:solidFill>
              <w14:srgbClr w14:val="000000"/>
            </w14:solidFill>
          </w14:textFill>
        </w:rPr>
        <w:t xml:space="preserve">                                                                                                             </w:t>
      </w:r>
      <w:r>
        <w:rPr>
          <w:rStyle w:val="None"/>
          <w:outline w:val="0"/>
          <w:color w:val="000000"/>
          <w:kern w:val="0"/>
          <w:u w:color="000000"/>
          <w:rtl w:val="0"/>
          <w:lang w:val="en-US"/>
          <w14:textFill>
            <w14:solidFill>
              <w14:srgbClr w14:val="000000"/>
            </w14:solidFill>
          </w14:textFill>
        </w:rPr>
        <w:t>Alex G. J</w:t>
      </w:r>
      <w:r>
        <w:rPr>
          <w:rStyle w:val="None"/>
          <w:outline w:val="0"/>
          <w:color w:val="000000"/>
          <w:kern w:val="0"/>
          <w:u w:color="000000"/>
          <w:vertAlign w:val="superscript"/>
          <w:rtl w:val="0"/>
          <w:lang w:val="en-US"/>
          <w14:textFill>
            <w14:solidFill>
              <w14:srgbClr w14:val="000000"/>
            </w14:solidFill>
          </w14:textFill>
        </w:rPr>
        <w:t xml:space="preserve">1 </w:t>
      </w:r>
      <w:r>
        <w:rPr>
          <w:rStyle w:val="None"/>
          <w:outline w:val="0"/>
          <w:color w:val="000000"/>
          <w:kern w:val="0"/>
          <w:u w:color="000000"/>
          <w:rtl w:val="0"/>
          <w:lang w:val="en-US"/>
          <w14:textFill>
            <w14:solidFill>
              <w14:srgbClr w14:val="000000"/>
            </w14:solidFill>
          </w14:textFill>
        </w:rPr>
        <w:t>and Dr.R.S.Dhivya</w:t>
      </w:r>
      <w:r>
        <w:rPr>
          <w:rStyle w:val="None"/>
          <w:outline w:val="0"/>
          <w:color w:val="000000"/>
          <w:kern w:val="0"/>
          <w:u w:color="000000"/>
          <w:vertAlign w:val="superscript"/>
          <w:rtl w:val="0"/>
          <w:lang w:val="en-US"/>
          <w14:textFill>
            <w14:solidFill>
              <w14:srgbClr w14:val="000000"/>
            </w14:solidFill>
          </w14:textFill>
        </w:rPr>
        <w:t>2</w:t>
      </w:r>
    </w:p>
    <w:p>
      <w:pPr>
        <w:pStyle w:val="Normal.0"/>
        <w:spacing w:after="0" w:line="360" w:lineRule="auto"/>
        <w:ind w:left="258" w:firstLine="0"/>
        <w:rPr>
          <w:rStyle w:val="None"/>
          <w:rFonts w:ascii="Times New Roman" w:cs="Times New Roman" w:hAnsi="Times New Roman" w:eastAsia="Times New Roman"/>
          <w:kern w:val="0"/>
          <w:sz w:val="24"/>
          <w:szCs w:val="24"/>
        </w:rPr>
      </w:pPr>
      <w:r>
        <w:rPr>
          <w:rStyle w:val="None"/>
          <w:rFonts w:ascii="Times New Roman" w:hAnsi="Times New Roman" w:hint="default"/>
          <w:outline w:val="0"/>
          <w:color w:val="000000"/>
          <w:kern w:val="0"/>
          <w:sz w:val="24"/>
          <w:szCs w:val="24"/>
          <w:u w:color="000000"/>
          <w:vertAlign w:val="subscript"/>
          <w:rtl w:val="0"/>
          <w:lang w:val="en-US"/>
          <w14:textFill>
            <w14:solidFill>
              <w14:srgbClr w14:val="000000"/>
            </w14:solidFill>
          </w14:textFill>
        </w:rPr>
        <w:t> </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Research scholar, Muslim Arts College Thiruvithancode</w:t>
      </w:r>
      <w:r>
        <w:rPr>
          <w:rStyle w:val="Hyperlink.1"/>
          <w:rtl w:val="0"/>
          <w:lang w:val="en-US"/>
        </w:rPr>
        <w:t> </w:t>
      </w:r>
    </w:p>
    <w:p>
      <w:pPr>
        <w:pStyle w:val="Normal.0"/>
        <w:spacing w:after="0" w:line="360" w:lineRule="auto"/>
        <w:ind w:left="258" w:firstLine="0"/>
        <w:rPr>
          <w:rStyle w:val="None"/>
          <w:rFonts w:ascii="Times New Roman" w:cs="Times New Roman" w:hAnsi="Times New Roman" w:eastAsia="Times New Roman"/>
          <w:kern w:val="0"/>
          <w:sz w:val="24"/>
          <w:szCs w:val="24"/>
        </w:rPr>
      </w:pPr>
      <w:r>
        <w:rPr>
          <w:rStyle w:val="Hyperlink.1"/>
          <w:rtl w:val="0"/>
          <w:lang w:val="en-US"/>
        </w:rPr>
        <w:t> </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2</w:t>
      </w:r>
      <w:r>
        <w:rPr>
          <w:rStyle w:val="Hyperlink.1"/>
          <w:rtl w:val="0"/>
          <w:lang w:val="en-US"/>
        </w:rPr>
        <w:t>Associate professor of Zoology ,Sree Devi Kumari Women</w:t>
      </w:r>
      <w:r>
        <w:rPr>
          <w:rStyle w:val="Hyperlink.1"/>
          <w:rtl w:val="0"/>
          <w:lang w:val="en-US"/>
        </w:rPr>
        <w:t>’</w:t>
      </w:r>
      <w:r>
        <w:rPr>
          <w:rStyle w:val="Hyperlink.1"/>
          <w:rtl w:val="0"/>
          <w:lang w:val="en-US"/>
        </w:rPr>
        <w:t>s College Kuzhithurai</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26"/>
        <w:jc w:val="both"/>
        <w:rPr>
          <w:rStyle w:val="None"/>
          <w:rFonts w:ascii="Times New Roman" w:cs="Times New Roman" w:hAnsi="Times New Roman" w:eastAsia="Times New Roman"/>
          <w:kern w:val="0"/>
          <w:sz w:val="24"/>
          <w:szCs w:val="24"/>
        </w:rPr>
      </w:pPr>
      <w:r>
        <w:rPr>
          <w:rStyle w:val="Hyperlink.1"/>
          <w:rtl w:val="0"/>
          <w:lang w:val="en-US"/>
        </w:rPr>
        <w:t>Petroleum hydrocarbon contamination represents a severe environmental challenge,</w:t>
      </w:r>
      <w:r>
        <w:rPr>
          <w:rStyle w:val="Hyperlink.1"/>
          <w:rtl w:val="0"/>
          <w:lang w:val="en-US"/>
        </w:rPr>
        <w:t xml:space="preserve">  </w:t>
      </w:r>
      <w:r>
        <w:rPr>
          <w:rStyle w:val="Hyperlink.1"/>
          <w:rtl w:val="0"/>
          <w:lang w:val="en-US"/>
        </w:rPr>
        <w:t>demanding sustainable and cost-effective remediation strategies. This study aimed to</w:t>
      </w:r>
      <w:r>
        <w:rPr>
          <w:rStyle w:val="Hyperlink.1"/>
          <w:rtl w:val="0"/>
          <w:lang w:val="en-US"/>
        </w:rPr>
        <w:t xml:space="preserve">  </w:t>
      </w:r>
      <w:r>
        <w:rPr>
          <w:rStyle w:val="Hyperlink.1"/>
          <w:rtl w:val="0"/>
          <w:lang w:val="en-US"/>
        </w:rPr>
        <w:t>isolate, screen, and characterize indigenous hydrocarbon-degrading bacteria from</w:t>
      </w:r>
      <w:r>
        <w:rPr>
          <w:rStyle w:val="Hyperlink.1"/>
          <w:rtl w:val="0"/>
          <w:lang w:val="en-US"/>
        </w:rPr>
        <w:t xml:space="preserve">  </w:t>
      </w:r>
      <w:r>
        <w:rPr>
          <w:rStyle w:val="Hyperlink.1"/>
          <w:rtl w:val="0"/>
          <w:lang w:val="en-US"/>
        </w:rPr>
        <w:t>chronically polluted garage soil. Using an enrichment culture technique with Bushnell</w:t>
      </w:r>
      <w:r>
        <w:rPr>
          <w:rStyle w:val="Hyperlink.1"/>
          <w:rtl w:val="0"/>
          <w:lang w:val="en-US"/>
        </w:rPr>
        <w:t xml:space="preserve">  </w:t>
      </w:r>
      <w:r>
        <w:rPr>
          <w:rStyle w:val="Hyperlink.1"/>
          <w:rtl w:val="0"/>
          <w:lang w:val="en-US"/>
        </w:rPr>
        <w:t>Haas (BH) medium containing 1% (v/v) diesel as the sole carbon source, five distinct</w:t>
      </w:r>
      <w:r>
        <w:rPr>
          <w:rStyle w:val="Hyperlink.1"/>
          <w:rtl w:val="0"/>
          <w:lang w:val="en-US"/>
        </w:rPr>
        <w:t xml:space="preserve">  </w:t>
      </w:r>
      <w:r>
        <w:rPr>
          <w:rStyle w:val="Hyperlink.1"/>
          <w:rtl w:val="0"/>
          <w:lang w:val="en-US"/>
        </w:rPr>
        <w:t>bacterial strains were isolated. Screening via the 2,6dichlorophenolindophenol (DCPIP)</w:t>
      </w:r>
      <w:r>
        <w:rPr>
          <w:rStyle w:val="Hyperlink.1"/>
          <w:rtl w:val="0"/>
          <w:lang w:val="en-US"/>
        </w:rPr>
        <w:t xml:space="preserve">  </w:t>
      </w:r>
      <w:r>
        <w:rPr>
          <w:rStyle w:val="Hyperlink.1"/>
          <w:rtl w:val="0"/>
          <w:lang w:val="en-US"/>
        </w:rPr>
        <w:t>redox assay identified two highly efficient isolates (HDB-2 and HDB-4), which completely</w:t>
      </w:r>
      <w:r>
        <w:rPr>
          <w:rStyle w:val="Hyperlink.1"/>
          <w:rtl w:val="0"/>
          <w:lang w:val="en-US"/>
        </w:rPr>
        <w:t xml:space="preserve">  </w:t>
      </w:r>
      <w:r>
        <w:rPr>
          <w:rStyle w:val="Hyperlink.1"/>
          <w:rtl w:val="0"/>
          <w:lang w:val="en-US"/>
        </w:rPr>
        <w:t>decolorized the medium within 72 hours, indicating rapid hydrocarbon oxidation. Based</w:t>
      </w:r>
      <w:r>
        <w:rPr>
          <w:rStyle w:val="Hyperlink.1"/>
          <w:rtl w:val="0"/>
          <w:lang w:val="en-US"/>
        </w:rPr>
        <w:t xml:space="preserve">  </w:t>
      </w:r>
      <w:r>
        <w:rPr>
          <w:rStyle w:val="Hyperlink.1"/>
          <w:rtl w:val="0"/>
          <w:lang w:val="en-US"/>
        </w:rPr>
        <w:t>on morphological and biochemical characterization, these strains were tentatively</w:t>
      </w:r>
      <w:r>
        <w:rPr>
          <w:rStyle w:val="Hyperlink.1"/>
          <w:rtl w:val="0"/>
          <w:lang w:val="en-US"/>
        </w:rPr>
        <w:t xml:space="preserve">  </w:t>
      </w:r>
      <w:r>
        <w:rPr>
          <w:rStyle w:val="Hyperlink.1"/>
          <w:rtl w:val="0"/>
          <w:lang w:val="en-US"/>
        </w:rPr>
        <w:t xml:space="preserve">identified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Pseudomonas </w:t>
      </w:r>
      <w:r>
        <w:rPr>
          <w:rStyle w:val="Hyperlink.1"/>
          <w:rtl w:val="0"/>
          <w:lang w:val="en-US"/>
        </w:rPr>
        <w:t xml:space="preserve">sp.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Bacillus </w:t>
      </w:r>
      <w:r>
        <w:rPr>
          <w:rStyle w:val="Hyperlink.1"/>
          <w:rtl w:val="0"/>
          <w:lang w:val="en-US"/>
        </w:rPr>
        <w:t>sp., respectively. Both strains exhibited</w:t>
      </w:r>
      <w:r>
        <w:rPr>
          <w:rStyle w:val="Hyperlink.1"/>
          <w:rtl w:val="0"/>
          <w:lang w:val="en-US"/>
        </w:rPr>
        <w:t xml:space="preserve">  </w:t>
      </w:r>
      <w:r>
        <w:rPr>
          <w:rStyle w:val="Hyperlink.1"/>
          <w:rtl w:val="0"/>
          <w:lang w:val="en-US"/>
        </w:rPr>
        <w:t>vigorous growth in the presence of elevated diesel concentrations, highlighting their</w:t>
      </w:r>
      <w:r>
        <w:rPr>
          <w:rStyle w:val="Hyperlink.1"/>
          <w:rtl w:val="0"/>
          <w:lang w:val="en-US"/>
        </w:rPr>
        <w:t xml:space="preserve">  </w:t>
      </w:r>
      <w:r>
        <w:rPr>
          <w:rStyle w:val="Hyperlink.1"/>
          <w:rtl w:val="0"/>
          <w:lang w:val="en-US"/>
        </w:rPr>
        <w:t>robust metabolic capacity. The findings suggest that these indigenous isolates possess</w:t>
      </w:r>
      <w:r>
        <w:rPr>
          <w:rStyle w:val="Hyperlink.1"/>
          <w:rtl w:val="0"/>
          <w:lang w:val="en-US"/>
        </w:rPr>
        <w:t xml:space="preserve">  </w:t>
      </w:r>
      <w:r>
        <w:rPr>
          <w:rStyle w:val="Hyperlink.1"/>
          <w:rtl w:val="0"/>
          <w:lang w:val="en-US"/>
        </w:rPr>
        <w:t>significant potential as biological agents for the bioremediation of petroleum contaminated terrestrial and aquatic ecosystems.</w:t>
      </w:r>
      <w:r>
        <w:rPr>
          <w:rStyle w:val="Hyperlink.1"/>
          <w:rtl w:val="0"/>
          <w:lang w:val="en-US"/>
        </w:rPr>
        <w:t> </w:t>
      </w:r>
    </w:p>
    <w:p>
      <w:pPr>
        <w:pStyle w:val="Normal.0"/>
        <w:spacing w:after="0" w:line="360" w:lineRule="auto"/>
        <w:ind w:left="6" w:right="53" w:firstLine="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Keywords: </w:t>
      </w:r>
      <w:r>
        <w:rPr>
          <w:rStyle w:val="Hyperlink.1"/>
          <w:rtl w:val="0"/>
          <w:lang w:val="en-US"/>
        </w:rPr>
        <w:t xml:space="preserve">Bioremediation, Hydrocarbon-degrading bacteria,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Pseudomonas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Bacil lus</w:t>
      </w:r>
      <w:r>
        <w:rPr>
          <w:rStyle w:val="Hyperlink.1"/>
          <w:rtl w:val="0"/>
          <w:lang w:val="en-US"/>
        </w:rPr>
        <w:t>, Petroleum contamination, Biosurfactants, DCPIP assay.</w:t>
      </w:r>
      <w:r>
        <w:rPr>
          <w:rStyle w:val="Hyperlink.1"/>
          <w:rtl w:val="0"/>
          <w:lang w:val="en-US"/>
        </w:rPr>
        <w:t> </w:t>
      </w:r>
    </w:p>
    <w:p>
      <w:pPr>
        <w:pStyle w:val="Normal.0"/>
        <w:spacing w:after="0" w:line="360" w:lineRule="auto"/>
        <w:ind w:left="23"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 xml:space="preserve"> INTRODUCTION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widespread reliance on petroleum products has led to significant environmental</w:t>
      </w:r>
      <w:r>
        <w:rPr>
          <w:rStyle w:val="Hyperlink.1"/>
          <w:rtl w:val="0"/>
          <w:lang w:val="en-US"/>
        </w:rPr>
        <w:t xml:space="preserve">  </w:t>
      </w:r>
      <w:r>
        <w:rPr>
          <w:rStyle w:val="Hyperlink.1"/>
          <w:rtl w:val="0"/>
          <w:lang w:val="en-US"/>
        </w:rPr>
        <w:t>contamination through accidental oil spills, industrial runoff, and improper disposal practices.</w:t>
      </w:r>
      <w:r>
        <w:rPr>
          <w:rStyle w:val="Hyperlink.1"/>
          <w:rtl w:val="0"/>
          <w:lang w:val="en-US"/>
        </w:rPr>
        <w:t xml:space="preserve">  </w:t>
      </w:r>
      <w:r>
        <w:rPr>
          <w:rStyle w:val="Hyperlink.1"/>
          <w:rtl w:val="0"/>
          <w:lang w:val="en-US"/>
        </w:rPr>
        <w:t>Petroleum hydrocarbons are complex, recalcitrant pollutants that pose severe toxicity,</w:t>
      </w:r>
      <w:r>
        <w:rPr>
          <w:rStyle w:val="Hyperlink.1"/>
          <w:rtl w:val="0"/>
          <w:lang w:val="en-US"/>
        </w:rPr>
        <w:t xml:space="preserve">  </w:t>
      </w:r>
      <w:r>
        <w:rPr>
          <w:rStyle w:val="Hyperlink.1"/>
          <w:rtl w:val="0"/>
          <w:lang w:val="en-US"/>
        </w:rPr>
        <w:t>mutagenicity, and carcinogenicity risks to both terrestrial and aquatic ecosystems (Mekonnen</w:t>
      </w:r>
      <w:r>
        <w:rPr>
          <w:rStyle w:val="Hyperlink.1"/>
          <w:rtl w:val="0"/>
          <w:lang w:val="en-US"/>
        </w:rPr>
        <w:t xml:space="preserve">  </w:t>
      </w:r>
      <w:r>
        <w:rPr>
          <w:rStyle w:val="Hyperlink.1"/>
          <w:rtl w:val="0"/>
          <w:lang w:val="en-US"/>
        </w:rPr>
        <w:t>et al., 2024; Xu et al., 2018). While traditional mechanical and chemical methods exist for oil</w:t>
      </w:r>
      <w:r>
        <w:rPr>
          <w:rStyle w:val="Hyperlink.1"/>
          <w:rtl w:val="0"/>
          <w:lang w:val="en-US"/>
        </w:rPr>
        <w:t xml:space="preserve">  </w:t>
      </w:r>
      <w:r>
        <w:rPr>
          <w:rStyle w:val="Hyperlink.1"/>
          <w:rtl w:val="0"/>
          <w:lang w:val="en-US"/>
        </w:rPr>
        <w:t>spill cleanup, they are often prohibitively expensive, labor-intensive, and can introduce toxic</w:t>
      </w:r>
      <w:r>
        <w:rPr>
          <w:rStyle w:val="Hyperlink.1"/>
          <w:rtl w:val="0"/>
          <w:lang w:val="en-US"/>
        </w:rPr>
        <w:t xml:space="preserve">  </w:t>
      </w:r>
      <w:r>
        <w:rPr>
          <w:rStyle w:val="Hyperlink.1"/>
          <w:rtl w:val="0"/>
          <w:lang w:val="en-US"/>
        </w:rPr>
        <w:t>secondary pollutants into the environment.</w:t>
      </w:r>
      <w:r>
        <w:rPr>
          <w:rStyle w:val="Hyperlink.1"/>
          <w:rtl w:val="0"/>
          <w:lang w:val="en-US"/>
        </w:rPr>
        <w:t> </w:t>
      </w:r>
    </w:p>
    <w:p>
      <w:pPr>
        <w:pStyle w:val="Normal.0"/>
        <w:spacing w:after="0" w:line="360" w:lineRule="auto"/>
        <w:ind w:left="9" w:firstLine="711"/>
        <w:jc w:val="both"/>
        <w:rPr>
          <w:rStyle w:val="None"/>
          <w:rFonts w:ascii="Times New Roman" w:cs="Times New Roman" w:hAnsi="Times New Roman" w:eastAsia="Times New Roman"/>
          <w:kern w:val="0"/>
          <w:sz w:val="24"/>
          <w:szCs w:val="24"/>
        </w:rPr>
      </w:pPr>
      <w:r>
        <w:rPr>
          <w:rStyle w:val="Hyperlink.1"/>
          <w:rtl w:val="0"/>
          <w:lang w:val="en-US"/>
        </w:rPr>
        <w:t>Bioremediation</w:t>
      </w:r>
      <w:r>
        <w:rPr>
          <w:rStyle w:val="Hyperlink.1"/>
          <w:rtl w:val="0"/>
          <w:lang w:val="en-US"/>
        </w:rPr>
        <w:t>—</w:t>
      </w:r>
      <w:r>
        <w:rPr>
          <w:rStyle w:val="Hyperlink.1"/>
          <w:rtl w:val="0"/>
          <w:lang w:val="en-US"/>
        </w:rPr>
        <w:t>the utilization of microorganisms to degrade environmental</w:t>
      </w:r>
      <w:r>
        <w:rPr>
          <w:rStyle w:val="Hyperlink.1"/>
          <w:rtl w:val="0"/>
          <w:lang w:val="en-US"/>
        </w:rPr>
        <w:t xml:space="preserve">  </w:t>
      </w:r>
      <w:r>
        <w:rPr>
          <w:rStyle w:val="Hyperlink.1"/>
          <w:rtl w:val="0"/>
          <w:lang w:val="en-US"/>
        </w:rPr>
        <w:t>contaminants into less toxic or non-toxic forms, such as CO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 xml:space="preserve">2 </w:t>
      </w:r>
      <w:r>
        <w:rPr>
          <w:rStyle w:val="Hyperlink.1"/>
          <w:rtl w:val="0"/>
          <w:lang w:val="en-US"/>
        </w:rPr>
        <w:t>and H</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O</w:t>
      </w:r>
      <w:r>
        <w:rPr>
          <w:rStyle w:val="Hyperlink.1"/>
          <w:rtl w:val="0"/>
          <w:lang w:val="en-US"/>
        </w:rPr>
        <w:t>—</w:t>
      </w:r>
      <w:r>
        <w:rPr>
          <w:rStyle w:val="Hyperlink.1"/>
          <w:rtl w:val="0"/>
          <w:lang w:val="en-US"/>
        </w:rPr>
        <w:t>has emerged as a</w:t>
      </w:r>
      <w:r>
        <w:rPr>
          <w:rStyle w:val="Hyperlink.1"/>
          <w:rtl w:val="0"/>
          <w:lang w:val="en-US"/>
        </w:rPr>
        <w:t xml:space="preserve">  </w:t>
      </w:r>
      <w:r>
        <w:rPr>
          <w:rStyle w:val="Hyperlink.1"/>
          <w:rtl w:val="0"/>
          <w:lang w:val="en-US"/>
        </w:rPr>
        <w:t>costeffective and highly eco-friendly alternative (Atlas, 1981). Bacteria indigenous to</w:t>
      </w:r>
      <w:r>
        <w:rPr>
          <w:rStyle w:val="Hyperlink.1"/>
          <w:rtl w:val="0"/>
          <w:lang w:val="en-US"/>
        </w:rPr>
        <w:t xml:space="preserve">  </w:t>
      </w:r>
      <w:r>
        <w:rPr>
          <w:rStyle w:val="Hyperlink.1"/>
          <w:rtl w:val="0"/>
          <w:lang w:val="en-US"/>
        </w:rPr>
        <w:t>chronically contaminated sites often evolve specialized metabolic pathways capable of</w:t>
      </w:r>
      <w:r>
        <w:rPr>
          <w:rStyle w:val="Hyperlink.1"/>
          <w:rtl w:val="0"/>
          <w:lang w:val="en-US"/>
        </w:rPr>
        <w:t xml:space="preserve">  </w:t>
      </w:r>
      <w:r>
        <w:rPr>
          <w:rStyle w:val="Hyperlink.1"/>
          <w:rtl w:val="0"/>
          <w:lang w:val="en-US"/>
        </w:rPr>
        <w:t>utilizing complex hydrocarbons as their primary carbon and energy source (Das &amp; Chandran,</w:t>
      </w:r>
      <w:r>
        <w:rPr>
          <w:rStyle w:val="Hyperlink.1"/>
          <w:rtl w:val="0"/>
          <w:lang w:val="en-US"/>
        </w:rPr>
        <w:t> </w:t>
      </w:r>
    </w:p>
    <w:p>
      <w:pPr>
        <w:pStyle w:val="Normal.0"/>
        <w:spacing w:after="0" w:line="360" w:lineRule="auto"/>
        <w:ind w:left="12" w:firstLine="0"/>
        <w:rPr>
          <w:rStyle w:val="None"/>
          <w:rFonts w:ascii="Times New Roman" w:cs="Times New Roman" w:hAnsi="Times New Roman" w:eastAsia="Times New Roman"/>
          <w:kern w:val="0"/>
          <w:sz w:val="24"/>
          <w:szCs w:val="24"/>
        </w:rPr>
      </w:pPr>
      <w:r>
        <w:rPr>
          <w:rStyle w:val="Hyperlink.1"/>
          <w:rtl w:val="0"/>
          <w:lang w:val="en-US"/>
        </w:rPr>
        <w:t>2011).</w:t>
      </w:r>
      <w:r>
        <w:rPr>
          <w:rStyle w:val="Hyperlink.1"/>
          <w:rtl w:val="0"/>
          <w:lang w:val="en-US"/>
        </w:rPr>
        <w:t> </w:t>
      </w:r>
    </w:p>
    <w:p>
      <w:pPr>
        <w:pStyle w:val="Normal.0"/>
        <w:spacing w:after="0" w:line="360" w:lineRule="auto"/>
        <w:ind w:left="9" w:right="3" w:firstLine="711"/>
        <w:jc w:val="both"/>
        <w:rPr>
          <w:rStyle w:val="None"/>
          <w:rFonts w:ascii="Times New Roman" w:cs="Times New Roman" w:hAnsi="Times New Roman" w:eastAsia="Times New Roman"/>
          <w:kern w:val="0"/>
          <w:sz w:val="24"/>
          <w:szCs w:val="24"/>
        </w:rPr>
      </w:pPr>
      <w:r>
        <w:rPr>
          <w:rStyle w:val="Hyperlink.1"/>
          <w:rtl w:val="0"/>
          <w:lang w:val="en-US"/>
        </w:rPr>
        <w:t>The efficiency of microbial hydrocarbon degradation is primarily driven by two</w:t>
      </w:r>
      <w:r>
        <w:rPr>
          <w:rStyle w:val="Hyperlink.1"/>
          <w:rtl w:val="0"/>
          <w:lang w:val="en-US"/>
        </w:rPr>
        <w:t xml:space="preserve">  </w:t>
      </w:r>
      <w:r>
        <w:rPr>
          <w:rStyle w:val="Hyperlink.1"/>
          <w:rtl w:val="0"/>
          <w:lang w:val="en-US"/>
        </w:rPr>
        <w:t>mechanisms: the secretion of biosurfactants and the production of specific degradative</w:t>
      </w:r>
      <w:r>
        <w:rPr>
          <w:rStyle w:val="Hyperlink.1"/>
          <w:rtl w:val="0"/>
          <w:lang w:val="en-US"/>
        </w:rPr>
        <w:t xml:space="preserve">  </w:t>
      </w:r>
      <w:r>
        <w:rPr>
          <w:rStyle w:val="Hyperlink.1"/>
          <w:rtl w:val="0"/>
          <w:lang w:val="en-US"/>
        </w:rPr>
        <w:t>enzymes.</w:t>
      </w:r>
    </w:p>
    <w:p>
      <w:pPr>
        <w:pStyle w:val="Normal.0"/>
        <w:spacing w:after="0" w:line="360" w:lineRule="auto"/>
        <w:ind w:left="9" w:firstLine="711"/>
        <w:jc w:val="both"/>
        <w:rPr>
          <w:rStyle w:val="None"/>
          <w:rFonts w:ascii="Times New Roman" w:cs="Times New Roman" w:hAnsi="Times New Roman" w:eastAsia="Times New Roman"/>
          <w:kern w:val="0"/>
          <w:sz w:val="24"/>
          <w:szCs w:val="24"/>
        </w:rPr>
      </w:pPr>
      <w:r>
        <w:rPr>
          <w:rStyle w:val="Hyperlink.1"/>
          <w:rtl w:val="0"/>
          <w:lang w:val="en-US"/>
        </w:rPr>
        <w:t>Biosurfactants lower the surface tension at the oil-water interface, emulsifying the</w:t>
      </w:r>
      <w:r>
        <w:rPr>
          <w:rStyle w:val="Hyperlink.1"/>
          <w:rtl w:val="0"/>
          <w:lang w:val="en-US"/>
        </w:rPr>
        <w:t xml:space="preserve">  </w:t>
      </w:r>
      <w:r>
        <w:rPr>
          <w:rStyle w:val="Hyperlink.1"/>
          <w:rtl w:val="0"/>
          <w:lang w:val="en-US"/>
        </w:rPr>
        <w:t>hydrophobic petroleum and significantly increasing its bioavailability for cellular uptake</w:t>
      </w:r>
      <w:r>
        <w:rPr>
          <w:rStyle w:val="Hyperlink.1"/>
          <w:rtl w:val="0"/>
          <w:lang w:val="en-US"/>
        </w:rPr>
        <w:t xml:space="preserve">  </w:t>
      </w:r>
      <w:r>
        <w:rPr>
          <w:rStyle w:val="Hyperlink.1"/>
          <w:rtl w:val="0"/>
          <w:lang w:val="en-US"/>
        </w:rPr>
        <w:t>(Patowary et al., 2017; Ron &amp; Rosenberg, 2002). Once absorbed, the hydrocarbons are broken</w:t>
      </w:r>
      <w:r>
        <w:rPr>
          <w:rStyle w:val="Hyperlink.1"/>
          <w:rtl w:val="0"/>
          <w:lang w:val="en-US"/>
        </w:rPr>
        <w:t xml:space="preserve">  </w:t>
      </w:r>
      <w:r>
        <w:rPr>
          <w:rStyle w:val="Hyperlink.1"/>
          <w:rtl w:val="0"/>
          <w:lang w:val="en-US"/>
        </w:rPr>
        <w:t>down via enzymatic oxidation, typically initiated by oxygenases (Varjani, 2017). Discovering</w:t>
      </w:r>
      <w:r>
        <w:rPr>
          <w:rStyle w:val="Hyperlink.1"/>
          <w:rtl w:val="0"/>
          <w:lang w:val="en-US"/>
        </w:rPr>
        <w:t xml:space="preserve">  </w:t>
      </w:r>
      <w:r>
        <w:rPr>
          <w:rStyle w:val="Hyperlink.1"/>
          <w:rtl w:val="0"/>
          <w:lang w:val="en-US"/>
        </w:rPr>
        <w:t>native strains with these combined capabilities is crucial for developing practical field</w:t>
      </w:r>
      <w:r>
        <w:rPr>
          <w:rStyle w:val="Hyperlink.1"/>
          <w:rtl w:val="0"/>
          <w:lang w:val="en-US"/>
        </w:rPr>
        <w:t xml:space="preserve">  </w:t>
      </w:r>
      <w:r>
        <w:rPr>
          <w:rStyle w:val="Hyperlink.1"/>
          <w:rtl w:val="0"/>
          <w:lang w:val="en-US"/>
        </w:rPr>
        <w:t>applications (Hossain et al., 2022).</w:t>
      </w:r>
      <w:r>
        <w:rPr>
          <w:rStyle w:val="Hyperlink.1"/>
          <w:rtl w:val="0"/>
          <w:lang w:val="en-US"/>
        </w:rPr>
        <w:t> </w:t>
      </w:r>
    </w:p>
    <w:p>
      <w:pPr>
        <w:pStyle w:val="Normal.0"/>
        <w:spacing w:after="0" w:line="360" w:lineRule="auto"/>
        <w:ind w:left="9" w:firstLine="711"/>
        <w:jc w:val="both"/>
        <w:rPr>
          <w:rStyle w:val="None"/>
          <w:rFonts w:ascii="Times New Roman" w:cs="Times New Roman" w:hAnsi="Times New Roman" w:eastAsia="Times New Roman"/>
          <w:kern w:val="0"/>
          <w:sz w:val="24"/>
          <w:szCs w:val="24"/>
        </w:rPr>
      </w:pPr>
      <w:r>
        <w:rPr>
          <w:rStyle w:val="Hyperlink.1"/>
          <w:rtl w:val="0"/>
          <w:lang w:val="en-US"/>
        </w:rPr>
        <w:t>Therefore, this study aims to isolate, screen, and biochemically characterize highly efficient</w:t>
      </w:r>
      <w:r>
        <w:rPr>
          <w:rStyle w:val="Hyperlink.1"/>
          <w:rtl w:val="0"/>
          <w:lang w:val="en-US"/>
        </w:rPr>
        <w:t xml:space="preserve">  </w:t>
      </w:r>
      <w:r>
        <w:rPr>
          <w:rStyle w:val="Hyperlink.1"/>
          <w:rtl w:val="0"/>
          <w:lang w:val="en-US"/>
        </w:rPr>
        <w:t>hydrocarbon-degrading bacteria from chronically contaminated heavy-vehicle garage soil,</w:t>
      </w:r>
      <w:r>
        <w:rPr>
          <w:rStyle w:val="Hyperlink.1"/>
          <w:rtl w:val="0"/>
          <w:lang w:val="en-US"/>
        </w:rPr>
        <w:t xml:space="preserve">  </w:t>
      </w:r>
      <w:r>
        <w:rPr>
          <w:rStyle w:val="Hyperlink.1"/>
          <w:rtl w:val="0"/>
          <w:lang w:val="en-US"/>
        </w:rPr>
        <w:t>evaluating their potential application in large-scale environmental bioremediation.</w:t>
      </w:r>
      <w:r>
        <w:rPr>
          <w:rStyle w:val="Hyperlink.1"/>
          <w:rtl w:val="0"/>
          <w:lang w:val="en-US"/>
        </w:rPr>
        <w:t> </w:t>
      </w:r>
    </w:p>
    <w:p>
      <w:pPr>
        <w:pStyle w:val="Normal.0"/>
        <w:spacing w:after="0" w:line="360" w:lineRule="auto"/>
        <w:ind w:left="13"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w:t>
        <w:tab/>
        <w:t>SAMPLE COLLECTION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 w:firstLine="713"/>
        <w:rPr>
          <w:rStyle w:val="None"/>
          <w:rFonts w:ascii="Times New Roman" w:cs="Times New Roman" w:hAnsi="Times New Roman" w:eastAsia="Times New Roman"/>
          <w:kern w:val="0"/>
          <w:sz w:val="24"/>
          <w:szCs w:val="24"/>
        </w:rPr>
      </w:pPr>
      <w:r>
        <w:rPr>
          <w:rStyle w:val="Hyperlink.1"/>
          <w:rtl w:val="0"/>
          <w:lang w:val="en-US"/>
        </w:rPr>
        <w:t>Soil samples were collected from the vicinity of a heavy-vehicle maintenance garage with a</w:t>
      </w:r>
      <w:r>
        <w:rPr>
          <w:rStyle w:val="Hyperlink.1"/>
          <w:rtl w:val="0"/>
          <w:lang w:val="en-US"/>
        </w:rPr>
        <w:t xml:space="preserve">  </w:t>
      </w:r>
      <w:r>
        <w:rPr>
          <w:rStyle w:val="Hyperlink.1"/>
          <w:rtl w:val="0"/>
          <w:lang w:val="en-US"/>
        </w:rPr>
        <w:t>history of chronic diesel and motor oil spills.</w:t>
      </w:r>
      <w:r>
        <w:rPr>
          <w:rStyle w:val="Hyperlink.1"/>
          <w:rtl w:val="0"/>
          <w:lang w:val="en-US"/>
        </w:rPr>
        <w:t> </w:t>
      </w:r>
    </w:p>
    <w:p>
      <w:pPr>
        <w:pStyle w:val="Normal.0"/>
        <w:spacing w:after="0" w:line="360" w:lineRule="auto"/>
        <w:ind w:left="9" w:firstLine="711"/>
        <w:jc w:val="both"/>
        <w:rPr>
          <w:rStyle w:val="Hyperlink.1"/>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Sampling Depth: </w:t>
      </w:r>
      <w:r>
        <w:rPr>
          <w:rStyle w:val="Hyperlink.1"/>
          <w:rtl w:val="0"/>
          <w:lang w:val="en-US"/>
        </w:rPr>
        <w:t>Samples were retrieved from a depth of 5</w:t>
      </w:r>
      <w:r>
        <w:rPr>
          <w:rStyle w:val="Hyperlink.1"/>
          <w:rtl w:val="0"/>
          <w:lang w:val="en-US"/>
        </w:rPr>
        <w:t>–</w:t>
      </w:r>
      <w:r>
        <w:rPr>
          <w:rStyle w:val="Hyperlink.1"/>
          <w:rtl w:val="0"/>
          <w:lang w:val="en-US"/>
        </w:rPr>
        <w:t>10 cm below the surface</w:t>
      </w:r>
      <w:r>
        <w:rPr>
          <w:rStyle w:val="Hyperlink.1"/>
          <w:rtl w:val="0"/>
          <w:lang w:val="en-US"/>
        </w:rPr>
        <w:t xml:space="preserve">  </w:t>
      </w:r>
      <w:r>
        <w:rPr>
          <w:rStyle w:val="Hyperlink.1"/>
          <w:rtl w:val="0"/>
          <w:lang w:val="en-US"/>
        </w:rPr>
        <w:t>using a sterile spatula to ensure the collection of the active microbial zone.</w:t>
      </w:r>
      <w:r>
        <w:rPr>
          <w:rStyle w:val="Hyperlink.1"/>
          <w:rtl w:val="0"/>
          <w:lang w:val="en-US"/>
        </w:rPr>
        <w:t> </w:t>
      </w:r>
    </w:p>
    <w:p>
      <w:pPr>
        <w:pStyle w:val="Normal.0"/>
        <w:spacing w:after="0" w:line="360" w:lineRule="auto"/>
        <w:ind w:left="9" w:firstLine="711"/>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Storage and Transport: </w:t>
      </w:r>
      <w:r>
        <w:rPr>
          <w:rStyle w:val="Hyperlink.1"/>
          <w:rtl w:val="0"/>
          <w:lang w:val="en-US"/>
        </w:rPr>
        <w:t>Approximately 500g of soil was collected in sterile, airtight</w:t>
      </w:r>
      <w:r>
        <w:rPr>
          <w:rStyle w:val="Hyperlink.1"/>
          <w:rtl w:val="0"/>
          <w:lang w:val="en-US"/>
        </w:rPr>
        <w:t xml:space="preserve">  </w:t>
      </w:r>
      <w:r>
        <w:rPr>
          <w:rStyle w:val="Hyperlink.1"/>
          <w:rtl w:val="0"/>
          <w:lang w:val="en-US"/>
        </w:rPr>
        <w:t>polyethylene bags. The samples were immediately placed in a cool box at 4</w:t>
      </w:r>
      <w:r>
        <w:rPr>
          <w:rStyle w:val="None"/>
          <w:rFonts w:ascii="Times New Roman" w:hAnsi="Times New Roman" w:hint="default"/>
          <w:i w:val="1"/>
          <w:iCs w:val="1"/>
          <w:outline w:val="0"/>
          <w:color w:val="000000"/>
          <w:kern w:val="0"/>
          <w:sz w:val="24"/>
          <w:szCs w:val="24"/>
          <w:u w:color="000000"/>
          <w:vertAlign w:val="superscript"/>
          <w:rtl w:val="0"/>
          <w:lang w:val="en-US"/>
          <w14:textFill>
            <w14:solidFill>
              <w14:srgbClr w14:val="000000"/>
            </w14:solidFill>
          </w14:textFill>
        </w:rPr>
        <w:t>◦</w:t>
      </w:r>
      <w:r>
        <w:rPr>
          <w:rStyle w:val="Hyperlink.1"/>
          <w:rtl w:val="0"/>
          <w:lang w:val="en-US"/>
        </w:rPr>
        <w:t>C to</w:t>
      </w:r>
      <w:r>
        <w:rPr>
          <w:rStyle w:val="Hyperlink.1"/>
          <w:rtl w:val="0"/>
          <w:lang w:val="en-US"/>
        </w:rPr>
        <w:t xml:space="preserve">  </w:t>
      </w:r>
      <w:r>
        <w:rPr>
          <w:rStyle w:val="Hyperlink.1"/>
          <w:rtl w:val="0"/>
          <w:lang w:val="en-US"/>
        </w:rPr>
        <w:t>maintain microbial viability and transported to the laboratory for processing within 24</w:t>
      </w:r>
      <w:r>
        <w:rPr>
          <w:rStyle w:val="Hyperlink.1"/>
          <w:rtl w:val="0"/>
          <w:lang w:val="en-US"/>
        </w:rPr>
        <w:t xml:space="preserve">  </w:t>
      </w:r>
      <w:r>
        <w:rPr>
          <w:rStyle w:val="Hyperlink.1"/>
          <w:rtl w:val="0"/>
          <w:lang w:val="en-US"/>
        </w:rPr>
        <w:t>hours.</w:t>
      </w:r>
      <w:r>
        <w:rPr>
          <w:rStyle w:val="Hyperlink.1"/>
          <w:rtl w:val="0"/>
          <w:lang w:val="en-US"/>
        </w:rPr>
        <w:t> </w:t>
      </w:r>
    </w:p>
    <w:p>
      <w:pPr>
        <w:pStyle w:val="Normal.0"/>
        <w:spacing w:after="0" w:line="360" w:lineRule="auto"/>
        <w:ind w:left="13"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 </w:t>
        <w:tab/>
        <w:t>MATERIALS AND METHODS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1"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3.1 </w:t>
        <w:tab/>
        <w:t>Enrichment and Isolation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4" w:firstLine="720"/>
        <w:jc w:val="both"/>
        <w:rPr>
          <w:rStyle w:val="None"/>
          <w:rFonts w:ascii="Times New Roman" w:cs="Times New Roman" w:hAnsi="Times New Roman" w:eastAsia="Times New Roman"/>
          <w:kern w:val="0"/>
          <w:sz w:val="24"/>
          <w:szCs w:val="24"/>
        </w:rPr>
      </w:pPr>
      <w:r>
        <w:rPr>
          <w:rStyle w:val="Hyperlink.1"/>
          <w:rtl w:val="0"/>
          <w:lang w:val="en-US"/>
        </w:rPr>
        <w:t>The enrichment culture technique was performed using Bushnell Haas (BH) broth, a minimal</w:t>
      </w:r>
      <w:r>
        <w:rPr>
          <w:rStyle w:val="Hyperlink.1"/>
          <w:rtl w:val="0"/>
          <w:lang w:val="en-US"/>
        </w:rPr>
        <w:t xml:space="preserve">  </w:t>
      </w:r>
      <w:r>
        <w:rPr>
          <w:rStyle w:val="Hyperlink.1"/>
          <w:rtl w:val="0"/>
          <w:lang w:val="en-US"/>
        </w:rPr>
        <w:t>mineral salts medium lacking a carbon source.</w:t>
      </w:r>
      <w:r>
        <w:rPr>
          <w:rStyle w:val="Hyperlink.1"/>
          <w:rtl w:val="0"/>
          <w:lang w:val="en-US"/>
        </w:rPr>
        <w:t> </w:t>
      </w:r>
    </w:p>
    <w:p>
      <w:pPr>
        <w:pStyle w:val="List Paragraph"/>
        <w:numPr>
          <w:ilvl w:val="0"/>
          <w:numId w:val="42"/>
        </w:numPr>
        <w:bidi w:val="0"/>
        <w:spacing w:after="0" w:line="360" w:lineRule="auto"/>
        <w:ind w:right="4"/>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10g of the collected soil was suspended in 90 mL of sterile distilled water and agitated</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outline w:val="0"/>
          <w:color w:val="000000"/>
          <w:kern w:val="0"/>
          <w:sz w:val="24"/>
          <w:szCs w:val="24"/>
          <w:u w:color="000000"/>
          <w:rtl w:val="0"/>
          <w:lang w:val="en-US"/>
          <w14:textFill>
            <w14:solidFill>
              <w14:srgbClr w14:val="000000"/>
            </w14:solidFill>
          </w14:textFill>
        </w:rPr>
        <w:t>for 30 minutes.</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w:t>
      </w:r>
    </w:p>
    <w:p>
      <w:pPr>
        <w:pStyle w:val="List Paragraph"/>
        <w:numPr>
          <w:ilvl w:val="0"/>
          <w:numId w:val="42"/>
        </w:numPr>
        <w:bidi w:val="0"/>
        <w:spacing w:after="0" w:line="360" w:lineRule="auto"/>
        <w:ind w:right="4"/>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1 mL of the soil suspension was inoculated into 100 mL of BH broth supplemented with</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outline w:val="0"/>
          <w:color w:val="000000"/>
          <w:kern w:val="0"/>
          <w:sz w:val="24"/>
          <w:szCs w:val="24"/>
          <w:u w:color="000000"/>
          <w:rtl w:val="0"/>
          <w:lang w:val="en-US"/>
          <w14:textFill>
            <w14:solidFill>
              <w14:srgbClr w14:val="000000"/>
            </w14:solidFill>
          </w14:textFill>
        </w:rPr>
        <w:t>1% (v/v) filtered diesel as the sole carbon source.</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w:t>
      </w:r>
    </w:p>
    <w:p>
      <w:pPr>
        <w:pStyle w:val="List Paragraph"/>
        <w:numPr>
          <w:ilvl w:val="0"/>
          <w:numId w:val="42"/>
        </w:numPr>
        <w:bidi w:val="0"/>
        <w:spacing w:after="0" w:line="360" w:lineRule="auto"/>
        <w:ind w:right="4"/>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The flasks were incubated in a rotary shaker at 150 rpm and 30</w:t>
      </w:r>
      <w:r>
        <w:rPr>
          <w:rStyle w:val="None"/>
          <w:rFonts w:ascii="Times New Roman" w:hAnsi="Times New Roman" w:hint="default"/>
          <w:i w:val="1"/>
          <w:iCs w:val="1"/>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rtl w:val="0"/>
          <w:lang w:val="en-US"/>
          <w14:textFill>
            <w14:solidFill>
              <w14:srgbClr w14:val="000000"/>
            </w14:solidFill>
          </w14:textFill>
        </w:rPr>
        <w:t>C for 7 days.</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w:t>
      </w:r>
    </w:p>
    <w:p>
      <w:pPr>
        <w:pStyle w:val="List Paragraph"/>
        <w:numPr>
          <w:ilvl w:val="0"/>
          <w:numId w:val="42"/>
        </w:numPr>
        <w:bidi w:val="0"/>
        <w:spacing w:after="0" w:line="360" w:lineRule="auto"/>
        <w:ind w:right="4"/>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After three successive transfers (subculturing), 0.1 mL of the enriched culture was</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outline w:val="0"/>
          <w:color w:val="000000"/>
          <w:kern w:val="0"/>
          <w:sz w:val="24"/>
          <w:szCs w:val="24"/>
          <w:u w:color="000000"/>
          <w:rtl w:val="0"/>
          <w:lang w:val="en-US"/>
          <w14:textFill>
            <w14:solidFill>
              <w14:srgbClr w14:val="000000"/>
            </w14:solidFill>
          </w14:textFill>
        </w:rPr>
        <w:t>spred onto BH agar plates coated with 50</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 </w:t>
      </w:r>
      <w:r>
        <w:rPr>
          <w:rStyle w:val="None"/>
          <w:rFonts w:ascii="Times New Roman" w:hAnsi="Times New Roman" w:hint="default"/>
          <w:i w:val="1"/>
          <w:iCs w:val="1"/>
          <w:outline w:val="0"/>
          <w:color w:val="000000"/>
          <w:kern w:val="0"/>
          <w:sz w:val="24"/>
          <w:szCs w:val="24"/>
          <w:u w:color="000000"/>
          <w:vertAlign w:val="subscript"/>
          <w:rtl w:val="0"/>
          <w:lang w:val="en-US"/>
          <w14:textFill>
            <w14:solidFill>
              <w14:srgbClr w14:val="000000"/>
            </w14:solidFill>
          </w14:textFill>
        </w:rPr>
        <w:t>µ</w:t>
      </w:r>
      <w:r>
        <w:rPr>
          <w:rStyle w:val="None"/>
          <w:rFonts w:ascii="Times New Roman" w:hAnsi="Times New Roman"/>
          <w:outline w:val="0"/>
          <w:color w:val="000000"/>
          <w:kern w:val="0"/>
          <w:sz w:val="24"/>
          <w:szCs w:val="24"/>
          <w:u w:color="000000"/>
          <w:rtl w:val="0"/>
          <w:lang w:val="en-US"/>
          <w14:textFill>
            <w14:solidFill>
              <w14:srgbClr w14:val="000000"/>
            </w14:solidFill>
          </w14:textFill>
        </w:rPr>
        <w:t>L of diesel. Plates were incubated at 30</w:t>
      </w:r>
      <w:r>
        <w:rPr>
          <w:rStyle w:val="None"/>
          <w:rFonts w:ascii="Times New Roman" w:hAnsi="Times New Roman" w:hint="default"/>
          <w:i w:val="1"/>
          <w:iCs w:val="1"/>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rtl w:val="0"/>
          <w:lang w:val="en-US"/>
          <w14:textFill>
            <w14:solidFill>
              <w14:srgbClr w14:val="000000"/>
            </w14:solidFill>
          </w14:textFill>
        </w:rPr>
        <w:t>C</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outline w:val="0"/>
          <w:color w:val="000000"/>
          <w:kern w:val="0"/>
          <w:sz w:val="24"/>
          <w:szCs w:val="24"/>
          <w:u w:color="000000"/>
          <w:rtl w:val="0"/>
          <w:lang w:val="en-US"/>
          <w14:textFill>
            <w14:solidFill>
              <w14:srgbClr w14:val="000000"/>
            </w14:solidFill>
          </w14:textFill>
        </w:rPr>
        <w:t>for 48</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w:t>
      </w:r>
      <w:r>
        <w:rPr>
          <w:rStyle w:val="None"/>
          <w:rFonts w:ascii="Times New Roman" w:hAnsi="Times New Roman"/>
          <w:outline w:val="0"/>
          <w:color w:val="000000"/>
          <w:kern w:val="0"/>
          <w:sz w:val="24"/>
          <w:szCs w:val="24"/>
          <w:u w:color="000000"/>
          <w:rtl w:val="0"/>
          <w:lang w:val="en-US"/>
          <w14:textFill>
            <w14:solidFill>
              <w14:srgbClr w14:val="000000"/>
            </w14:solidFill>
          </w14:textFill>
        </w:rPr>
        <w:t>72 hours. Morphologically distinct colonies were purified via repeated streaking.</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1"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3.2 </w:t>
        <w:tab/>
        <w:t>Screening for Hydrocarbon Degradation Potential</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isolated strains were screened using the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2,6-dichlorophenolindophenol (DCPIP) assay</w:t>
      </w:r>
      <w:r>
        <w:rPr>
          <w:rStyle w:val="Hyperlink.1"/>
          <w:rtl w:val="0"/>
          <w:lang w:val="en-US"/>
        </w:rPr>
        <w:t>.</w:t>
      </w:r>
      <w:r>
        <w:rPr>
          <w:rStyle w:val="Hyperlink.1"/>
          <w:rtl w:val="0"/>
          <w:lang w:val="en-US"/>
        </w:rPr>
        <w:t xml:space="preserve">  </w:t>
      </w:r>
      <w:r>
        <w:rPr>
          <w:rStyle w:val="Hyperlink.1"/>
          <w:rtl w:val="0"/>
          <w:lang w:val="en-US"/>
        </w:rPr>
        <w:t>DCPIP acts as an electron acceptor; as bacteria oxidize the hydrocarbons, electrons are</w:t>
      </w:r>
      <w:r>
        <w:rPr>
          <w:rStyle w:val="Hyperlink.1"/>
          <w:rtl w:val="0"/>
          <w:lang w:val="en-US"/>
        </w:rPr>
        <w:t xml:space="preserve">  </w:t>
      </w:r>
      <w:r>
        <w:rPr>
          <w:rStyle w:val="Hyperlink.1"/>
          <w:rtl w:val="0"/>
          <w:lang w:val="en-US"/>
        </w:rPr>
        <w:t>transferred to DCPIP, shifting its color from blue to colorless.  Isolates were inoculated into test tubes containing BH broth, 1% diesel, and 0.1% DCPIP.</w:t>
      </w:r>
      <w:r>
        <w:rPr>
          <w:rStyle w:val="Hyperlink.1"/>
          <w:rtl w:val="0"/>
          <w:lang w:val="en-US"/>
        </w:rPr>
        <w:t xml:space="preserve">   </w:t>
      </w:r>
      <w:r>
        <w:rPr>
          <w:rStyle w:val="Hyperlink.1"/>
          <w:rtl w:val="0"/>
          <w:lang w:val="en-US"/>
        </w:rPr>
        <w:t>The tubes were incubated at 30</w:t>
      </w:r>
      <w:r>
        <w:rPr>
          <w:rStyle w:val="None"/>
          <w:rFonts w:ascii="Times New Roman" w:hAnsi="Times New Roman" w:hint="default"/>
          <w:i w:val="1"/>
          <w:iCs w:val="1"/>
          <w:outline w:val="0"/>
          <w:color w:val="000000"/>
          <w:kern w:val="0"/>
          <w:sz w:val="24"/>
          <w:szCs w:val="24"/>
          <w:u w:color="000000"/>
          <w:vertAlign w:val="superscript"/>
          <w:rtl w:val="0"/>
          <w:lang w:val="en-US"/>
          <w14:textFill>
            <w14:solidFill>
              <w14:srgbClr w14:val="000000"/>
            </w14:solidFill>
          </w14:textFill>
        </w:rPr>
        <w:t>◦</w:t>
      </w:r>
      <w:r>
        <w:rPr>
          <w:rStyle w:val="Hyperlink.1"/>
          <w:rtl w:val="0"/>
          <w:lang w:val="en-US"/>
        </w:rPr>
        <w:t>C, and the time taken for complete decolorization was</w:t>
      </w:r>
      <w:r>
        <w:rPr>
          <w:rStyle w:val="Hyperlink.1"/>
          <w:rtl w:val="0"/>
          <w:lang w:val="en-US"/>
        </w:rPr>
        <w:t xml:space="preserve">  </w:t>
      </w:r>
      <w:r>
        <w:rPr>
          <w:rStyle w:val="Hyperlink.1"/>
          <w:rtl w:val="0"/>
          <w:lang w:val="en-US"/>
        </w:rPr>
        <w:t>recorded.</w:t>
      </w:r>
      <w:r>
        <w:rPr>
          <w:rStyle w:val="Hyperlink.1"/>
          <w:rtl w:val="0"/>
          <w:lang w:val="en-US"/>
        </w:rPr>
        <w:t> </w:t>
      </w:r>
    </w:p>
    <w:p>
      <w:pPr>
        <w:pStyle w:val="Normal.0"/>
        <w:spacing w:after="0" w:line="360" w:lineRule="auto"/>
        <w:ind w:left="11"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3.3 Biochemical Characterization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3" w:firstLine="720"/>
        <w:jc w:val="both"/>
        <w:rPr>
          <w:rStyle w:val="None"/>
          <w:rFonts w:ascii="Times New Roman" w:cs="Times New Roman" w:hAnsi="Times New Roman" w:eastAsia="Times New Roman"/>
          <w:kern w:val="0"/>
          <w:sz w:val="24"/>
          <w:szCs w:val="24"/>
        </w:rPr>
      </w:pPr>
      <w:r>
        <w:rPr>
          <w:rStyle w:val="Hyperlink.1"/>
          <w:rtl w:val="0"/>
          <w:lang w:val="en-US"/>
        </w:rPr>
        <w:t>The most efficient isolates were characterized using standard microbiological techniques,</w:t>
      </w:r>
      <w:r>
        <w:rPr>
          <w:rStyle w:val="Hyperlink.1"/>
          <w:rtl w:val="0"/>
          <w:lang w:val="en-US"/>
        </w:rPr>
        <w:t xml:space="preserve">  </w:t>
      </w:r>
      <w:r>
        <w:rPr>
          <w:rStyle w:val="Hyperlink.1"/>
          <w:rtl w:val="0"/>
          <w:lang w:val="en-US"/>
        </w:rPr>
        <w:t>including Gram staining, motility testing, and biochemical assays (Catalase, Oxidase, Indole,</w:t>
      </w:r>
      <w:r>
        <w:rPr>
          <w:rStyle w:val="Hyperlink.1"/>
          <w:rtl w:val="0"/>
          <w:lang w:val="en-US"/>
        </w:rPr>
        <w:t xml:space="preserve">  </w:t>
      </w:r>
      <w:r>
        <w:rPr>
          <w:rStyle w:val="Hyperlink.1"/>
          <w:rtl w:val="0"/>
          <w:lang w:val="en-US"/>
        </w:rPr>
        <w:t>Methyl Red, and Citrate utilization) following Bergey</w:t>
      </w:r>
      <w:r>
        <w:rPr>
          <w:rStyle w:val="Hyperlink.1"/>
          <w:rtl w:val="0"/>
          <w:lang w:val="en-US"/>
        </w:rPr>
        <w:t>’</w:t>
      </w:r>
      <w:r>
        <w:rPr>
          <w:rStyle w:val="Hyperlink.1"/>
          <w:rtl w:val="0"/>
          <w:lang w:val="en-US"/>
        </w:rPr>
        <w:t>s Manual of Determinative Bacteriology.</w:t>
      </w:r>
      <w:r>
        <w:rPr>
          <w:rStyle w:val="Hyperlink.1"/>
          <w:rtl w:val="0"/>
          <w:lang w:val="en-US"/>
        </w:rPr>
        <w:t> </w:t>
      </w:r>
    </w:p>
    <w:p>
      <w:pPr>
        <w:pStyle w:val="Normal.0"/>
        <w:spacing w:after="0" w:line="360" w:lineRule="auto"/>
        <w:ind w:left="4"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 </w:t>
        <w:tab/>
        <w:t>RESULTS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4"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4.1 </w:t>
        <w:tab/>
        <w:t>Isolation and Screening</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2" w:firstLine="718"/>
        <w:jc w:val="both"/>
        <w:rPr>
          <w:rStyle w:val="None"/>
          <w:rFonts w:ascii="Times New Roman" w:cs="Times New Roman" w:hAnsi="Times New Roman" w:eastAsia="Times New Roman"/>
          <w:kern w:val="0"/>
          <w:sz w:val="24"/>
          <w:szCs w:val="24"/>
        </w:rPr>
      </w:pPr>
      <w:r>
        <w:rPr>
          <w:rStyle w:val="Hyperlink.1"/>
          <w:rtl w:val="0"/>
          <w:lang w:val="en-US"/>
        </w:rPr>
        <w:t>A total of five morphologically distinct bacterial strains (designated HDB-1 through HDB5)</w:t>
      </w:r>
      <w:r>
        <w:rPr>
          <w:rStyle w:val="Hyperlink.1"/>
          <w:rtl w:val="0"/>
          <w:lang w:val="en-US"/>
        </w:rPr>
        <w:t xml:space="preserve">  </w:t>
      </w:r>
      <w:r>
        <w:rPr>
          <w:rStyle w:val="Hyperlink.1"/>
          <w:rtl w:val="0"/>
          <w:lang w:val="en-US"/>
        </w:rPr>
        <w:t>were isolated from the enriched BH agar plates. During the DCPIP screening, two isolates</w:t>
      </w:r>
      <w:r>
        <w:rPr>
          <w:rStyle w:val="Hyperlink.1"/>
          <w:rtl w:val="0"/>
          <w:lang w:val="en-US"/>
        </w:rPr>
        <w:t xml:space="preserve">  </w:t>
      </w:r>
      <w:r>
        <w:rPr>
          <w:rStyle w:val="Hyperlink.1"/>
          <w:rtl w:val="0"/>
          <w:lang w:val="en-US"/>
        </w:rPr>
        <w:t>(HDB-2 and HDB-4) demonstrated superior degradation capabilities, completely decolorizing</w:t>
      </w:r>
      <w:r>
        <w:rPr>
          <w:rStyle w:val="Hyperlink.1"/>
          <w:rtl w:val="0"/>
          <w:lang w:val="en-US"/>
        </w:rPr>
        <w:t xml:space="preserve">  </w:t>
      </w:r>
      <w:r>
        <w:rPr>
          <w:rStyle w:val="Hyperlink.1"/>
          <w:rtl w:val="0"/>
          <w:lang w:val="en-US"/>
        </w:rPr>
        <w:t>the medium within 72 hours, indicating rapid oxidation of the diesel hydrocarbons.</w:t>
      </w:r>
      <w:r>
        <w:rPr>
          <w:rStyle w:val="Hyperlink.1"/>
          <w:rtl w:val="0"/>
          <w:lang w:val="en-US"/>
        </w:rPr>
        <w:t> </w:t>
      </w:r>
    </w:p>
    <w:p>
      <w:pPr>
        <w:pStyle w:val="Normal.0"/>
        <w:spacing w:after="0" w:line="360" w:lineRule="auto"/>
        <w:ind w:left="4"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4.2 </w:t>
        <w:tab/>
        <w:t>Morphological and Biochemical Characterization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5" w:firstLine="720"/>
        <w:rPr>
          <w:rStyle w:val="None"/>
          <w:rFonts w:ascii="Times New Roman" w:cs="Times New Roman" w:hAnsi="Times New Roman" w:eastAsia="Times New Roman"/>
          <w:kern w:val="0"/>
          <w:sz w:val="24"/>
          <w:szCs w:val="24"/>
        </w:rPr>
      </w:pPr>
      <w:r>
        <w:rPr>
          <w:rStyle w:val="Hyperlink.1"/>
          <w:rtl w:val="0"/>
          <w:lang w:val="en-US"/>
        </w:rPr>
        <w:t>The two highly efficient strains were subjected to biochemical profiling to determine their</w:t>
      </w:r>
      <w:r>
        <w:rPr>
          <w:rStyle w:val="Hyperlink.1"/>
          <w:rtl w:val="0"/>
          <w:lang w:val="en-US"/>
        </w:rPr>
        <w:t xml:space="preserve">  </w:t>
      </w:r>
      <w:r>
        <w:rPr>
          <w:rStyle w:val="Hyperlink.1"/>
          <w:rtl w:val="0"/>
          <w:lang w:val="en-US"/>
        </w:rPr>
        <w:t>tentative genus.</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Characteristic Isolate HDB-2 Isolate HDB-4</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Gram Stain </w:t>
      </w:r>
      <w:r>
        <w:rPr>
          <w:rStyle w:val="Hyperlink.1"/>
          <w:rtl w:val="0"/>
          <w:lang w:val="en-US"/>
        </w:rPr>
        <w:t>Negative (Pink rods) Positive (Purple rods)</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Motility </w:t>
      </w:r>
      <w:r>
        <w:rPr>
          <w:rStyle w:val="Hyperlink.1"/>
          <w:rtl w:val="0"/>
          <w:lang w:val="en-US"/>
        </w:rPr>
        <w:t>Motile Motile</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Catalase </w:t>
      </w:r>
      <w:r>
        <w:rPr>
          <w:rStyle w:val="Hyperlink.1"/>
          <w:rtl w:val="0"/>
          <w:lang w:val="en-US"/>
        </w:rPr>
        <w:t>Positive Positive</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Oxidase </w:t>
      </w:r>
      <w:r>
        <w:rPr>
          <w:rStyle w:val="Hyperlink.1"/>
          <w:rtl w:val="0"/>
          <w:lang w:val="en-US"/>
        </w:rPr>
        <w:t>Positive Negative</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Citrate </w:t>
      </w:r>
      <w:r>
        <w:rPr>
          <w:rStyle w:val="Hyperlink.1"/>
          <w:rtl w:val="0"/>
          <w:lang w:val="en-US"/>
        </w:rPr>
        <w:t>Positive Positive</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Spore Formation </w:t>
      </w:r>
      <w:r>
        <w:rPr>
          <w:rStyle w:val="Hyperlink.1"/>
          <w:rtl w:val="0"/>
          <w:lang w:val="en-US"/>
        </w:rPr>
        <w:t>Negative Positive</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Tentative Genus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Pseudomonas </w:t>
      </w:r>
      <w:r>
        <w:rPr>
          <w:rStyle w:val="Hyperlink.1"/>
          <w:rtl w:val="0"/>
          <w:lang w:val="en-US"/>
        </w:rPr>
        <w:t xml:space="preserve">sp.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Bacillus </w:t>
      </w:r>
      <w:r>
        <w:rPr>
          <w:rStyle w:val="Hyperlink.1"/>
          <w:rtl w:val="0"/>
          <w:lang w:val="en-US"/>
        </w:rPr>
        <w:t>sp.</w:t>
      </w:r>
      <w:r>
        <w:rPr>
          <w:rStyle w:val="Hyperlink.1"/>
          <w:rtl w:val="0"/>
          <w:lang w:val="en-US"/>
        </w:rPr>
        <w:t> </w:t>
      </w:r>
    </w:p>
    <w:p>
      <w:pPr>
        <w:pStyle w:val="Normal.0"/>
        <w:spacing w:after="0" w:line="360" w:lineRule="auto"/>
        <w:ind w:right="5" w:firstLine="720"/>
        <w:jc w:val="both"/>
        <w:rPr>
          <w:rStyle w:val="Hyperlink.1"/>
        </w:rPr>
      </w:pPr>
      <w:r>
        <w:rPr>
          <w:rStyle w:val="Hyperlink.1"/>
          <w:rtl w:val="0"/>
          <w:lang w:val="en-US"/>
        </w:rPr>
        <w:t>Isolate HDB-2 exhibited characteristics consistent with the genus Pseudomonas, while</w:t>
      </w:r>
      <w:r>
        <w:rPr>
          <w:rStyle w:val="Hyperlink.1"/>
          <w:rtl w:val="0"/>
          <w:lang w:val="en-US"/>
        </w:rPr>
        <w:t>  </w:t>
      </w:r>
      <w:r>
        <w:rPr>
          <w:rStyle w:val="Hyperlink.1"/>
          <w:rtl w:val="0"/>
          <w:lang w:val="en-US"/>
        </w:rPr>
        <w:t>HDB-4 aligned with the genus Bacillus. Both strains exhibited vigorous growth in the presence</w:t>
      </w:r>
      <w:r>
        <w:rPr>
          <w:rStyle w:val="Hyperlink.1"/>
          <w:rtl w:val="0"/>
          <w:lang w:val="en-US"/>
        </w:rPr>
        <w:t xml:space="preserve">  </w:t>
      </w:r>
      <w:r>
        <w:rPr>
          <w:rStyle w:val="Hyperlink.1"/>
          <w:rtl w:val="0"/>
          <w:lang w:val="en-US"/>
        </w:rPr>
        <w:t>of 1% and 2% diesel concentrations.</w:t>
      </w:r>
      <w:r>
        <w:rPr>
          <w:rStyle w:val="Hyperlink.1"/>
          <w:rtl w:val="0"/>
          <w:lang w:val="en-US"/>
        </w:rPr>
        <w:t> </w:t>
      </w:r>
    </w:p>
    <w:p>
      <w:pPr>
        <w:pStyle w:val="Normal.0"/>
        <w:spacing w:after="0" w:line="360" w:lineRule="auto"/>
        <w:ind w:right="5"/>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5.</w:t>
        <w:tab/>
        <w:t>DISCUSSION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5" w:firstLine="720"/>
        <w:jc w:val="both"/>
        <w:rPr>
          <w:rStyle w:val="Hyperlink.1"/>
        </w:rPr>
      </w:pPr>
      <w:r>
        <w:rPr>
          <w:rStyle w:val="Hyperlink.1"/>
          <w:rtl w:val="0"/>
          <w:lang w:val="en-US"/>
        </w:rPr>
        <w:t>The isolation of Pseudomonas and Bacillus species from hydrocarbon-contaminated</w:t>
      </w:r>
      <w:r>
        <w:rPr>
          <w:rStyle w:val="Hyperlink.1"/>
          <w:rtl w:val="0"/>
          <w:lang w:val="en-US"/>
        </w:rPr>
        <w:t xml:space="preserve">  </w:t>
      </w:r>
      <w:r>
        <w:rPr>
          <w:rStyle w:val="Hyperlink.1"/>
          <w:rtl w:val="0"/>
          <w:lang w:val="en-US"/>
        </w:rPr>
        <w:t>environments aligns with extensive literature documenting their robust bioremediation</w:t>
      </w:r>
      <w:r>
        <w:rPr>
          <w:rStyle w:val="Hyperlink.1"/>
          <w:rtl w:val="0"/>
          <w:lang w:val="en-US"/>
        </w:rPr>
        <w:t xml:space="preserve">  </w:t>
      </w:r>
      <w:r>
        <w:rPr>
          <w:rStyle w:val="Hyperlink.1"/>
          <w:rtl w:val="0"/>
          <w:lang w:val="en-US"/>
        </w:rPr>
        <w:t>potential (Chandra et al., 2013; Mnif et al., 2009).</w:t>
      </w:r>
      <w:r>
        <w:rPr>
          <w:rStyle w:val="Hyperlink.1"/>
          <w:rtl w:val="0"/>
          <w:lang w:val="en-US"/>
        </w:rPr>
        <w:t> </w:t>
      </w:r>
    </w:p>
    <w:p>
      <w:pPr>
        <w:pStyle w:val="Normal.0"/>
        <w:spacing w:after="0" w:line="360" w:lineRule="auto"/>
        <w:ind w:right="5" w:firstLine="720"/>
        <w:jc w:val="both"/>
        <w:rPr>
          <w:rStyle w:val="Hyperlink.1"/>
        </w:rPr>
      </w:pPr>
      <w:r>
        <w:rPr>
          <w:rStyle w:val="Hyperlink.1"/>
          <w:rtl w:val="0"/>
          <w:lang w:val="en-US"/>
        </w:rPr>
        <w:t>The rapid decolorization of DCPIP by HDB-2 (Pseudomonas sp.) suggests the presence of</w:t>
      </w:r>
      <w:r>
        <w:rPr>
          <w:rStyle w:val="Hyperlink.1"/>
          <w:rtl w:val="0"/>
          <w:lang w:val="en-US"/>
        </w:rPr>
        <w:t xml:space="preserve">  </w:t>
      </w:r>
      <w:r>
        <w:rPr>
          <w:rStyle w:val="Hyperlink.1"/>
          <w:rtl w:val="0"/>
          <w:lang w:val="en-US"/>
        </w:rPr>
        <w:t>highly active alkane hydroxylase enzymes, which are necessary for the initial oxidation of</w:t>
      </w:r>
      <w:r>
        <w:rPr>
          <w:rStyle w:val="Hyperlink.1"/>
          <w:rtl w:val="0"/>
          <w:lang w:val="en-US"/>
        </w:rPr>
        <w:t>  </w:t>
      </w:r>
      <w:r>
        <w:rPr>
          <w:rStyle w:val="Hyperlink.1"/>
          <w:rtl w:val="0"/>
          <w:lang w:val="en-US"/>
        </w:rPr>
        <w:t>aliphatic hydrocarbons. Members of the genus Pseudomonas are renowned for their</w:t>
      </w:r>
      <w:r>
        <w:rPr>
          <w:rStyle w:val="Hyperlink.1"/>
          <w:rtl w:val="0"/>
          <w:lang w:val="en-US"/>
        </w:rPr>
        <w:t xml:space="preserve">  </w:t>
      </w:r>
      <w:r>
        <w:rPr>
          <w:rStyle w:val="Hyperlink.1"/>
          <w:rtl w:val="0"/>
          <w:lang w:val="en-US"/>
        </w:rPr>
        <w:t>metabolic versatility and their ability to produce rhamnolipid biosurfactants (Patowary et al.,</w:t>
      </w:r>
      <w:r>
        <w:rPr>
          <w:rStyle w:val="Hyperlink.1"/>
          <w:rtl w:val="0"/>
          <w:lang w:val="en-US"/>
        </w:rPr>
        <w:t xml:space="preserve">  </w:t>
      </w:r>
      <w:r>
        <w:rPr>
          <w:rStyle w:val="Hyperlink.1"/>
          <w:rtl w:val="0"/>
          <w:lang w:val="en-US"/>
        </w:rPr>
        <w:t>2017). These biosurfactants lower the surface tension at the oil-water interface, emulsifying</w:t>
      </w:r>
      <w:r>
        <w:rPr>
          <w:rStyle w:val="Hyperlink.1"/>
          <w:rtl w:val="0"/>
          <w:lang w:val="en-US"/>
        </w:rPr>
        <w:t xml:space="preserve">  </w:t>
      </w:r>
      <w:r>
        <w:rPr>
          <w:rStyle w:val="Hyperlink.1"/>
          <w:rtl w:val="0"/>
          <w:lang w:val="en-US"/>
        </w:rPr>
        <w:t>the diesel and making it biologically available for cellular uptake.</w:t>
      </w:r>
      <w:r>
        <w:rPr>
          <w:rStyle w:val="Hyperlink.1"/>
          <w:rtl w:val="0"/>
          <w:lang w:val="en-US"/>
        </w:rPr>
        <w:t> </w:t>
      </w:r>
    </w:p>
    <w:p>
      <w:pPr>
        <w:pStyle w:val="Normal.0"/>
        <w:spacing w:after="0" w:line="360" w:lineRule="auto"/>
        <w:ind w:right="5" w:firstLine="720"/>
        <w:jc w:val="both"/>
        <w:rPr>
          <w:rStyle w:val="Hyperlink.1"/>
        </w:rPr>
      </w:pPr>
      <w:r>
        <w:rPr>
          <w:rStyle w:val="Hyperlink.1"/>
          <w:rtl w:val="0"/>
          <w:lang w:val="en-US"/>
        </w:rPr>
        <w:t>Similarly, Bacillus species (HDB-4) are robust bioremediators due to their ability to form</w:t>
      </w:r>
      <w:r>
        <w:rPr>
          <w:rStyle w:val="Hyperlink.1"/>
          <w:rtl w:val="0"/>
          <w:lang w:val="en-US"/>
        </w:rPr>
        <w:t xml:space="preserve">  </w:t>
      </w:r>
      <w:r>
        <w:rPr>
          <w:rStyle w:val="Hyperlink.1"/>
          <w:rtl w:val="0"/>
          <w:lang w:val="en-US"/>
        </w:rPr>
        <w:t>endospores, allowing them to survive in highly toxic or nutritionally depleted environments.</w:t>
      </w:r>
      <w:r>
        <w:rPr>
          <w:rStyle w:val="Hyperlink.1"/>
          <w:rtl w:val="0"/>
          <w:lang w:val="en-US"/>
        </w:rPr>
        <w:t>  </w:t>
      </w:r>
    </w:p>
    <w:p>
      <w:pPr>
        <w:pStyle w:val="Normal.0"/>
        <w:spacing w:after="0" w:line="360" w:lineRule="auto"/>
        <w:ind w:right="5" w:firstLine="720"/>
        <w:jc w:val="both"/>
        <w:rPr>
          <w:rStyle w:val="Hyperlink.1"/>
        </w:rPr>
      </w:pPr>
      <w:r>
        <w:rPr>
          <w:rStyle w:val="Hyperlink.1"/>
          <w:rtl w:val="0"/>
          <w:lang w:val="en-US"/>
        </w:rPr>
        <w:t>The production of lipopeptide biosurfactants, such as surfactin, by Bacillus strains heavily</w:t>
      </w:r>
      <w:r>
        <w:rPr>
          <w:rStyle w:val="Hyperlink.1"/>
          <w:rtl w:val="0"/>
          <w:lang w:val="en-US"/>
        </w:rPr>
        <w:t xml:space="preserve">  </w:t>
      </w:r>
      <w:r>
        <w:rPr>
          <w:rStyle w:val="Hyperlink.1"/>
          <w:rtl w:val="0"/>
          <w:lang w:val="en-US"/>
        </w:rPr>
        <w:t>contributes to their efficiency in degrading complex hydrocarbon mixtures (Parthipan et al.,</w:t>
      </w:r>
      <w:r>
        <w:rPr>
          <w:rStyle w:val="Hyperlink.1"/>
          <w:rtl w:val="0"/>
          <w:lang w:val="en-US"/>
        </w:rPr>
        <w:t xml:space="preserve">  </w:t>
      </w:r>
      <w:r>
        <w:rPr>
          <w:rStyle w:val="Hyperlink.1"/>
          <w:rtl w:val="0"/>
          <w:lang w:val="en-US"/>
        </w:rPr>
        <w:t>2017).</w:t>
      </w:r>
      <w:r>
        <w:rPr>
          <w:rStyle w:val="Hyperlink.1"/>
          <w:rtl w:val="0"/>
          <w:lang w:val="en-US"/>
        </w:rPr>
        <w:t> </w:t>
      </w:r>
    </w:p>
    <w:p>
      <w:pPr>
        <w:pStyle w:val="Normal.0"/>
        <w:spacing w:after="0" w:line="360" w:lineRule="auto"/>
        <w:ind w:right="5" w:firstLine="720"/>
        <w:jc w:val="both"/>
        <w:rPr>
          <w:rStyle w:val="Hyperlink.1"/>
        </w:rPr>
      </w:pPr>
      <w:r>
        <w:rPr>
          <w:rStyle w:val="Hyperlink.1"/>
          <w:rtl w:val="0"/>
          <w:lang w:val="en-US"/>
        </w:rPr>
        <w:t>Furthermore, utilizing both Gram-negative (Pseudomonas) and Gram-positive (Bacillus)</w:t>
      </w:r>
      <w:r>
        <w:rPr>
          <w:rStyle w:val="Hyperlink.1"/>
          <w:rtl w:val="0"/>
          <w:lang w:val="en-US"/>
        </w:rPr>
        <w:t xml:space="preserve">  </w:t>
      </w:r>
      <w:r>
        <w:rPr>
          <w:rStyle w:val="Hyperlink.1"/>
          <w:rtl w:val="0"/>
          <w:lang w:val="en-US"/>
        </w:rPr>
        <w:t>strains could offer a synergistic approach. Recent studies indicate that co-culture systems of</w:t>
      </w:r>
      <w:r>
        <w:rPr>
          <w:rStyle w:val="Hyperlink.1"/>
          <w:rtl w:val="0"/>
          <w:lang w:val="en-US"/>
        </w:rPr>
        <w:t>  </w:t>
      </w:r>
    </w:p>
    <w:p>
      <w:pPr>
        <w:pStyle w:val="Normal.0"/>
        <w:spacing w:after="0" w:line="360" w:lineRule="auto"/>
        <w:ind w:right="5" w:firstLine="720"/>
        <w:jc w:val="both"/>
        <w:rPr>
          <w:rStyle w:val="Hyperlink.1"/>
        </w:rPr>
      </w:pPr>
      <w:r>
        <w:rPr>
          <w:rStyle w:val="Hyperlink.1"/>
          <w:rtl w:val="0"/>
          <w:lang w:val="en-US"/>
        </w:rPr>
        <w:t>Bacillus and Pseudomonas often exhibit enhanced crude oil degradation compared to</w:t>
      </w:r>
      <w:r>
        <w:rPr>
          <w:rStyle w:val="Hyperlink.1"/>
          <w:rtl w:val="0"/>
          <w:lang w:val="en-US"/>
        </w:rPr>
        <w:t xml:space="preserve">  </w:t>
      </w:r>
      <w:r>
        <w:rPr>
          <w:rStyle w:val="Hyperlink.1"/>
          <w:rtl w:val="0"/>
          <w:lang w:val="en-US"/>
        </w:rPr>
        <w:t>monocultures due to complementary enzymatic pathways (Wu et al., 2023). The combined</w:t>
      </w:r>
      <w:r>
        <w:rPr>
          <w:rStyle w:val="Hyperlink.1"/>
          <w:rtl w:val="0"/>
          <w:lang w:val="en-US"/>
        </w:rPr>
        <w:t xml:space="preserve">  </w:t>
      </w:r>
      <w:r>
        <w:rPr>
          <w:rStyle w:val="Hyperlink.1"/>
          <w:rtl w:val="0"/>
          <w:lang w:val="en-US"/>
        </w:rPr>
        <w:t>use of these diverse metabolic pathways could be highly advantageous for formulating</w:t>
      </w:r>
      <w:r>
        <w:rPr>
          <w:rStyle w:val="Hyperlink.1"/>
          <w:rtl w:val="0"/>
          <w:lang w:val="en-US"/>
        </w:rPr>
        <w:t xml:space="preserve">  </w:t>
      </w:r>
      <w:r>
        <w:rPr>
          <w:rStyle w:val="Hyperlink.1"/>
          <w:rtl w:val="0"/>
          <w:lang w:val="en-US"/>
        </w:rPr>
        <w:t>microbial consortia for field-scale bioremediation.</w:t>
      </w:r>
      <w:r>
        <w:rPr>
          <w:rStyle w:val="Hyperlink.1"/>
          <w:rtl w:val="0"/>
          <w:lang w:val="en-US"/>
        </w:rPr>
        <w:t> </w:t>
      </w:r>
    </w:p>
    <w:p>
      <w:pPr>
        <w:pStyle w:val="Normal.0"/>
        <w:spacing w:after="0" w:line="360" w:lineRule="auto"/>
        <w:ind w:right="5"/>
        <w:jc w:val="both"/>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5" w:firstLine="720"/>
        <w:jc w:val="both"/>
        <w:rPr>
          <w:rStyle w:val="Hyperlink.1"/>
        </w:rPr>
      </w:pPr>
      <w:r>
        <w:rPr>
          <w:rStyle w:val="Hyperlink.1"/>
          <w:rtl w:val="0"/>
          <w:lang w:val="en-US"/>
        </w:rPr>
        <w:t>This study successfully isolated two highly efficient hydrocarbon-degrading bacterial strains,</w:t>
      </w:r>
      <w:r>
        <w:rPr>
          <w:rStyle w:val="Hyperlink.1"/>
          <w:rtl w:val="0"/>
          <w:lang w:val="en-US"/>
        </w:rPr>
        <w:t>  </w:t>
      </w:r>
      <w:r>
        <w:rPr>
          <w:rStyle w:val="Hyperlink.1"/>
          <w:rtl w:val="0"/>
          <w:lang w:val="en-US"/>
        </w:rPr>
        <w:t>identified tentatively as Pseudomonas sp. (HDB-2) and Bacillus sp. (HDB4), from chronically</w:t>
      </w:r>
      <w:r>
        <w:rPr>
          <w:rStyle w:val="Hyperlink.1"/>
          <w:rtl w:val="0"/>
          <w:lang w:val="en-US"/>
        </w:rPr>
        <w:t xml:space="preserve">  </w:t>
      </w:r>
      <w:r>
        <w:rPr>
          <w:rStyle w:val="Hyperlink.1"/>
          <w:rtl w:val="0"/>
          <w:lang w:val="en-US"/>
        </w:rPr>
        <w:t>contaminated garage soil. Both isolates demonstrated a rapid ability to utilize diesel as a sole</w:t>
      </w:r>
      <w:r>
        <w:rPr>
          <w:rStyle w:val="Hyperlink.1"/>
          <w:rtl w:val="0"/>
          <w:lang w:val="en-US"/>
        </w:rPr>
        <w:t xml:space="preserve">  </w:t>
      </w:r>
      <w:r>
        <w:rPr>
          <w:rStyle w:val="Hyperlink.1"/>
          <w:rtl w:val="0"/>
          <w:lang w:val="en-US"/>
        </w:rPr>
        <w:t>carbon source, evidenced by the DCPIP redox assay. Their robust growth and metabolic activity</w:t>
      </w:r>
      <w:r>
        <w:rPr>
          <w:rStyle w:val="Hyperlink.1"/>
          <w:rtl w:val="0"/>
          <w:lang w:val="en-US"/>
        </w:rPr>
        <w:t xml:space="preserve">  </w:t>
      </w:r>
      <w:r>
        <w:rPr>
          <w:rStyle w:val="Hyperlink.1"/>
          <w:rtl w:val="0"/>
          <w:lang w:val="en-US"/>
        </w:rPr>
        <w:t>highlight their immense potential as biological agents for the remediation of oil-contaminated</w:t>
      </w:r>
      <w:r>
        <w:rPr>
          <w:rStyle w:val="Hyperlink.1"/>
          <w:rtl w:val="0"/>
          <w:lang w:val="en-US"/>
        </w:rPr>
        <w:t xml:space="preserve">  </w:t>
      </w:r>
      <w:r>
        <w:rPr>
          <w:rStyle w:val="Hyperlink.1"/>
          <w:rtl w:val="0"/>
          <w:lang w:val="en-US"/>
        </w:rPr>
        <w:t>soils and waters. Future studies should focus on 16S rRNA sequencing for definitive species level identification, optimizing environmental parameters (pH, temperature) for maximum</w:t>
      </w:r>
      <w:r>
        <w:rPr>
          <w:rStyle w:val="Hyperlink.1"/>
          <w:rtl w:val="0"/>
          <w:lang w:val="en-US"/>
        </w:rPr>
        <w:t xml:space="preserve">  </w:t>
      </w:r>
      <w:r>
        <w:rPr>
          <w:rStyle w:val="Hyperlink.1"/>
          <w:rtl w:val="0"/>
          <w:lang w:val="en-US"/>
        </w:rPr>
        <w:t>degradation, and analyzing the specific degradation metabolites using GC-MS.</w:t>
      </w:r>
      <w:r>
        <w:rPr>
          <w:rStyle w:val="Hyperlink.1"/>
          <w:rtl w:val="0"/>
          <w:lang w:val="en-US"/>
        </w:rPr>
        <w:t> </w:t>
      </w:r>
    </w:p>
    <w:p>
      <w:pPr>
        <w:pStyle w:val="Normal.0"/>
        <w:spacing w:after="0" w:line="360" w:lineRule="auto"/>
        <w:ind w:left="32"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20" w:right="2" w:hanging="688"/>
        <w:jc w:val="both"/>
        <w:rPr>
          <w:rStyle w:val="None"/>
          <w:rFonts w:ascii="Times New Roman" w:cs="Times New Roman" w:hAnsi="Times New Roman" w:eastAsia="Times New Roman"/>
          <w:kern w:val="0"/>
          <w:sz w:val="24"/>
          <w:szCs w:val="24"/>
        </w:rPr>
      </w:pPr>
      <w:r>
        <w:rPr>
          <w:rStyle w:val="Hyperlink.1"/>
          <w:rtl w:val="0"/>
          <w:lang w:val="en-US"/>
        </w:rPr>
        <w:t>Atlas, R. M. (1981). Microbial degradation of petroleum hydrocarbons: an</w:t>
      </w:r>
      <w:r>
        <w:rPr>
          <w:rStyle w:val="Hyperlink.1"/>
          <w:rtl w:val="0"/>
          <w:lang w:val="en-US"/>
        </w:rPr>
        <w:t xml:space="preserve">  </w:t>
      </w:r>
      <w:r>
        <w:rPr>
          <w:rStyle w:val="Hyperlink.1"/>
          <w:rtl w:val="0"/>
          <w:lang w:val="en-US"/>
        </w:rPr>
        <w:t xml:space="preserve">environmental perspective.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Microbiological Reviews</w:t>
      </w:r>
      <w:r>
        <w:rPr>
          <w:rStyle w:val="Hyperlink.1"/>
          <w:rtl w:val="0"/>
          <w:lang w:val="en-US"/>
        </w:rPr>
        <w:t>, 45(1), 180-209.</w:t>
      </w:r>
      <w:r>
        <w:rPr>
          <w:rStyle w:val="Hyperlink.1"/>
          <w:rtl w:val="0"/>
          <w:lang w:val="en-US"/>
        </w:rPr>
        <w:t> </w:t>
      </w:r>
    </w:p>
    <w:p>
      <w:pPr>
        <w:pStyle w:val="Normal.0"/>
        <w:spacing w:after="0" w:line="360" w:lineRule="auto"/>
        <w:ind w:left="720" w:right="2" w:hanging="688"/>
        <w:jc w:val="both"/>
        <w:rPr>
          <w:rStyle w:val="None"/>
          <w:rFonts w:ascii="Times New Roman" w:cs="Times New Roman" w:hAnsi="Times New Roman" w:eastAsia="Times New Roman"/>
          <w:kern w:val="0"/>
          <w:sz w:val="24"/>
          <w:szCs w:val="24"/>
        </w:rPr>
      </w:pPr>
      <w:r>
        <w:rPr>
          <w:rStyle w:val="Hyperlink.1"/>
          <w:rtl w:val="0"/>
          <w:lang w:val="en-US"/>
        </w:rPr>
        <w:t>Christova, N., Kabaivanova, L., Nacheva, L., et al. (2019). Biodegradation of crudeoil</w:t>
      </w:r>
      <w:r>
        <w:rPr>
          <w:rStyle w:val="Hyperlink.1"/>
          <w:rtl w:val="0"/>
          <w:lang w:val="en-US"/>
        </w:rPr>
        <w:t>  </w:t>
      </w:r>
      <w:r>
        <w:rPr>
          <w:rStyle w:val="Hyperlink.1"/>
          <w:rtl w:val="0"/>
          <w:lang w:val="en-US"/>
        </w:rPr>
        <w:t>hydrocarbons by a newly isolated biosurfactant producing strain. Biotechnology</w:t>
      </w:r>
      <w:r>
        <w:rPr>
          <w:rStyle w:val="None"/>
          <w:rFonts w:ascii="Times New Roman" w:hAnsi="Times New Roman"/>
          <w:i w:val="1"/>
          <w:iCs w:val="1"/>
          <w:outline w:val="0"/>
          <w:color w:val="000000"/>
          <w:kern w:val="0"/>
          <w:sz w:val="24"/>
          <w:szCs w:val="24"/>
          <w:u w:color="000000"/>
          <w:vertAlign w:val="subscript"/>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&amp;</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Biotechnological Equipment</w:t>
      </w:r>
      <w:r>
        <w:rPr>
          <w:rStyle w:val="Hyperlink.1"/>
          <w:rtl w:val="0"/>
          <w:lang w:val="en-US"/>
        </w:rPr>
        <w:t>, 33, 863</w:t>
      </w:r>
      <w:r>
        <w:rPr>
          <w:rStyle w:val="Hyperlink.1"/>
          <w:rtl w:val="0"/>
          <w:lang w:val="en-US"/>
        </w:rPr>
        <w:t>–</w:t>
      </w:r>
      <w:r>
        <w:rPr>
          <w:rStyle w:val="Hyperlink.1"/>
          <w:rtl w:val="0"/>
          <w:lang w:val="en-US"/>
        </w:rPr>
        <w:t>872.</w:t>
      </w:r>
      <w:r>
        <w:rPr>
          <w:rStyle w:val="Hyperlink.1"/>
          <w:rtl w:val="0"/>
          <w:lang w:val="en-US"/>
        </w:rPr>
        <w:t> </w:t>
      </w:r>
    </w:p>
    <w:p>
      <w:pPr>
        <w:pStyle w:val="Normal.0"/>
        <w:spacing w:after="0" w:line="360" w:lineRule="auto"/>
        <w:ind w:left="720" w:hanging="688"/>
        <w:jc w:val="both"/>
        <w:rPr>
          <w:rStyle w:val="None"/>
          <w:rFonts w:ascii="Times New Roman" w:cs="Times New Roman" w:hAnsi="Times New Roman" w:eastAsia="Times New Roman"/>
          <w:kern w:val="0"/>
          <w:sz w:val="24"/>
          <w:szCs w:val="24"/>
        </w:rPr>
      </w:pPr>
      <w:r>
        <w:rPr>
          <w:rStyle w:val="Hyperlink.1"/>
          <w:rtl w:val="0"/>
          <w:lang w:val="en-US"/>
        </w:rPr>
        <w:t>Das, N., &amp; Chandran, P. (2011). Microbial degradation of petroleum</w:t>
      </w:r>
      <w:r>
        <w:rPr>
          <w:rStyle w:val="Hyperlink.1"/>
          <w:rtl w:val="0"/>
          <w:lang w:val="en-US"/>
        </w:rPr>
        <w:t xml:space="preserve">  </w:t>
      </w:r>
      <w:r>
        <w:rPr>
          <w:rStyle w:val="Hyperlink.1"/>
          <w:rtl w:val="0"/>
          <w:lang w:val="en-US"/>
        </w:rPr>
        <w:t xml:space="preserve">hydrocarboncontaminants: an overview.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Biotechnology Research International</w:t>
      </w:r>
      <w:r>
        <w:rPr>
          <w:rStyle w:val="Hyperlink.1"/>
          <w:rtl w:val="0"/>
          <w:lang w:val="en-US"/>
        </w:rPr>
        <w:t>, 2011,</w:t>
      </w:r>
      <w:r>
        <w:rPr>
          <w:rStyle w:val="Hyperlink.1"/>
          <w:rtl w:val="0"/>
          <w:lang w:val="en-US"/>
        </w:rPr>
        <w:t xml:space="preserve">  </w:t>
      </w:r>
      <w:r>
        <w:rPr>
          <w:rStyle w:val="Hyperlink.1"/>
          <w:rtl w:val="0"/>
          <w:lang w:val="en-US"/>
        </w:rPr>
        <w:t>1</w:t>
      </w:r>
      <w:r>
        <w:rPr>
          <w:rStyle w:val="Hyperlink.1"/>
          <w:rtl w:val="0"/>
          <w:lang w:val="en-US"/>
        </w:rPr>
        <w:t>–</w:t>
      </w:r>
      <w:r>
        <w:rPr>
          <w:rStyle w:val="Hyperlink.1"/>
          <w:rtl w:val="0"/>
          <w:lang w:val="en-US"/>
        </w:rPr>
        <w:t>13.</w:t>
      </w:r>
      <w:r>
        <w:rPr>
          <w:rStyle w:val="Hyperlink.1"/>
          <w:rtl w:val="0"/>
          <w:lang w:val="en-US"/>
        </w:rPr>
        <w:t> </w:t>
      </w:r>
    </w:p>
    <w:p>
      <w:pPr>
        <w:pStyle w:val="Normal.0"/>
        <w:spacing w:after="0" w:line="360" w:lineRule="auto"/>
        <w:ind w:left="720" w:right="2" w:hanging="688"/>
        <w:jc w:val="both"/>
        <w:rPr>
          <w:rStyle w:val="None"/>
          <w:rFonts w:ascii="Times New Roman" w:cs="Times New Roman" w:hAnsi="Times New Roman" w:eastAsia="Times New Roman"/>
          <w:kern w:val="0"/>
          <w:sz w:val="24"/>
          <w:szCs w:val="24"/>
        </w:rPr>
      </w:pPr>
      <w:r>
        <w:rPr>
          <w:rStyle w:val="Hyperlink.1"/>
          <w:rtl w:val="0"/>
          <w:lang w:val="en-US"/>
        </w:rPr>
        <w:t>Fathepure, B. Z. (2014). Recent studies in microbial degradation of petroleum</w:t>
      </w:r>
      <w:r>
        <w:rPr>
          <w:rStyle w:val="Hyperlink.1"/>
          <w:rtl w:val="0"/>
          <w:lang w:val="en-US"/>
        </w:rPr>
        <w:t xml:space="preserve">  </w:t>
      </w:r>
      <w:r>
        <w:rPr>
          <w:rStyle w:val="Hyperlink.1"/>
          <w:rtl w:val="0"/>
          <w:lang w:val="en-US"/>
        </w:rPr>
        <w:t xml:space="preserve">hydrocarbons in hypersaline environments.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Frontiers in Microbiology</w:t>
      </w:r>
      <w:r>
        <w:rPr>
          <w:rStyle w:val="Hyperlink.1"/>
          <w:rtl w:val="0"/>
          <w:lang w:val="en-US"/>
        </w:rPr>
        <w:t>, 5.</w:t>
      </w:r>
    </w:p>
    <w:p>
      <w:pPr>
        <w:pStyle w:val="Normal.0"/>
        <w:spacing w:after="0" w:line="360" w:lineRule="auto"/>
        <w:ind w:left="720" w:right="4" w:hanging="688"/>
        <w:jc w:val="both"/>
        <w:rPr>
          <w:rStyle w:val="None"/>
          <w:rFonts w:ascii="Times New Roman" w:cs="Times New Roman" w:hAnsi="Times New Roman" w:eastAsia="Times New Roman"/>
          <w:kern w:val="0"/>
          <w:sz w:val="24"/>
          <w:szCs w:val="24"/>
        </w:rPr>
      </w:pPr>
      <w:r>
        <w:rPr>
          <w:rStyle w:val="Hyperlink.1"/>
          <w:rtl w:val="0"/>
          <w:lang w:val="en-US"/>
        </w:rPr>
        <w:t>Hossain, M. F., Akter, M. A., Sohan, M. S. R., et al. (2022). Bioremediation potential of</w:t>
      </w:r>
      <w:r>
        <w:rPr>
          <w:rStyle w:val="Hyperlink.1"/>
          <w:rtl w:val="0"/>
          <w:lang w:val="en-US"/>
        </w:rPr>
        <w:t xml:space="preserve">  </w:t>
      </w:r>
      <w:r>
        <w:rPr>
          <w:rStyle w:val="Hyperlink.1"/>
          <w:rtl w:val="0"/>
          <w:lang w:val="en-US"/>
        </w:rPr>
        <w:t>hydrocarbon degrading bacteria: isolation, characterization, and assessment.</w:t>
      </w:r>
      <w:r>
        <w:rPr>
          <w:rStyle w:val="Hyperlink.1"/>
          <w:rtl w:val="0"/>
          <w:lang w:val="en-US"/>
        </w:rPr>
        <w: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Saudi Journal of Biological Sciences</w:t>
      </w:r>
      <w:r>
        <w:rPr>
          <w:rStyle w:val="Hyperlink.1"/>
          <w:rtl w:val="0"/>
          <w:lang w:val="en-US"/>
        </w:rPr>
        <w:t>, 29, 211-216.</w:t>
      </w:r>
      <w:r>
        <w:rPr>
          <w:rStyle w:val="Hyperlink.1"/>
          <w:rtl w:val="0"/>
          <w:lang w:val="en-US"/>
        </w:rPr>
        <w:t> </w:t>
      </w:r>
    </w:p>
    <w:p>
      <w:pPr>
        <w:pStyle w:val="Normal.0"/>
        <w:spacing w:after="0" w:line="360" w:lineRule="auto"/>
        <w:ind w:left="720" w:right="2" w:hanging="688"/>
        <w:jc w:val="both"/>
        <w:rPr>
          <w:rStyle w:val="Hyperlink.1"/>
        </w:rPr>
      </w:pPr>
      <w:r>
        <w:rPr>
          <w:rStyle w:val="Hyperlink.1"/>
          <w:rtl w:val="0"/>
          <w:lang w:val="en-US"/>
        </w:rPr>
        <w:t>Koshlaf, E., &amp; S Ball, A. (2017). Soil bioremediation approaches for</w:t>
      </w:r>
      <w:r>
        <w:rPr>
          <w:rStyle w:val="Hyperlink.1"/>
          <w:rtl w:val="0"/>
          <w:lang w:val="en-US"/>
        </w:rPr>
        <w:t xml:space="preserve">  </w:t>
      </w:r>
      <w:r>
        <w:rPr>
          <w:rStyle w:val="Hyperlink.1"/>
          <w:rtl w:val="0"/>
          <w:lang w:val="en-US"/>
        </w:rPr>
        <w:t>petroleumhydrocarbon polluted environments. AIMS Microbiology, 3, 25</w:t>
      </w:r>
      <w:r>
        <w:rPr>
          <w:rStyle w:val="Hyperlink.1"/>
          <w:rtl w:val="0"/>
          <w:lang w:val="en-US"/>
        </w:rPr>
        <w:t>–</w:t>
      </w:r>
      <w:r>
        <w:rPr>
          <w:rStyle w:val="Hyperlink.1"/>
          <w:rtl w:val="0"/>
          <w:lang w:val="en-US"/>
        </w:rPr>
        <w:t>49.</w:t>
      </w:r>
      <w:r>
        <w:rPr>
          <w:rStyle w:val="Hyperlink.1"/>
          <w:rtl w:val="0"/>
          <w:lang w:val="en-US"/>
        </w:rPr>
        <w:t> </w:t>
      </w:r>
    </w:p>
    <w:p>
      <w:pPr>
        <w:pStyle w:val="Normal.0"/>
        <w:spacing w:after="0" w:line="360" w:lineRule="auto"/>
        <w:ind w:left="720" w:right="2" w:hanging="688"/>
        <w:jc w:val="both"/>
        <w:rPr>
          <w:rStyle w:val="None"/>
          <w:rFonts w:ascii="Times New Roman" w:cs="Times New Roman" w:hAnsi="Times New Roman" w:eastAsia="Times New Roman"/>
          <w:kern w:val="0"/>
          <w:sz w:val="24"/>
          <w:szCs w:val="24"/>
        </w:rPr>
      </w:pPr>
      <w:r>
        <w:rPr>
          <w:rStyle w:val="Hyperlink.1"/>
          <w:rtl w:val="0"/>
          <w:lang w:val="en-US"/>
        </w:rPr>
        <w:t>Mekonnen, B. A., Aragaw, T. A., &amp; Genet, M. B. (2024). Bioremediation of petroleum</w:t>
      </w:r>
      <w:r>
        <w:rPr>
          <w:rStyle w:val="Hyperlink.1"/>
          <w:rtl w:val="0"/>
          <w:lang w:val="en-US"/>
        </w:rPr>
        <w:t xml:space="preserve">  </w:t>
      </w:r>
      <w:r>
        <w:rPr>
          <w:rStyle w:val="Hyperlink.1"/>
          <w:rtl w:val="0"/>
          <w:lang w:val="en-US"/>
        </w:rPr>
        <w:t>hydrocarbon contaminated soil: a review on principles, degradation mechanisms, and</w:t>
      </w:r>
      <w:r>
        <w:rPr>
          <w:rStyle w:val="Hyperlink.1"/>
          <w:rtl w:val="0"/>
          <w:lang w:val="en-US"/>
        </w:rPr>
        <w:t xml:space="preserve">  </w:t>
      </w:r>
      <w:r>
        <w:rPr>
          <w:rStyle w:val="Hyperlink.1"/>
          <w:rtl w:val="0"/>
          <w:lang w:val="en-US"/>
        </w:rPr>
        <w:t xml:space="preserve">advancements.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Frontiers in Environmental Science</w:t>
      </w:r>
      <w:r>
        <w:rPr>
          <w:rStyle w:val="Hyperlink.1"/>
          <w:rtl w:val="0"/>
          <w:lang w:val="en-US"/>
        </w:rPr>
        <w:t>, 12.</w:t>
      </w:r>
      <w:r>
        <w:rPr>
          <w:rStyle w:val="Hyperlink.1"/>
          <w:rtl w:val="0"/>
          <w:lang w:val="en-US"/>
        </w:rPr>
        <w:t> </w:t>
      </w:r>
    </w:p>
    <w:p>
      <w:pPr>
        <w:pStyle w:val="Normal.0"/>
        <w:spacing w:after="0" w:line="360" w:lineRule="auto"/>
        <w:ind w:left="720" w:right="3" w:hanging="688"/>
        <w:jc w:val="both"/>
        <w:rPr>
          <w:rStyle w:val="None"/>
          <w:rFonts w:ascii="Times New Roman" w:cs="Times New Roman" w:hAnsi="Times New Roman" w:eastAsia="Times New Roman"/>
          <w:kern w:val="0"/>
          <w:sz w:val="24"/>
          <w:szCs w:val="24"/>
        </w:rPr>
      </w:pPr>
      <w:r>
        <w:rPr>
          <w:rStyle w:val="Hyperlink.1"/>
          <w:rtl w:val="0"/>
          <w:lang w:val="en-US"/>
        </w:rPr>
        <w:t>Mnif, S., Chamkha, M., Labat, M., &amp; Sayadi, S. (2009). Isolation and characterization of</w:t>
      </w:r>
      <w:r>
        <w:rPr>
          <w:rStyle w:val="Hyperlink.1"/>
          <w:rtl w:val="0"/>
          <w:lang w:val="en-US"/>
        </w:rPr>
        <w:t>  </w:t>
      </w:r>
      <w:r>
        <w:rPr>
          <w:rStyle w:val="Hyperlink.1"/>
          <w:rtl w:val="0"/>
          <w:lang w:val="en-US"/>
        </w:rPr>
        <w:t>a halotolerant Bacillus sp. strain capable of degrading diesel. Letters in Applied</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Microbiology</w:t>
      </w:r>
      <w:r>
        <w:rPr>
          <w:rStyle w:val="Hyperlink.1"/>
          <w:rtl w:val="0"/>
          <w:lang w:val="en-US"/>
        </w:rPr>
        <w:t>, 49(5), 636-643.</w:t>
      </w:r>
      <w:r>
        <w:rPr>
          <w:rStyle w:val="Hyperlink.1"/>
          <w:rtl w:val="0"/>
          <w:lang w:val="en-US"/>
        </w:rPr>
        <w:t> </w:t>
      </w:r>
    </w:p>
    <w:p>
      <w:pPr>
        <w:pStyle w:val="Normal.0"/>
        <w:spacing w:after="0" w:line="360" w:lineRule="auto"/>
        <w:ind w:left="720" w:hanging="688"/>
        <w:jc w:val="both"/>
        <w:rPr>
          <w:rStyle w:val="None"/>
          <w:rFonts w:ascii="Times New Roman" w:cs="Times New Roman" w:hAnsi="Times New Roman" w:eastAsia="Times New Roman"/>
          <w:kern w:val="0"/>
          <w:sz w:val="24"/>
          <w:szCs w:val="24"/>
        </w:rPr>
      </w:pPr>
      <w:r>
        <w:rPr>
          <w:rStyle w:val="Hyperlink.1"/>
          <w:rtl w:val="0"/>
          <w:lang w:val="en-US"/>
        </w:rPr>
        <w:t>Pal, S., Hait, A., Mandal, S., et al. (2024). Crude oil degrading efficiency of formulated</w:t>
      </w:r>
      <w:r>
        <w:rPr>
          <w:rStyle w:val="Hyperlink.1"/>
          <w:rtl w:val="0"/>
          <w:lang w:val="en-US"/>
        </w:rPr>
        <w:t xml:space="preserve">  </w:t>
      </w:r>
      <w:r>
        <w:rPr>
          <w:rStyle w:val="Hyperlink.1"/>
          <w:rtl w:val="0"/>
          <w:lang w:val="en-US"/>
        </w:rPr>
        <w:t xml:space="preserve">consortium of bacterial strains isolated from petroleum-contaminated sludge.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3</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Biotech</w:t>
      </w:r>
      <w:r>
        <w:rPr>
          <w:rStyle w:val="Hyperlink.1"/>
          <w:rtl w:val="0"/>
          <w:lang w:val="en-US"/>
        </w:rPr>
        <w:t>, 14.</w:t>
      </w:r>
      <w:r>
        <w:rPr>
          <w:rStyle w:val="Hyperlink.1"/>
          <w:rtl w:val="0"/>
          <w:lang w:val="en-US"/>
        </w:rPr>
        <w:t> </w:t>
      </w:r>
    </w:p>
    <w:p>
      <w:pPr>
        <w:pStyle w:val="Normal.0"/>
        <w:spacing w:after="0" w:line="360" w:lineRule="auto"/>
        <w:ind w:left="720" w:right="3" w:hanging="688"/>
        <w:jc w:val="both"/>
        <w:rPr>
          <w:rStyle w:val="None"/>
          <w:rFonts w:ascii="Times New Roman" w:cs="Times New Roman" w:hAnsi="Times New Roman" w:eastAsia="Times New Roman"/>
          <w:kern w:val="0"/>
          <w:sz w:val="24"/>
          <w:szCs w:val="24"/>
        </w:rPr>
      </w:pPr>
      <w:r>
        <w:rPr>
          <w:rStyle w:val="Hyperlink.1"/>
          <w:rtl w:val="0"/>
          <w:lang w:val="en-US"/>
        </w:rPr>
        <w:t>Parthipan, P., Preetham, E., Machuca, L. L., et al. (2017). Biosurfactant anddegradative</w:t>
      </w:r>
      <w:r>
        <w:rPr>
          <w:rStyle w:val="Hyperlink.1"/>
          <w:rtl w:val="0"/>
          <w:lang w:val="en-US"/>
        </w:rPr>
        <w:t>  </w:t>
      </w:r>
    </w:p>
    <w:p>
      <w:pPr>
        <w:pStyle w:val="Normal.0"/>
        <w:spacing w:after="0" w:line="360" w:lineRule="auto"/>
        <w:ind w:left="720" w:right="3" w:hanging="688"/>
        <w:jc w:val="both"/>
        <w:rPr>
          <w:rStyle w:val="Hyperlink.1"/>
        </w:rPr>
      </w:pPr>
      <w:r>
        <w:rPr>
          <w:rStyle w:val="Hyperlink.1"/>
          <w:rtl w:val="0"/>
          <w:lang w:val="en-US"/>
        </w:rPr>
        <w:t>enzymes mediated crude oil degradation by bacterium Bacillus subtilis A1. Frontiers in</w:t>
      </w:r>
      <w:r>
        <w:rPr>
          <w:rStyle w:val="Hyperlink.1"/>
          <w:rtl w:val="0"/>
          <w:lang w:val="en-US"/>
        </w:rPr>
        <w:t xml:space="preserve">  </w:t>
      </w:r>
      <w:r>
        <w:rPr>
          <w:rStyle w:val="Hyperlink.1"/>
          <w:rtl w:val="0"/>
          <w:lang w:val="en-US"/>
        </w:rPr>
        <w:t>Microbiology, 8, 193.</w:t>
      </w:r>
      <w:r>
        <w:rPr>
          <w:rStyle w:val="Hyperlink.1"/>
          <w:rtl w:val="0"/>
          <w:lang w:val="en-US"/>
        </w:rPr>
        <w:t> </w:t>
      </w:r>
    </w:p>
    <w:p>
      <w:pPr>
        <w:pStyle w:val="Normal.0"/>
        <w:spacing w:after="0" w:line="360" w:lineRule="auto"/>
        <w:ind w:left="720" w:right="4" w:hanging="688"/>
        <w:jc w:val="both"/>
        <w:rPr>
          <w:rStyle w:val="None"/>
          <w:rFonts w:ascii="Times New Roman" w:cs="Times New Roman" w:hAnsi="Times New Roman" w:eastAsia="Times New Roman"/>
          <w:kern w:val="0"/>
          <w:sz w:val="24"/>
          <w:szCs w:val="24"/>
        </w:rPr>
      </w:pPr>
      <w:r>
        <w:rPr>
          <w:rStyle w:val="Hyperlink.1"/>
          <w:rtl w:val="0"/>
          <w:lang w:val="en-US"/>
        </w:rPr>
        <w:t>Patowary, K., Patowary, R., Kalita, M. C., &amp; Deka, S. (2017). Characterization</w:t>
      </w:r>
      <w:r>
        <w:rPr>
          <w:rStyle w:val="Hyperlink.1"/>
          <w:rtl w:val="0"/>
          <w:lang w:val="en-US"/>
        </w:rPr>
        <w:t xml:space="preserve">  </w:t>
      </w:r>
      <w:r>
        <w:rPr>
          <w:rStyle w:val="Hyperlink.1"/>
          <w:rtl w:val="0"/>
          <w:lang w:val="en-US"/>
        </w:rPr>
        <w:t>ofbiosurfactant produced during degradation of hydrocarbons using crude oil as sole</w:t>
      </w:r>
      <w:r>
        <w:rPr>
          <w:rStyle w:val="Hyperlink.1"/>
          <w:rtl w:val="0"/>
          <w:lang w:val="en-US"/>
        </w:rPr>
        <w:t xml:space="preserve">  </w:t>
      </w:r>
      <w:r>
        <w:rPr>
          <w:rStyle w:val="Hyperlink.1"/>
          <w:rtl w:val="0"/>
          <w:lang w:val="en-US"/>
        </w:rPr>
        <w:t xml:space="preserve">source of carbon.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Frontiers in Microbiology</w:t>
      </w:r>
      <w:r>
        <w:rPr>
          <w:rStyle w:val="Hyperlink.1"/>
          <w:rtl w:val="0"/>
          <w:lang w:val="en-US"/>
        </w:rPr>
        <w:t>, 8, 279.</w:t>
      </w:r>
      <w:r>
        <w:rPr>
          <w:rStyle w:val="Hyperlink.1"/>
          <w:rtl w:val="0"/>
          <w:lang w:val="en-US"/>
        </w:rPr>
        <w:t> </w:t>
      </w:r>
    </w:p>
    <w:p>
      <w:pPr>
        <w:pStyle w:val="Normal.0"/>
        <w:spacing w:after="0" w:line="360" w:lineRule="auto"/>
        <w:ind w:left="720" w:right="3" w:hanging="688"/>
        <w:jc w:val="both"/>
        <w:rPr>
          <w:rStyle w:val="Hyperlink.1"/>
        </w:rPr>
      </w:pPr>
      <w:r>
        <w:rPr>
          <w:rStyle w:val="Hyperlink.1"/>
          <w:rtl w:val="0"/>
          <w:lang w:val="en-US"/>
        </w:rPr>
        <w:t>Ron, E. Z., &amp; Rosenberg, E. (2002). Biosurfactants and oil bioremediation. Current</w:t>
      </w:r>
      <w:r>
        <w:rPr>
          <w:rStyle w:val="Hyperlink.1"/>
          <w:rtl w:val="0"/>
          <w:lang w:val="en-US"/>
        </w:rPr>
        <w:t xml:space="preserve">  </w:t>
      </w:r>
      <w:r>
        <w:rPr>
          <w:rStyle w:val="Hyperlink.1"/>
          <w:rtl w:val="0"/>
          <w:lang w:val="en-US"/>
        </w:rPr>
        <w:t>Opinion in Biotechnology, 13(3), 249-252.</w:t>
      </w:r>
      <w:r>
        <w:rPr>
          <w:rStyle w:val="Hyperlink.1"/>
          <w:rtl w:val="0"/>
          <w:lang w:val="en-US"/>
        </w:rPr>
        <w:t> </w:t>
      </w:r>
    </w:p>
    <w:p>
      <w:pPr>
        <w:pStyle w:val="Normal.0"/>
        <w:spacing w:after="0" w:line="360" w:lineRule="auto"/>
        <w:ind w:left="720" w:right="3" w:hanging="688"/>
        <w:jc w:val="both"/>
        <w:rPr>
          <w:rStyle w:val="Hyperlink.1"/>
        </w:rPr>
      </w:pPr>
      <w:r>
        <w:rPr>
          <w:rStyle w:val="Hyperlink.1"/>
          <w:rtl w:val="0"/>
          <w:lang w:val="en-US"/>
        </w:rPr>
        <w:t>Shandookh, F. K., Mohammed, M. K., &amp; Jabbar, A. D. (2024). Bioremediationof</w:t>
      </w:r>
      <w:r>
        <w:rPr>
          <w:rStyle w:val="Hyperlink.1"/>
          <w:rtl w:val="0"/>
          <w:lang w:val="en-US"/>
        </w:rPr>
        <w:t xml:space="preserve">  </w:t>
      </w:r>
      <w:r>
        <w:rPr>
          <w:rStyle w:val="Hyperlink.1"/>
          <w:rtl w:val="0"/>
          <w:lang w:val="en-US"/>
        </w:rPr>
        <w:t>hydrocarbon pollutants by Pseudomonas putida under optimal conditions.</w:t>
      </w:r>
      <w:r>
        <w:rPr>
          <w:rStyle w:val="Hyperlink.1"/>
          <w:rtl w:val="0"/>
          <w:lang w:val="en-US"/>
        </w:rPr>
        <w:t xml:space="preserve">  </w:t>
      </w:r>
      <w:r>
        <w:rPr>
          <w:rStyle w:val="Hyperlink.1"/>
          <w:rtl w:val="0"/>
          <w:lang w:val="en-US"/>
        </w:rPr>
        <w:t>Advancements in Life Sciences, 11, 761.</w:t>
      </w:r>
      <w:r>
        <w:rPr>
          <w:rStyle w:val="Hyperlink.1"/>
          <w:rtl w:val="0"/>
          <w:lang w:val="en-US"/>
        </w:rPr>
        <w:t> </w:t>
      </w:r>
    </w:p>
    <w:p>
      <w:pPr>
        <w:pStyle w:val="Normal.0"/>
        <w:spacing w:after="0" w:line="360" w:lineRule="auto"/>
        <w:ind w:left="720" w:right="3" w:hanging="688"/>
        <w:jc w:val="both"/>
        <w:rPr>
          <w:rStyle w:val="Hyperlink.1"/>
        </w:rPr>
      </w:pPr>
      <w:r>
        <w:rPr>
          <w:rStyle w:val="Hyperlink.1"/>
          <w:rtl w:val="0"/>
          <w:lang w:val="en-US"/>
        </w:rPr>
        <w:t>Trejos-Delgado, C., Cadavid-Restrepo, G. E., Hormaza-Anaguano, A., et al. (2020). Oil</w:t>
      </w:r>
      <w:r>
        <w:rPr>
          <w:rStyle w:val="Hyperlink.1"/>
          <w:rtl w:val="0"/>
          <w:lang w:val="en-US"/>
        </w:rPr>
        <w:t> </w:t>
      </w:r>
      <w:r>
        <w:rPr>
          <w:rStyle w:val="Hyperlink.1"/>
          <w:rtl w:val="0"/>
          <w:lang w:val="en-US"/>
        </w:rPr>
        <w:t>Bioremediation in a Tropical Contaminated Soil Using a Reactor. Anais da Academia Brasileira de Ci</w:t>
      </w:r>
      <w:r>
        <w:rPr>
          <w:rStyle w:val="Hyperlink.1"/>
          <w:rtl w:val="0"/>
          <w:lang w:val="en-US"/>
        </w:rPr>
        <w:t>ê</w:t>
      </w:r>
      <w:r>
        <w:rPr>
          <w:rStyle w:val="Hyperlink.1"/>
          <w:rtl w:val="0"/>
          <w:lang w:val="en-US"/>
        </w:rPr>
        <w:t>ncias, 92.</w:t>
      </w:r>
      <w:r>
        <w:rPr>
          <w:rStyle w:val="Hyperlink.1"/>
          <w:rtl w:val="0"/>
          <w:lang w:val="en-US"/>
        </w:rPr>
        <w:t> </w:t>
      </w:r>
    </w:p>
    <w:p>
      <w:pPr>
        <w:pStyle w:val="Normal.0"/>
        <w:spacing w:after="0" w:line="360" w:lineRule="auto"/>
        <w:ind w:left="720" w:right="3" w:hanging="688"/>
        <w:jc w:val="both"/>
        <w:rPr>
          <w:rStyle w:val="Hyperlink.1"/>
        </w:rPr>
      </w:pPr>
      <w:r>
        <w:rPr>
          <w:rStyle w:val="Hyperlink.1"/>
          <w:rtl w:val="0"/>
          <w:lang w:val="en-US"/>
        </w:rPr>
        <w:t>Vandana, &amp; Das, S. (2021). Structural and mechanical characterization of</w:t>
      </w:r>
      <w:r>
        <w:rPr>
          <w:rStyle w:val="Hyperlink.1"/>
          <w:rtl w:val="0"/>
          <w:lang w:val="en-US"/>
        </w:rPr>
        <w:t>  </w:t>
      </w:r>
      <w:r>
        <w:rPr>
          <w:rStyle w:val="Hyperlink.1"/>
          <w:rtl w:val="0"/>
          <w:lang w:val="en-US"/>
        </w:rPr>
        <w:t>biofilmassociated bacterial polymer in the emulsification of petroleum hydrocarbon. 3</w:t>
      </w:r>
      <w:r>
        <w:rPr>
          <w:rStyle w:val="Hyperlink.1"/>
          <w:rtl w:val="0"/>
          <w:lang w:val="en-US"/>
        </w:rPr>
        <w:t xml:space="preserve">  </w:t>
      </w:r>
      <w:r>
        <w:rPr>
          <w:rStyle w:val="Hyperlink.1"/>
          <w:rtl w:val="0"/>
          <w:lang w:val="en-US"/>
        </w:rPr>
        <w:t>Biotech, 11.</w:t>
      </w:r>
      <w:r>
        <w:rPr>
          <w:rStyle w:val="Hyperlink.1"/>
          <w:rtl w:val="0"/>
          <w:lang w:val="en-US"/>
        </w:rPr>
        <w:t> </w:t>
      </w:r>
    </w:p>
    <w:p>
      <w:pPr>
        <w:pStyle w:val="Normal.0"/>
        <w:spacing w:after="0" w:line="360" w:lineRule="auto"/>
        <w:ind w:left="720" w:right="3" w:hanging="688"/>
        <w:jc w:val="both"/>
        <w:rPr>
          <w:rStyle w:val="Hyperlink.1"/>
        </w:rPr>
      </w:pPr>
      <w:r>
        <w:rPr>
          <w:rStyle w:val="Hyperlink.1"/>
          <w:rtl w:val="0"/>
          <w:lang w:val="en-US"/>
        </w:rPr>
        <w:t>Varjani, S. J. (2017). Microbial degradation of petroleum hydrocarbons. Bioresource</w:t>
      </w:r>
      <w:r>
        <w:rPr>
          <w:rStyle w:val="Hyperlink.1"/>
          <w:rtl w:val="0"/>
          <w:lang w:val="en-US"/>
        </w:rPr>
        <w:t xml:space="preserve">  </w:t>
      </w:r>
      <w:r>
        <w:rPr>
          <w:rStyle w:val="Hyperlink.1"/>
          <w:rtl w:val="0"/>
          <w:lang w:val="en-US"/>
        </w:rPr>
        <w:t>Technology, 223, 277-286.</w:t>
      </w:r>
      <w:r>
        <w:rPr>
          <w:rStyle w:val="Hyperlink.1"/>
          <w:rtl w:val="0"/>
          <w:lang w:val="en-US"/>
        </w:rPr>
        <w:t> </w:t>
      </w:r>
    </w:p>
    <w:p>
      <w:pPr>
        <w:pStyle w:val="Normal.0"/>
        <w:spacing w:after="0" w:line="360" w:lineRule="auto"/>
        <w:ind w:left="720" w:right="3" w:hanging="688"/>
        <w:jc w:val="both"/>
        <w:rPr>
          <w:rStyle w:val="Hyperlink.1"/>
        </w:rPr>
      </w:pPr>
      <w:r>
        <w:rPr>
          <w:rStyle w:val="Hyperlink.1"/>
          <w:rtl w:val="0"/>
          <w:lang w:val="en-US"/>
        </w:rPr>
        <w:t>Wu, B., Xiu, J., Yu, L., et al. (2023). Degradation of crude oil in a co-culturesystem of</w:t>
      </w:r>
      <w:r>
        <w:rPr>
          <w:rStyle w:val="Hyperlink.1"/>
          <w:rtl w:val="0"/>
          <w:lang w:val="en-US"/>
        </w:rPr>
        <w:t xml:space="preserve">  </w:t>
      </w:r>
      <w:r>
        <w:rPr>
          <w:rStyle w:val="Hyperlink.1"/>
          <w:rtl w:val="0"/>
          <w:lang w:val="en-US"/>
        </w:rPr>
        <w:t>Bacillus subtilis and Pseudomonas aeruginosa. Frontiers in Microbiology, 14, 1132831.</w:t>
      </w:r>
    </w:p>
    <w:p>
      <w:pPr>
        <w:pStyle w:val="Normal.0"/>
        <w:spacing w:after="0" w:line="360" w:lineRule="auto"/>
        <w:ind w:left="720" w:right="3" w:hanging="688"/>
        <w:jc w:val="both"/>
        <w:rPr>
          <w:rStyle w:val="Hyperlink.1"/>
        </w:rPr>
      </w:pPr>
      <w:r>
        <w:rPr>
          <w:rStyle w:val="Hyperlink.1"/>
          <w:rtl w:val="0"/>
          <w:lang w:val="en-US"/>
        </w:rPr>
        <w:t>Xu, X., Liu, W., Tian, S., et al. (2018). Petroleum hydrocarbon-degrading bacteriafor the</w:t>
      </w:r>
      <w:r>
        <w:rPr>
          <w:rStyle w:val="Hyperlink.1"/>
          <w:rtl w:val="0"/>
          <w:lang w:val="en-US"/>
        </w:rPr>
        <w:t xml:space="preserve">  </w:t>
      </w:r>
      <w:r>
        <w:rPr>
          <w:rStyle w:val="Hyperlink.1"/>
          <w:rtl w:val="0"/>
          <w:lang w:val="en-US"/>
        </w:rPr>
        <w:t>remediation of oil pollution under aerobic conditions: a perspective analysis.</w:t>
      </w:r>
      <w:r>
        <w:rPr>
          <w:rStyle w:val="Hyperlink.1"/>
          <w:rtl w:val="0"/>
          <w:lang w:val="en-US"/>
        </w:rPr>
        <w:t> </w:t>
      </w:r>
      <w:r>
        <w:rPr>
          <w:rStyle w:val="Hyperlink.1"/>
          <w:rtl w:val="0"/>
          <w:lang w:val="en-US"/>
        </w:rPr>
        <w:t>Frontiers in Microbiology, 9, 2885.</w:t>
      </w:r>
    </w:p>
    <w:p>
      <w:pPr>
        <w:pStyle w:val="Normal.0"/>
        <w:spacing w:after="0" w:line="360" w:lineRule="auto"/>
        <w:ind w:left="593" w:hanging="593"/>
        <w:rPr>
          <w:rStyle w:val="None"/>
          <w:rFonts w:ascii="Times New Roman" w:cs="Times New Roman" w:hAnsi="Times New Roman" w:eastAsia="Times New Roman"/>
          <w:kern w:val="0"/>
          <w:sz w:val="24"/>
          <w:szCs w:val="24"/>
        </w:rPr>
      </w:pPr>
    </w:p>
    <w:p>
      <w:pPr>
        <w:pStyle w:val="Normal.0"/>
        <w:spacing w:after="0" w:line="360" w:lineRule="auto"/>
        <w:ind w:left="593" w:hanging="593"/>
        <w:rPr>
          <w:rStyle w:val="None"/>
          <w:rFonts w:ascii="Times New Roman" w:cs="Times New Roman" w:hAnsi="Times New Roman" w:eastAsia="Times New Roman"/>
          <w:kern w:val="0"/>
          <w:sz w:val="24"/>
          <w:szCs w:val="24"/>
        </w:rPr>
      </w:pPr>
    </w:p>
    <w:p>
      <w:pPr>
        <w:pStyle w:val="Normal.0"/>
        <w:spacing w:after="0" w:line="360" w:lineRule="auto"/>
        <w:ind w:left="593" w:hanging="593"/>
        <w:rPr>
          <w:rStyle w:val="None"/>
          <w:rFonts w:ascii="Times New Roman" w:cs="Times New Roman" w:hAnsi="Times New Roman" w:eastAsia="Times New Roman"/>
          <w:kern w:val="0"/>
          <w:sz w:val="24"/>
          <w:szCs w:val="24"/>
        </w:rPr>
      </w:pPr>
    </w:p>
    <w:p>
      <w:pPr>
        <w:pStyle w:val="Normal.0"/>
        <w:spacing w:after="0" w:line="360" w:lineRule="auto"/>
        <w:ind w:left="593" w:hanging="593"/>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IMPACT OF SKILL DEVELOPMENT PROGRAMMES ON FISHERMEN'S PRODUCTIVITY IN THE GIG ECONOMY</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 xml:space="preserve">Velammal. K., Research Scholar., </w:t>
      </w:r>
      <w:r>
        <w:rPr>
          <w:rStyle w:val="None"/>
          <w:rFonts w:ascii="Times New Roman" w:hAnsi="Times New Roman"/>
          <w:sz w:val="24"/>
          <w:szCs w:val="24"/>
          <w:rtl w:val="0"/>
          <w:lang w:val="en-US"/>
        </w:rPr>
        <w:t>P.G. Department of Economics and Research Centre,          S.T. Hindu College, Nagercoil.                                                                                                    (Affiliated by ManonmaniamSundaranar University, Tirunelveli)</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 xml:space="preserve">Dr. D.G.M. Victoria, </w:t>
      </w:r>
      <w:r>
        <w:rPr>
          <w:rStyle w:val="None"/>
          <w:rFonts w:ascii="Times New Roman" w:hAnsi="Times New Roman"/>
          <w:sz w:val="24"/>
          <w:szCs w:val="24"/>
          <w:rtl w:val="0"/>
          <w:lang w:val="en-US"/>
        </w:rPr>
        <w:t>Assistant Professor,P.G. Department of Economics and Research Centre, S.T. Hindu College, Nagercoil.                                                                                          (Affiliated by ManonmaniamSundaranar University, Tirunelveli )</w:t>
      </w:r>
    </w:p>
    <w:p>
      <w:pPr>
        <w:pStyle w:val="Normal.0"/>
        <w:spacing w:after="0" w:line="360" w:lineRule="auto"/>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 xml:space="preserve">ABSTRACT </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cs="Times New Roman" w:hAnsi="Times New Roman" w:eastAsia="Times New Roman"/>
          <w:b w:val="1"/>
          <w:bCs w:val="1"/>
          <w:sz w:val="24"/>
          <w:szCs w:val="24"/>
        </w:rPr>
        <w:tab/>
      </w:r>
      <w:r>
        <w:rPr>
          <w:rStyle w:val="None"/>
          <w:rFonts w:ascii="Times New Roman" w:hAnsi="Times New Roman"/>
          <w:sz w:val="24"/>
          <w:szCs w:val="24"/>
          <w:rtl w:val="0"/>
          <w:lang w:val="en-US"/>
        </w:rPr>
        <w:t>This study explores the potential of skill development programs within the Gig economy to significantly enhance Fishermen productivity. As the Gig economy increasingly permeates the Fishermen sector, there is a pressing need to equip Fishermen with the skills required to thrive in this dynamic environment. This research investigates various skill development initiatives, emphasizing the importance of digital literacy, sustainable fishing practices, and business management skills. By analysing multiple case studies and conducting comprehensive surveys among Gig workers in the Fishermen industry, the study identifies critical areas where targeted training can lead to substantial productivity improvements. The findings reveal that well-designed skill development programs not only enhance individual earnings and job satisfaction but also contribute to the overall sustainability and efficiency of the Fishermen sector. Moreover, the study highlights the broader economic and environmental benefits of integrating educational programs into the Gig economy framework. This integration is essential for supporting the long-term growth and resilience of the Fishermen industry, ensuring that Fishermen are well-prepared to meet the challenges and opportunities presented by the evolving Gig economy.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Keywords:</w:t>
      </w:r>
      <w:r>
        <w:rPr>
          <w:rStyle w:val="None"/>
          <w:rFonts w:ascii="Times New Roman" w:hAnsi="Times New Roman"/>
          <w:sz w:val="24"/>
          <w:szCs w:val="24"/>
          <w:rtl w:val="0"/>
          <w:lang w:val="en-US"/>
        </w:rPr>
        <w:t xml:space="preserve"> Fishermen, Opportunities, Gig economy, Skill and training.</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1.</w:t>
        <w:tab/>
        <w:t xml:space="preserve">INTRODUCTION </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rise of the Gig economy has significantly reshaped various sectors, including the Fishermen industry, offering a plethora of short-term, flexible employment opportunities that appeal to many Fishermen seeking to supplement their income or gain greater autonomy over their work schedules. This transformation, while presenting numerous advantages, also introduces a set of complex challenges that must be addressed to harness its full potential for improving Fishermen productivity. Traditional fishing practices, deeply rooted in generational knowledge and manual skills, often fall short in meeting the evolving demands of a Gig-based labour market that increasingly values digital proficiency, business acumen, and sustainable practices. Consequently, there is a crucial need for comprehensive skill development programs that are specifically designed to bridge this gap, equipping Fishermen with the essential competencies required to thrive in the Gig economy. These programs should encompass a broad spectrum of skills, including digital literacy to navigate online marketplaces, advanced sustainable fishing techniques to ensure environmental stewardship, and entrepreneurial skills to enhance marketability and profitability. By integrating these skill sets, Fishermen can not only improve their immediate productivity and income but also contribute to the long-term sustainability and efficiency of the Fishermen sector. Through an in-depth examination of case studies and extensive surveys targeting Gig workers within the Fishermen industry, this research aims to identify and highlight the most effective skill development strategies. The goal is to demonstrate how these educational initiatives can empower Fishermen to better adapt to market dynamics, mitigate the impacts of environmental changes, and ultimately achieve a higher degree of economic stability and resilience. This study underscores the importance of investing in targeted skill development as a foundational element for fostering growth and sustainability in the Fishermen industry, particularly in the context of an increasingly prominent Gig economy.</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2.</w:t>
        <w:tab/>
        <w:t>REVIEW OF LITERATURE</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cs="Times New Roman" w:hAnsi="Times New Roman" w:eastAsia="Times New Roman"/>
          <w:b w:val="1"/>
          <w:bCs w:val="1"/>
          <w:sz w:val="24"/>
          <w:szCs w:val="24"/>
          <w:rtl w:val="0"/>
        </w:rPr>
        <w:tab/>
        <w:t>Smith and Johnson</w:t>
      </w:r>
      <w:r>
        <w:rPr>
          <w:rStyle w:val="None"/>
          <w:rFonts w:ascii="Times New Roman" w:hAnsi="Times New Roman" w:hint="default"/>
          <w:b w:val="1"/>
          <w:bCs w:val="1"/>
          <w:sz w:val="24"/>
          <w:szCs w:val="24"/>
          <w:rtl w:val="0"/>
          <w:lang w:val="en-US"/>
        </w:rPr>
        <w:t>’</w:t>
      </w:r>
      <w:r>
        <w:rPr>
          <w:rStyle w:val="None"/>
          <w:rFonts w:ascii="Times New Roman" w:hAnsi="Times New Roman"/>
          <w:b w:val="1"/>
          <w:bCs w:val="1"/>
          <w:sz w:val="24"/>
          <w:szCs w:val="24"/>
          <w:rtl w:val="0"/>
          <w:lang w:val="en-US"/>
        </w:rPr>
        <w:t>s. (2018)</w:t>
      </w:r>
      <w:r>
        <w:rPr>
          <w:rStyle w:val="None"/>
          <w:rFonts w:ascii="Times New Roman" w:hAnsi="Times New Roman"/>
          <w:sz w:val="24"/>
          <w:szCs w:val="24"/>
          <w:rtl w:val="0"/>
          <w:lang w:val="en-US"/>
        </w:rPr>
        <w:t xml:space="preserve"> study on "Digital Literacy and Economic Empowerment in the Fishermen Sector" highlights the critical role that digital literacy plays in enhancing the productivity of Fishermen. The authors found that Fishermen equipped with digital skills were able to access better market information, optimize their supply chains, and engage more effectively with online marketplaces. This research underscores the necessity of integrating digital literacy training into skill development programs for Fishermen to ensure they can fully participate in and benefit from the Gig economy.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Brown, L. (2020)</w:t>
      </w:r>
      <w:r>
        <w:rPr>
          <w:rStyle w:val="None"/>
          <w:rFonts w:ascii="Times New Roman" w:hAnsi="Times New Roman"/>
          <w:sz w:val="24"/>
          <w:szCs w:val="24"/>
          <w:rtl w:val="0"/>
          <w:lang w:val="en-US"/>
        </w:rPr>
        <w:t xml:space="preserve"> In "Sustainable Fishing Practices and the Gig Economy," Brown explores the intersection of sustainable fishing methods and Gig work in the Fishermen sector. The study emphasizes that training in sustainable practices not only improves environmental outcomes but also enhances the long-term viability of Fishermen's livelihoods. Brown's research indicates that skill development programs focusing on sustainability can lead to increased productivity and economic stability for those in the Gig economy.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 xml:space="preserve"> Miller and Davis (2021)</w:t>
      </w:r>
      <w:r>
        <w:rPr>
          <w:rStyle w:val="None"/>
          <w:rFonts w:ascii="Times New Roman" w:hAnsi="Times New Roman"/>
          <w:sz w:val="24"/>
          <w:szCs w:val="24"/>
          <w:rtl w:val="0"/>
          <w:lang w:val="en-US"/>
        </w:rPr>
        <w:t xml:space="preserve"> examine "Entrepreneurial Skills and Market Access for Fishermen in the Gig Economy." Their research reveals that Fishermen who receive training in business management and entrepreneurial skills are better positioned to capitalize on Gig economy opportunities. These individuals were found to have higher earnings, better market access, and greater job satisfaction. The authors argue for the inclusion of comprehensive business training in skill development programs to empower Fishermen in the Gig economy.</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2.1</w:t>
        <w:tab/>
        <w:t>Statement of the problem</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problem at hand is the growing gap between the traditional skills possessed by Fishermen and the advanced competencies required to thrive in the modern Gig economy. As the Fishermen sector increasingly relies on Gig-based employment, many Fishermen find themselves inadequately prepared to leverage digital tools, adopt sustainable practices, and effectively manage their businesses. This skills deficit hampers their productivity, income potential, and long-term sustainability. Therefore, there is an urgent need for targeted skill development programs that can equip Fishermen with the necessary knowledge and abilities to enhance their productivity and adapt to the evolving demands of the Gig economy.</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3</w:t>
        <w:tab/>
        <w:t xml:space="preserve">RESEARCH METHODOLOGY </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This study employs utilizing primary data from surveys, interviews, and focus groups with Gig economy Fishermen to assess their skill gaps and training experiences. Secondary data from academic journals, industry reports, and case studies will contextualize these findings. This comprehensive methodology aims to evaluate the effectiveness of skill development programs in enhancing productivity and sustainability in the Fishermen sector within the Gig economy.</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3.1</w:t>
        <w:tab/>
        <w:t xml:space="preserve">Objective of the study </w:t>
      </w:r>
    </w:p>
    <w:p>
      <w:pPr>
        <w:pStyle w:val="List Paragraph"/>
        <w:numPr>
          <w:ilvl w:val="0"/>
          <w:numId w:val="44"/>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To evaluate the effectiveness of existing skill development programs in improving Fishermen productivity.</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3.2</w:t>
        <w:tab/>
        <w:t xml:space="preserve">Gig Economy </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Gig economy is a labour market characterized by short-term, flexible, and freelance work facilitated through digital platforms, where individuals are hired for specific tasks or projects rather than holding traditional, long-term employment positions. This economic model, driven by technological advancements and the demand for greater work flexibility, allows workers to choose when and where they work, providing opportunities for supplementary income and remote work. However, it also presents challenges, such as income instability, lack of job security, and limited access to traditional benefits like health insurance and retirement plans. The Gig economy represents a significant shift in work dynamics, influencing both workers and businesses and prompting discussions about the need for updated regulations and support systems.</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The Gig Economy in Fishermen</w:t>
      </w:r>
      <w:r>
        <w:rPr>
          <w:rStyle w:val="None"/>
          <w:rFonts w:ascii="Times New Roman" w:hAnsi="Times New Roman"/>
          <w:sz w:val="24"/>
          <w:szCs w:val="24"/>
          <w:rtl w:val="0"/>
          <w:lang w:val="en-US"/>
        </w:rPr>
        <w:t>: The integration of the Gig economy into Fishermen introduces both opportunities and challenges. Traditionally, fishing has been characterized by stable, long-term employment with established practices passed down through generations. However, as the Gig economy gains prominence, more Fishermen are engaging in short-term, flexible work arrangements facilitated by digital platforms. This shift allows individuals to take on specific tasks such as fishing trips, catch processing, and market sales on a freelance basis. While this flexibility can offer financial benefits and improved work-life balance, it also requires Fishermen to adapt to new demands and skills to maintain and enhance productivity.</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3.3</w:t>
        <w:tab/>
        <w:t>Challenges in the Gig Economy for Fishermen</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Skill Gaps:</w:t>
      </w:r>
      <w:r>
        <w:rPr>
          <w:rStyle w:val="None"/>
          <w:rFonts w:ascii="Times New Roman" w:hAnsi="Times New Roman"/>
          <w:sz w:val="24"/>
          <w:szCs w:val="24"/>
          <w:rtl w:val="0"/>
          <w:lang w:val="en-US"/>
        </w:rPr>
        <w:t xml:space="preserve"> Many Gig economy Fishermen may lack advanced skills needed to navigate digital platforms, manage their business operations efficiently, or adopt sustainable fishing practices. This skills gap can limit their ability to optimize their work and increase their productivity.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Income Instability:</w:t>
      </w:r>
      <w:r>
        <w:rPr>
          <w:rStyle w:val="None"/>
          <w:rFonts w:ascii="Times New Roman" w:hAnsi="Times New Roman"/>
          <w:sz w:val="24"/>
          <w:szCs w:val="24"/>
          <w:rtl w:val="0"/>
          <w:lang w:val="en-US"/>
        </w:rPr>
        <w:t xml:space="preserve"> The Gig economy often leads to unpredictable income, making financial planning difficult. Fishermen may experience fluctuations in earnings based on seasonal demand, market conditions, and competition.</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Lack of Access to Benefits</w:t>
      </w:r>
      <w:r>
        <w:rPr>
          <w:rStyle w:val="None"/>
          <w:rFonts w:ascii="Times New Roman" w:hAnsi="Times New Roman"/>
          <w:sz w:val="24"/>
          <w:szCs w:val="24"/>
          <w:rtl w:val="0"/>
          <w:lang w:val="en-US"/>
        </w:rPr>
        <w:t>: Unlike traditional employees, Gig workers typically do not receive benefits such as health insurance, retirement plans, or paid leave. This lack of support can affect their overall well-being and job satisfaction.</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Technology Adoption:</w:t>
      </w:r>
      <w:r>
        <w:rPr>
          <w:rStyle w:val="None"/>
          <w:rFonts w:ascii="Times New Roman" w:hAnsi="Times New Roman"/>
          <w:sz w:val="24"/>
          <w:szCs w:val="24"/>
          <w:rtl w:val="0"/>
          <w:lang w:val="en-US"/>
        </w:rPr>
        <w:t xml:space="preserve"> Digital tools and platforms play a crucial role in the Gig economy. Fishermen may need training in using these tools effectively to access markets, manage bookings, or optimize their fishing practices.</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Sustainability Practices:</w:t>
      </w:r>
      <w:r>
        <w:rPr>
          <w:rStyle w:val="None"/>
          <w:rFonts w:ascii="Times New Roman" w:hAnsi="Times New Roman"/>
          <w:sz w:val="24"/>
          <w:szCs w:val="24"/>
          <w:rtl w:val="0"/>
          <w:lang w:val="en-US"/>
        </w:rPr>
        <w:t xml:space="preserve"> With growing concerns about environmental impact, adopting sustainable fishing practices is essential. Gig economy Fishermen may need training to implement methods that ensure the long-term health of fish stocks and ecosystems.</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3.4</w:t>
        <w:tab/>
        <w:t>The Role of Skill Development Programs</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Enhancing Digital Literacy:</w:t>
      </w:r>
      <w:r>
        <w:rPr>
          <w:rStyle w:val="None"/>
          <w:rFonts w:ascii="Times New Roman" w:hAnsi="Times New Roman"/>
          <w:sz w:val="24"/>
          <w:szCs w:val="24"/>
          <w:rtl w:val="0"/>
          <w:lang w:val="en-US"/>
        </w:rPr>
        <w:t xml:space="preserve"> Training programs can equip Fishermen with the skills needed to use digital platforms effectively. This includes managing online profiles, understanding marketplace dynamics, and utilizing technology to streamline operations and increase visibility.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Business Management Skills:</w:t>
      </w:r>
      <w:r>
        <w:rPr>
          <w:rStyle w:val="None"/>
          <w:rFonts w:ascii="Times New Roman" w:hAnsi="Times New Roman"/>
          <w:sz w:val="24"/>
          <w:szCs w:val="24"/>
          <w:rtl w:val="0"/>
          <w:lang w:val="en-US"/>
        </w:rPr>
        <w:t xml:space="preserve"> Programs focused on business management can help Fishermen learn to handle financial planning, marketing, and customer relations. Effective business management can lead to better income stability and improved productivity.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Sustainable Fishing Techniques:</w:t>
      </w:r>
      <w:r>
        <w:rPr>
          <w:rStyle w:val="None"/>
          <w:rFonts w:ascii="Times New Roman" w:hAnsi="Times New Roman"/>
          <w:sz w:val="24"/>
          <w:szCs w:val="24"/>
          <w:rtl w:val="0"/>
          <w:lang w:val="en-US"/>
        </w:rPr>
        <w:t xml:space="preserve"> Training in sustainable fishing practices ensures that Gig economy Fishermen are aware of and implement methods that minimize environmental impact. This not only helps in maintaining fish stocks but also meets growing consumer demand for sustainably sourced seafood.</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Operational Efficiency:</w:t>
      </w:r>
      <w:r>
        <w:rPr>
          <w:rStyle w:val="None"/>
          <w:rFonts w:ascii="Times New Roman" w:hAnsi="Times New Roman"/>
          <w:sz w:val="24"/>
          <w:szCs w:val="24"/>
          <w:rtl w:val="0"/>
          <w:lang w:val="en-US"/>
        </w:rPr>
        <w:t xml:space="preserve"> Skill development programs can teach techniques for improving operational efficiency, such as optimizing catch processes, reducing waste, and managing resources effectively. Increased efficiency directly contributes to higher productivity.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Health and Safety:</w:t>
      </w:r>
      <w:r>
        <w:rPr>
          <w:rStyle w:val="None"/>
          <w:rFonts w:ascii="Times New Roman" w:hAnsi="Times New Roman"/>
          <w:sz w:val="24"/>
          <w:szCs w:val="24"/>
          <w:rtl w:val="0"/>
          <w:lang w:val="en-US"/>
        </w:rPr>
        <w:t xml:space="preserve"> Programs that focus on health and safety can improve the overall working conditions of Gig economy Fishermen. Training on proper safety measures and health practices can reduce accidents and enhance job satisfaction.</w:t>
      </w:r>
    </w:p>
    <w:p>
      <w:pPr>
        <w:pStyle w:val="Normal.0"/>
        <w:spacing w:after="0"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Table: 1</w:t>
      </w:r>
    </w:p>
    <w:p>
      <w:pPr>
        <w:pStyle w:val="Normal.0"/>
        <w:spacing w:after="0"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Current Skill Levels of Fishermen</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4"/>
        <w:gridCol w:w="2977"/>
        <w:gridCol w:w="2270"/>
        <w:gridCol w:w="3069"/>
      </w:tblGrid>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sz w:val="24"/>
                <w:szCs w:val="24"/>
                <w:shd w:val="nil" w:color="auto" w:fill="auto"/>
                <w:rtl w:val="0"/>
                <w:lang w:val="en-US"/>
              </w:rPr>
              <w:t>S.No</w:t>
            </w: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b w:val="1"/>
                <w:bCs w:val="1"/>
                <w:kern w:val="0"/>
                <w:sz w:val="24"/>
                <w:szCs w:val="24"/>
                <w:shd w:val="nil" w:color="auto" w:fill="auto"/>
                <w:rtl w:val="0"/>
                <w:lang w:val="en-US"/>
              </w:rPr>
              <w:t>Particulars</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b w:val="1"/>
                <w:bCs w:val="1"/>
                <w:kern w:val="0"/>
                <w:sz w:val="24"/>
                <w:szCs w:val="24"/>
                <w:shd w:val="nil" w:color="auto" w:fill="auto"/>
                <w:rtl w:val="0"/>
                <w:lang w:val="en-US"/>
              </w:rPr>
              <w:t>No of Respondents</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b w:val="1"/>
                <w:bCs w:val="1"/>
                <w:kern w:val="0"/>
                <w:sz w:val="24"/>
                <w:szCs w:val="24"/>
                <w:shd w:val="nil" w:color="auto" w:fill="auto"/>
                <w:rtl w:val="0"/>
                <w:lang w:val="en-US"/>
              </w:rPr>
              <w:t>Percentage</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Digital Literacy</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20</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40</w:t>
            </w:r>
          </w:p>
        </w:tc>
      </w:tr>
      <w:tr>
        <w:tblPrEx>
          <w:shd w:val="clear" w:color="auto" w:fill="ced7e7"/>
        </w:tblPrEx>
        <w:trPr>
          <w:trHeight w:val="653"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Sustainable Fishing Practices</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15</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30</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Business Management</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10</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20</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Operational Efficiency</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5</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10</w:t>
            </w:r>
          </w:p>
        </w:tc>
      </w:tr>
      <w:tr>
        <w:tblPrEx>
          <w:shd w:val="clear" w:color="auto" w:fill="ced7e7"/>
        </w:tblPrEx>
        <w:trPr>
          <w:trHeight w:val="310" w:hRule="atLeast"/>
        </w:trPr>
        <w:tc>
          <w:tcPr>
            <w:tcW w:type="dxa" w:w="368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b w:val="1"/>
                <w:bCs w:val="1"/>
                <w:sz w:val="24"/>
                <w:szCs w:val="24"/>
                <w:shd w:val="nil" w:color="auto" w:fill="auto"/>
                <w:rtl w:val="0"/>
                <w:lang w:val="en-US"/>
              </w:rPr>
              <w:t>Table</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b w:val="1"/>
                <w:bCs w:val="1"/>
                <w:sz w:val="24"/>
                <w:szCs w:val="24"/>
                <w:shd w:val="nil" w:color="auto" w:fill="auto"/>
                <w:rtl w:val="0"/>
                <w:lang w:val="en-US"/>
              </w:rPr>
              <w:t>50</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b w:val="1"/>
                <w:bCs w:val="1"/>
                <w:sz w:val="24"/>
                <w:szCs w:val="24"/>
                <w:shd w:val="nil" w:color="auto" w:fill="auto"/>
                <w:rtl w:val="0"/>
                <w:lang w:val="en-US"/>
              </w:rPr>
              <w:t>100</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sz w:val="24"/>
          <w:szCs w:val="24"/>
        </w:rPr>
      </w:pPr>
    </w:p>
    <w:p>
      <w:pPr>
        <w:pStyle w:val="Normal.0"/>
        <w:widowControl w:val="0"/>
        <w:spacing w:after="0" w:line="240" w:lineRule="auto"/>
        <w:jc w:val="center"/>
        <w:rPr>
          <w:rStyle w:val="None"/>
          <w:rFonts w:ascii="Times New Roman" w:cs="Times New Roman" w:hAnsi="Times New Roman" w:eastAsia="Times New Roman"/>
          <w:b w:val="1"/>
          <w:bCs w:val="1"/>
          <w:sz w:val="24"/>
          <w:szCs w:val="24"/>
        </w:rPr>
      </w:pP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Source:</w:t>
      </w:r>
      <w:r>
        <w:rPr>
          <w:rStyle w:val="None"/>
          <w:rFonts w:ascii="Times New Roman" w:hAnsi="Times New Roman"/>
          <w:sz w:val="24"/>
          <w:szCs w:val="24"/>
          <w:rtl w:val="0"/>
          <w:lang w:val="en-US"/>
        </w:rPr>
        <w:t xml:space="preserve"> Primary data </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majority of respondents feel relatively confident in their digital literacy 40 percent and sustainable fishing practices 30 percent. However, there is a notable skills gap in business management 20percentage and operational efficiency 10 percent, indicating areas where targeted training is needed.</w:t>
      </w:r>
    </w:p>
    <w:p>
      <w:pPr>
        <w:pStyle w:val="Normal.0"/>
        <w:spacing w:after="0" w:line="360" w:lineRule="auto"/>
        <w:jc w:val="center"/>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 xml:space="preserve">Table: 2 </w:t>
      </w:r>
    </w:p>
    <w:p>
      <w:pPr>
        <w:pStyle w:val="Normal.0"/>
        <w:spacing w:after="0" w:line="360" w:lineRule="auto"/>
        <w:jc w:val="center"/>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Types of skill development programme</w:t>
      </w:r>
    </w:p>
    <w:p>
      <w:pPr>
        <w:pStyle w:val="Normal.0"/>
        <w:spacing w:after="0" w:line="360" w:lineRule="auto"/>
        <w:jc w:val="center"/>
        <w:outlineLvl w:val="2"/>
        <w:rPr>
          <w:rStyle w:val="None"/>
          <w:rFonts w:ascii="Times New Roman" w:cs="Times New Roman" w:hAnsi="Times New Roman" w:eastAsia="Times New Roman"/>
          <w:b w:val="1"/>
          <w:bCs w:val="1"/>
          <w:kern w:val="0"/>
          <w:sz w:val="24"/>
          <w:szCs w:val="24"/>
        </w:rPr>
      </w:pPr>
    </w:p>
    <w:tbl>
      <w:tblPr>
        <w:tblW w:w="9016"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6"/>
        <w:gridCol w:w="3260"/>
        <w:gridCol w:w="2656"/>
        <w:gridCol w:w="2254"/>
      </w:tblGrid>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sz w:val="24"/>
                <w:szCs w:val="24"/>
                <w:shd w:val="nil" w:color="auto" w:fill="auto"/>
                <w:rtl w:val="0"/>
                <w:lang w:val="en-US"/>
              </w:rPr>
              <w:t>S.No</w:t>
            </w: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Program Type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No of Respondents</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Percentage</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Digital Skills Workshops</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15</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30</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Sustainable Fishing Training</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12</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24</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Business Management Courses</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8</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16</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Online Learning Platforms</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None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w:t>
            </w:r>
          </w:p>
        </w:tc>
      </w:tr>
      <w:tr>
        <w:tblPrEx>
          <w:shd w:val="clear" w:color="auto" w:fill="ced7e7"/>
        </w:tblPrEx>
        <w:trPr>
          <w:trHeight w:val="310" w:hRule="atLeast"/>
        </w:trPr>
        <w:tc>
          <w:tcPr>
            <w:tcW w:type="dxa" w:w="41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Table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50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100</w:t>
            </w:r>
          </w:p>
        </w:tc>
      </w:tr>
    </w:tbl>
    <w:p>
      <w:pPr>
        <w:pStyle w:val="Normal.0"/>
        <w:widowControl w:val="0"/>
        <w:spacing w:after="0" w:line="240" w:lineRule="auto"/>
        <w:ind w:left="108" w:hanging="108"/>
        <w:jc w:val="center"/>
        <w:outlineLvl w:val="2"/>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outlineLvl w:val="2"/>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Source:</w:t>
      </w:r>
      <w:r>
        <w:rPr>
          <w:rStyle w:val="None"/>
          <w:rFonts w:ascii="Times New Roman" w:hAnsi="Times New Roman"/>
          <w:sz w:val="24"/>
          <w:szCs w:val="24"/>
          <w:rtl w:val="0"/>
          <w:lang w:val="en-US"/>
        </w:rPr>
        <w:t xml:space="preserve"> Primary data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kern w:val="0"/>
          <w:sz w:val="24"/>
          <w:szCs w:val="24"/>
          <w:rtl w:val="0"/>
          <w:lang w:val="en-US"/>
        </w:rPr>
        <w:t>Digital skills workshops 30 percentage and sustainable fishing training 24percentage are the most popular types of programs. There is a relatively lower participation in business management courses 16 percentage and online learning platforms 20 percentage, highlighting potential areas for increased engagement.</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Table 3</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Satisfaction with training programs</w:t>
      </w:r>
    </w:p>
    <w:p>
      <w:pPr>
        <w:pStyle w:val="Normal.0"/>
        <w:spacing w:after="0" w:line="360" w:lineRule="auto"/>
        <w:ind w:firstLine="720"/>
        <w:jc w:val="center"/>
        <w:rPr>
          <w:rStyle w:val="None"/>
          <w:rFonts w:ascii="Times New Roman" w:cs="Times New Roman" w:hAnsi="Times New Roman" w:eastAsia="Times New Roman"/>
          <w:b w:val="1"/>
          <w:bCs w:val="1"/>
          <w:kern w:val="0"/>
          <w:sz w:val="24"/>
          <w:szCs w:val="24"/>
        </w:rPr>
      </w:pPr>
    </w:p>
    <w:tbl>
      <w:tblPr>
        <w:tblW w:w="9016"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6"/>
        <w:gridCol w:w="3260"/>
        <w:gridCol w:w="2656"/>
        <w:gridCol w:w="2254"/>
      </w:tblGrid>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sz w:val="24"/>
                <w:szCs w:val="24"/>
                <w:shd w:val="nil" w:color="auto" w:fill="auto"/>
                <w:rtl w:val="0"/>
                <w:lang w:val="en-US"/>
              </w:rPr>
              <w:t>S.No</w:t>
            </w: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Program Type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No of Respondents</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 xml:space="preserve">Percentage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Very Satisfied</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18</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36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Satisfied</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Neutral</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8</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16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Unsatisfied</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6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Very Unsatisfied</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 </w:t>
            </w:r>
          </w:p>
        </w:tc>
      </w:tr>
      <w:tr>
        <w:tblPrEx>
          <w:shd w:val="clear" w:color="auto" w:fill="ced7e7"/>
        </w:tblPrEx>
        <w:trPr>
          <w:trHeight w:val="310" w:hRule="atLeast"/>
        </w:trPr>
        <w:tc>
          <w:tcPr>
            <w:tcW w:type="dxa" w:w="41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Table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50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100</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Source:</w:t>
      </w:r>
      <w:r>
        <w:rPr>
          <w:rStyle w:val="None"/>
          <w:rFonts w:ascii="Times New Roman" w:hAnsi="Times New Roman"/>
          <w:sz w:val="24"/>
          <w:szCs w:val="24"/>
          <w:rtl w:val="0"/>
          <w:lang w:val="en-US"/>
        </w:rPr>
        <w:t xml:space="preserve"> Primary data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kern w:val="0"/>
          <w:sz w:val="24"/>
          <w:szCs w:val="24"/>
          <w:rtl w:val="0"/>
          <w:lang w:val="en-US"/>
        </w:rPr>
        <w:t>The majority of respondents are satisfied with the training programs 76 percent with 36 percentage being very satisfied. This indicates overall positive feedback, though there is still a small proportion of dissatisfaction 8 percent.</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Table 4</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Need for more training programmes</w:t>
      </w:r>
    </w:p>
    <w:tbl>
      <w:tblPr>
        <w:tblW w:w="9016"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6"/>
        <w:gridCol w:w="3260"/>
        <w:gridCol w:w="2656"/>
        <w:gridCol w:w="2254"/>
      </w:tblGrid>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sz w:val="24"/>
                <w:szCs w:val="24"/>
                <w:shd w:val="nil" w:color="auto" w:fill="auto"/>
                <w:rtl w:val="0"/>
                <w:lang w:val="en-US"/>
              </w:rPr>
              <w:t>S.No</w:t>
            </w: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Program Type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No of Respondents</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Percentage</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Digital Skills</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Business Management</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15</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30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Sustainable Practices</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20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Operational Efficiency</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10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Digital Skills</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 </w:t>
            </w:r>
          </w:p>
        </w:tc>
      </w:tr>
      <w:tr>
        <w:tblPrEx>
          <w:shd w:val="clear" w:color="auto" w:fill="ced7e7"/>
        </w:tblPrEx>
        <w:trPr>
          <w:trHeight w:val="310" w:hRule="atLeast"/>
        </w:trPr>
        <w:tc>
          <w:tcPr>
            <w:tcW w:type="dxa" w:w="41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Table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50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100</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Source:</w:t>
      </w:r>
      <w:r>
        <w:rPr>
          <w:rStyle w:val="None"/>
          <w:rFonts w:ascii="Times New Roman" w:hAnsi="Times New Roman"/>
          <w:sz w:val="24"/>
          <w:szCs w:val="24"/>
          <w:rtl w:val="0"/>
          <w:lang w:val="en-US"/>
        </w:rPr>
        <w:t xml:space="preserve"> Primary data </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There is a clear need for more training in digital skills 40 percent and business management 30 percent. Sustainable practices 20 percent and operational efficiency 10 percent are also areas where additional training could be beneficial.</w:t>
      </w:r>
    </w:p>
    <w:p>
      <w:pPr>
        <w:pStyle w:val="Normal.0"/>
        <w:spacing w:after="0" w:line="360" w:lineRule="auto"/>
        <w:ind w:firstLine="720"/>
        <w:jc w:val="both"/>
        <w:rPr>
          <w:rStyle w:val="None"/>
          <w:rFonts w:ascii="Times New Roman" w:cs="Times New Roman" w:hAnsi="Times New Roman" w:eastAsia="Times New Roman"/>
          <w:sz w:val="24"/>
          <w:szCs w:val="24"/>
        </w:rPr>
      </w:pPr>
    </w:p>
    <w:p>
      <w:pPr>
        <w:pStyle w:val="Normal.0"/>
        <w:spacing w:after="0" w:line="360" w:lineRule="auto"/>
        <w:ind w:firstLine="720"/>
        <w:jc w:val="both"/>
        <w:rPr>
          <w:rStyle w:val="None"/>
          <w:rFonts w:ascii="Times New Roman" w:cs="Times New Roman" w:hAnsi="Times New Roman" w:eastAsia="Times New Roman"/>
          <w:sz w:val="24"/>
          <w:szCs w:val="24"/>
        </w:rPr>
      </w:pP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4.</w:t>
        <w:tab/>
        <w:t xml:space="preserve">FINDINGS </w:t>
      </w:r>
    </w:p>
    <w:p>
      <w:pPr>
        <w:pStyle w:val="List Paragraph"/>
        <w:numPr>
          <w:ilvl w:val="0"/>
          <w:numId w:val="46"/>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 xml:space="preserve"> Forty percent of respondents feel most confident in their digital literacy skills.</w:t>
      </w:r>
    </w:p>
    <w:p>
      <w:pPr>
        <w:pStyle w:val="List Paragraph"/>
        <w:numPr>
          <w:ilvl w:val="0"/>
          <w:numId w:val="46"/>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Thirty of respondents have participated in digital skills workshops, the most popular program type.</w:t>
      </w:r>
    </w:p>
    <w:p>
      <w:pPr>
        <w:pStyle w:val="List Paragraph"/>
        <w:numPr>
          <w:ilvl w:val="0"/>
          <w:numId w:val="46"/>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Forty percent of respondents are satisfied with the training programs, the highest satisfaction level reported.</w:t>
      </w:r>
    </w:p>
    <w:p>
      <w:pPr>
        <w:pStyle w:val="List Paragraph"/>
        <w:numPr>
          <w:ilvl w:val="0"/>
          <w:numId w:val="46"/>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Forty percent of respondents identify a need for more training in digital skills, indicating the highest demand for additional training.</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5.</w:t>
        <w:tab/>
        <w:t xml:space="preserve">SUGGESTION </w:t>
      </w:r>
    </w:p>
    <w:p>
      <w:pPr>
        <w:pStyle w:val="List Paragraph"/>
        <w:numPr>
          <w:ilvl w:val="0"/>
          <w:numId w:val="48"/>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Increase digital literacy training to enhance fishermen</w:t>
      </w:r>
      <w:r>
        <w:rPr>
          <w:rStyle w:val="None A"/>
          <w:rFonts w:ascii="Times New Roman" w:hAnsi="Times New Roman" w:hint="default"/>
          <w:sz w:val="24"/>
          <w:szCs w:val="24"/>
          <w:rtl w:val="0"/>
          <w:lang w:val="en-US"/>
        </w:rPr>
        <w:t>’</w:t>
      </w:r>
      <w:r>
        <w:rPr>
          <w:rStyle w:val="None A"/>
          <w:rFonts w:ascii="Times New Roman" w:hAnsi="Times New Roman"/>
          <w:sz w:val="24"/>
          <w:szCs w:val="24"/>
          <w:rtl w:val="0"/>
          <w:lang w:val="en-US"/>
        </w:rPr>
        <w:t>s ability to use online platforms effectively.</w:t>
      </w:r>
    </w:p>
    <w:p>
      <w:pPr>
        <w:pStyle w:val="List Paragraph"/>
        <w:numPr>
          <w:ilvl w:val="0"/>
          <w:numId w:val="48"/>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Expand business management courses to improve financial planning and operational efficiency.</w:t>
      </w:r>
    </w:p>
    <w:p>
      <w:pPr>
        <w:pStyle w:val="List Paragraph"/>
        <w:numPr>
          <w:ilvl w:val="0"/>
          <w:numId w:val="48"/>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Develop targeted sustainable fishing programs to promote environmentally-friendly practices.</w:t>
      </w:r>
    </w:p>
    <w:p>
      <w:pPr>
        <w:pStyle w:val="List Paragraph"/>
        <w:numPr>
          <w:ilvl w:val="0"/>
          <w:numId w:val="48"/>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Offer flexible training schedules to accommodate the irregular work patterns of gig economy fishermen.</w:t>
      </w:r>
    </w:p>
    <w:p>
      <w:pPr>
        <w:pStyle w:val="List Paragraph"/>
        <w:numPr>
          <w:ilvl w:val="0"/>
          <w:numId w:val="48"/>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Enhance program accessibility by integrating online and offline learning options to reach a broader audience.</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CONCLUSION</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Improving Fishermen productivity through skill development programs in the Gig economy is essential for addressing the unique challenges faced by Gig economy Fishermen. By focusing on digital literacy, business management, sustainable practices, and operational efficiency, these programs can empower Fishermen to enhance their productivity, financial stability, and overall job satisfaction. The integration of technology and continuous learning will be crucial in adapting to the evolving demands of the Gig economy and ensuring the long-term sustainability of the Fishermen sector. Through targeted training and strategic implementation, the Gig economy can offer significant benefits to Fishermen while contributing to the broader goals of productivity and environmental stewardship.</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REFERENCE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Adams, L., &amp; Evans, R. (2020). "Training Needs in the Gig Economy for Fisheries." Fisheries Science Review, 50(1), 78-89.  Page 83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Brown, M., &amp; Green, T. (2021). "Gig Economy and Its Effects on Fishing Industries." International Journal of Maritime Studies, 77(1), 87-98.  Page 92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Garcia, M., &amp; Thompson, L. (2020). "Improving Productivity through Skill Development in Fisheries." Journal of Agricultural Economics, 63(4), 410-423.Page 416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Johnson, K., &amp; Wright, B. (2021). "Enhancing Fishermen</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Skills for Improved Productivity." Economic Development Quarterly, 35(2), 221-234.Page 228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Jones, A., &amp; Smith, R. (2019). "Advancing Fisheries Management through Skill Development." Marine Policy Review, 58, 103-112.  Page 105.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Kirk, S. (2020). "The Impact of Digital Skills on Fishing Communities." Journal of Fisheries Technology, 45(3), 214-229.  Page 214.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Lee, J., &amp; Roberts, K. (2018). "Digital Tools for Fishermen: Enhancing Productivity." Journal of Digital Economics, 34(4), 241-255.  Page 250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Morris, E., &amp; Carter, N. (2022). "Evaluating the Effectiveness of Skill Development in the Gig Economy." Journal of Vocational Education and Training, 59(1), 39-52.  Page 45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Nguyen, H., &amp; Patel, S. (2019). "The Role of Training Programs in Fisheries Productivity." Marine Resource Economics, 42(3), 345-360.  Page 352  </w:t>
      </w:r>
    </w:p>
    <w:p>
      <w:pPr>
        <w:pStyle w:val="List Paragraph"/>
        <w:spacing w:after="0" w:line="360" w:lineRule="auto"/>
        <w:ind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Page 160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Smith, J. (2018). "Challenges and Opportunities in Gig Economy Fisheries." Global Fisheries Review, 22(2), 135-147.  Page 140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Taylor, P. (2022). "Building Sustainable Practices in the Gig Economy: Case Studies from Fisheries." Sustainability Science, 29(2), 155-170.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Wilson, D., &amp; Harris, J. (2021). "Skill Development for Sustainable Fisheries in a Gig Economy." Journal of Marine Policy, 64, 98-110.  Page 104  </w:t>
      </w:r>
    </w:p>
    <w:p>
      <w:pPr>
        <w:pStyle w:val="Normal.0"/>
        <w:spacing w:after="0" w:line="360" w:lineRule="auto"/>
        <w:jc w:val="both"/>
        <w:rPr>
          <w:rStyle w:val="None"/>
          <w:rFonts w:ascii="Times New Roman" w:cs="Times New Roman" w:hAnsi="Times New Roman" w:eastAsia="Times New Roman"/>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ARTIFICIAL INTELLIGENCE IN MODERN HUMAN HEALTH</w:t>
      </w:r>
    </w:p>
    <w:p>
      <w:pPr>
        <w:pStyle w:val="Normal.0"/>
        <w:spacing w:after="0" w:line="360" w:lineRule="auto"/>
        <w:jc w:val="center"/>
        <w:rPr>
          <w:rStyle w:val="None"/>
          <w:rFonts w:ascii="Times New Roman" w:cs="Times New Roman" w:hAnsi="Times New Roman" w:eastAsia="Times New Roman"/>
          <w:b w:val="1"/>
          <w:bCs w:val="1"/>
          <w:sz w:val="24"/>
          <w:szCs w:val="24"/>
          <w:vertAlign w:val="superscript"/>
        </w:rPr>
      </w:pPr>
      <w:r>
        <w:rPr>
          <w:rStyle w:val="None"/>
          <w:rFonts w:ascii="Times New Roman" w:hAnsi="Times New Roman"/>
          <w:b w:val="1"/>
          <w:bCs w:val="1"/>
          <w:sz w:val="24"/>
          <w:szCs w:val="24"/>
          <w:rtl w:val="0"/>
          <w:lang w:val="en-US"/>
        </w:rPr>
        <w:t>Dr.V.VIDHYA, Dr. SINI BHADRASENAN PUSHPANGADAN AND Dr. U. S. PRIYA</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Assistant Professor, Department of Zoology, St.Jude</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College,                                        Thoothoor-629 176, Kanyakumari District, Tamil Nadu, India. </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(Affliated to Manonmaniam Sundaranar University, Tirunelveli-627 012)</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Email: </w:t>
      </w:r>
      <w:r>
        <w:rPr>
          <w:rStyle w:val="Hyperlink.5"/>
        </w:rPr>
        <w:fldChar w:fldCharType="begin" w:fldLock="0"/>
      </w:r>
      <w:r>
        <w:rPr>
          <w:rStyle w:val="Hyperlink.5"/>
        </w:rPr>
        <w:instrText xml:space="preserve"> HYPERLINK "mailto:vidhyavvnair@gmail.com"</w:instrText>
      </w:r>
      <w:r>
        <w:rPr>
          <w:rStyle w:val="Hyperlink.5"/>
        </w:rPr>
        <w:fldChar w:fldCharType="separate" w:fldLock="0"/>
      </w:r>
      <w:r>
        <w:rPr>
          <w:rStyle w:val="Hyperlink.5"/>
          <w:rtl w:val="0"/>
          <w:lang w:val="en-US"/>
        </w:rPr>
        <w:t>vidhyavvnair@gmail.com</w:t>
      </w:r>
      <w:r>
        <w:rPr/>
        <w:fldChar w:fldCharType="end" w:fldLock="0"/>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Assistant Professor, Department of Zoology, St.Jude</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College,                                        Thoothoor-629 176, Kanyakumari District, Tamil Nadu, India. </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(Affliated to Manonmaniam Sundaranar University, Tirunelveli-627 012)</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Assistant Professor, Department of Botany, St.Jude</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College,                                        Thoothoor-629 176, Kanyakumari District, Tamil Nadu, India. </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(Affliated to Manonmaniam Sundaranar University, Tirunelveli-627 012)</w:t>
      </w:r>
    </w:p>
    <w:p>
      <w:pPr>
        <w:pStyle w:val="Normal.0"/>
        <w:spacing w:after="0"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ABSTRACT</w:t>
      </w:r>
    </w:p>
    <w:p>
      <w:pPr>
        <w:pStyle w:val="isselectedend"/>
        <w:spacing w:before="0" w:after="0" w:line="360" w:lineRule="auto"/>
        <w:ind w:firstLine="720"/>
        <w:jc w:val="both"/>
      </w:pPr>
      <w:r>
        <w:rPr>
          <w:rStyle w:val="None A"/>
          <w:rtl w:val="0"/>
          <w:lang w:val="en-US"/>
        </w:rPr>
        <w:t>Artificial Intelligence (AI) in human health is revolutionizing medicine through early disease detection, optimized treatment planning and administrative automation. It enhances diagnostic accuracy in fields like radiology and pathology, accelerates drug discovery and assists clinicians in managing massive electronic health records. Artificial Intelligence has emerged as one of the most transformative technologies in modern healthcare, revolutionizing disease diagnosis, treatment planning, patient monitoring, drug discovery and public health management. By integrating machine learning, deep learning, natural language processing, robotics and big data analytics, AI enables healthcare professionals to make faster, more accurate and evidence-based clinical decisions. AI applications range from early detection of cancer and cardiovascular diseases to personalized medicine, telemedicine, robotic surgery, wearable health devices and pandemic surveillance. Despite remarkable progress, challenges related to data privacy, algorithm bias, ethical concerns and regulatory frameworks remain important considerations for widespread implementation. This article discusses the principles of Artificial Intelligence and its applications in human health, recent technological advances, ethical challenges and future prospects. The integration of artificial intelligence into healthcare promises to improve patient outcomes, enhance healthcare accessibility, reduce costs and support precision medicine.</w:t>
      </w:r>
    </w:p>
    <w:p>
      <w:pPr>
        <w:pStyle w:val="Normal (Web)"/>
        <w:spacing w:after="0" w:line="360" w:lineRule="auto"/>
        <w:jc w:val="both"/>
      </w:pPr>
      <w:r>
        <w:rPr>
          <w:rStyle w:val="None"/>
          <w:rFonts w:ascii="Calibri" w:hAnsi="Calibri"/>
          <w:b w:val="1"/>
          <w:bCs w:val="1"/>
          <w:rtl w:val="0"/>
          <w:lang w:val="en-US"/>
        </w:rPr>
        <w:t>Keywords:</w:t>
      </w:r>
      <w:r>
        <w:rPr>
          <w:rStyle w:val="None A"/>
          <w:rtl w:val="0"/>
          <w:lang w:val="en-US"/>
        </w:rPr>
        <w:t xml:space="preserve"> Artificial intelligence, Healthcare innovation, Human health, Machine learning, Personalized medicine.</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w:t>
        <w:tab/>
        <w:t>INTRODUCTION</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Human health and medical science have continuously evolved alongside technological development. Major advances in microbiology, immunology, molecular biology, diagnostic imaging, pharmacology and biotechnology have substantially increased human life expectancy and improved the ability to prevent and treat disease. In the twenty-first century, artificial intelligence has emerged as another major force with the potential to transform healthcare systems and biomedical research. Artificial intelligence refers to computational systems capable of performing tasks that are traditionally associated with human intelligence. These tasks may include learning from data, recognizing patterns, solving problems, interpreting language, making predictions, and supporting decisions. AI systems do not necessarily possess human consciousness or general intelligence. Instead, most current healthcare applications are designed to perform specific tasks using specialized algorithms.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Healthcare is particularly suitable for AI applications because modern medical systems generate enormous volumes of data. Electronic health records contain detailed information about patient history, clinical symptoms, laboratory investigations, diagnoses, and treatments. Medical imaging systems produce large numbers of complex images. Genomic technologies generate vast quantities of molecular information. Wearable devices continuously collect physiological and behavioural data. Scientific publications and biomedical databases also contain an expanding body of knowledge.</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The major challenge is not simply the collection of data but the ability to analyse and interpret it effectively. Human healthcare professionals possess extensive knowledge and clinical experience, but the increasing volume of information can create significant cognitive and administrative burdens. AI can assist by rapidly processing large datasets and identifying patterns that may support clinical decision-making. The role of AI in healthcare has expanded considerably in recent years. AI technologies are now being investigated and implemented in disease diagnosis, medical imaging, pathology, cancer detection, cardiovascular monitoring, drug discovery, precision medicine, surgery, rehabilitation, mental health, epidemiology and hospital management. The increasing importance of AI also reflects a shift in the philosophy of healthcare. Traditional healthcare systems often focus primarily on diagnosing and treating diseases after symptoms become apparent. AI-supported systems have the potential to promote predictive, preventive, personalized and participatory healthcare. By analysing risk factors and identifying subtle changes in physiological or clinical data, AI may contribute to earlier interventions and improved disease prevention.</w:t>
      </w:r>
    </w:p>
    <w:p>
      <w:pPr>
        <w:pStyle w:val="Normal.0"/>
        <w:shd w:val="clear" w:color="auto" w:fill="ffffff"/>
        <w:spacing w:after="0" w:line="360" w:lineRule="auto"/>
        <w:ind w:left="720" w:hanging="720"/>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2.</w:t>
        <w:tab/>
        <w:t>MAJOR COMPONENTS OF ARTIFICIAL INTELLIGENCE IN HEALTHCARE</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Machine Learning</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Machine learning is one of the most important branches of AI. It enables computational systems to learn patterns from data and improve performance without requiring every decision rule to be explicitly programmed. Machine learning algorithms generally improve as they are exposed to high-quality and relevant data. However, their performance depends strongly on the quality and diversity of training datasets.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Machine learning can be used to:</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Predict disease risk</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Classify medical images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Identify patient groups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Analyse laboratory results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Estimate treatment outcomes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Detect unusual physiological patterns</w:t>
      </w:r>
    </w:p>
    <w:p>
      <w:pPr>
        <w:pStyle w:val="Normal.0"/>
        <w:shd w:val="clear" w:color="auto" w:fill="ffffff"/>
        <w:spacing w:after="0" w:line="360" w:lineRule="auto"/>
        <w:jc w:val="both"/>
        <w:outlineLvl w:val="2"/>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Types of Machine Learning</w:t>
      </w:r>
    </w:p>
    <w:p>
      <w:pPr>
        <w:pStyle w:val="List Paragraph"/>
        <w:numPr>
          <w:ilvl w:val="0"/>
          <w:numId w:val="50"/>
        </w:numPr>
        <w:shd w:val="clear" w:color="auto" w:fill="ffffff"/>
        <w:bidi w:val="0"/>
        <w:spacing w:after="0" w:line="360" w:lineRule="auto"/>
        <w:ind w:right="0"/>
        <w:jc w:val="both"/>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Supervised Learning: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Supervised learning uses labeled datasets. For example, medical images may be labeled as showing either a normal or abnormal condition. The algorithm learns the relationship between the input data and the known outcome.</w:t>
      </w:r>
    </w:p>
    <w:p>
      <w:pPr>
        <w:pStyle w:val="List Paragraph"/>
        <w:numPr>
          <w:ilvl w:val="0"/>
          <w:numId w:val="50"/>
        </w:numPr>
        <w:shd w:val="clear" w:color="auto" w:fill="ffffff"/>
        <w:bidi w:val="0"/>
        <w:spacing w:after="0" w:line="360" w:lineRule="auto"/>
        <w:ind w:right="0"/>
        <w:jc w:val="both"/>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Unsupervised Learning: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Unsupervised learning identifies patterns or groups in data without predetermined labels. In healthcare, this may help identify groups of patients with similar characteristics or previously unrecognized disease patterns.</w:t>
      </w:r>
    </w:p>
    <w:p>
      <w:pPr>
        <w:pStyle w:val="List Paragraph"/>
        <w:numPr>
          <w:ilvl w:val="0"/>
          <w:numId w:val="50"/>
        </w:numPr>
        <w:shd w:val="clear" w:color="auto" w:fill="ffffff"/>
        <w:bidi w:val="0"/>
        <w:spacing w:after="0" w:line="360" w:lineRule="auto"/>
        <w:ind w:right="0"/>
        <w:jc w:val="both"/>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Semi-Supervised Learning: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Semi-supervised learning combines labeled and unlabelled data. This can be useful in healthcare because obtaining accurately labeled medical data often requires expert knowledge and significant resources.</w:t>
      </w:r>
    </w:p>
    <w:p>
      <w:pPr>
        <w:pStyle w:val="List Paragraph"/>
        <w:numPr>
          <w:ilvl w:val="0"/>
          <w:numId w:val="50"/>
        </w:numPr>
        <w:shd w:val="clear" w:color="auto" w:fill="ffffff"/>
        <w:bidi w:val="0"/>
        <w:spacing w:after="0" w:line="360" w:lineRule="auto"/>
        <w:ind w:right="0"/>
        <w:jc w:val="both"/>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Reinforcement Learning: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Reinforcement learning involves learning through repeated interactions and feedback. A computational system receives rewards or penalties according to its performance.</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3.</w:t>
        <w:tab/>
        <w:t>ARTIFICIAL INTELLIGENCE IN MEDICAL DIAGNOSIS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Disease diagnosis is one of the most important applications of AI in modern healthcare. Diagnosis often requires the integration of multiple types of information, including:</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Clinical symptoms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Physical examination findings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Medical history</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Laboratory investigations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Imaging results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Genetic information</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systems can analyze these data and identify statistical or computational patterns associated with disease. AI-assisted diagnosis has several potential benefits. First, AI can process large amounts of information rapidly. Second, it may detect subtle patterns that are difficult to recognize consistently. Third, AI can support healthcare professionals in areas where specialist expertise is limited. However, AI-based diagnosis should generally be understood as clinical decision support rather than autonomous medical decision-making. A patient's health condition cannot always be fully represented by digital data. Clinical context, communication, social circumstances and professional judgment remain important.</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4.</w:t>
        <w:tab/>
        <w:t>AI IN MEDICAL IMAGING</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Medical imaging represents one of the most developed areas of AI application in healthcare. Radiological technologies such as: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X-ray imaging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Computed tomography</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Magnetic resonance imaging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Ultrasound</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Nuclear imaging</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The interpretation of medical images requires specialized training and can involve the examination of large numbers of images. AI algorithms can assist by identifying features associated with abnormalities. Potential applications include: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Detection of fractures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Identification of tumours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Recognition of lung abnormalities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Detection of internal bleeding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Analysis of brain lesions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Identification of cardiovascular abnormalities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may also help prioritize urgent cases. For example, a computational system could flag images showing possible signs of a serious condition for rapid review. Such systems may improve workflow efficiency, particularly in healthcare settings with high patient volumes. Nevertheless, AI image analysis has limitations. Image quality, equipment differences, patient characteristics and variations in disease presentation can affect algorithm performance. Therefore, clinical validation across diverse populations is essential.</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5.</w:t>
        <w:tab/>
        <w:t>ARTIFICIAL INTELLIGENCE IN ONCOLOGY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Cancer is a complex group of diseases characterized by abnormal cellular growth. Early detection and appropriate treatment are essential for improving patient survival and quality of life. AI has multiple applications in oncology.</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5.1</w:t>
        <w:tab/>
        <w:t>Cancer Screening</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can assist in analysing screening images and identifying patterns associated with possible malignancy. AI may help identify suspicious findings requiring expert evaluation. Potential applications include analysis: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Mammographic images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Lung imaging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Histopathological samples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Skin lesion photographs</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5.2</w:t>
        <w:tab/>
        <w:t>Cancer Pathology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Digital pathology involves the analysis of high-resolution images of tissue samples. The pathologist remains responsible for interpreting results within the clinical context. AI can assist pathologists by identifying: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Abnormal cellular regions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Patterns of tissue organization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Features associated with tumor characteristics</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5.3</w:t>
        <w:tab/>
        <w:t>Precision Oncology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Cancer cells may contain genetic and molecular alterations that influence treatment response. This may support the development of individualized treatment strategies. AI can assist in integrating: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Genomic data</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Molecular profiles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Clinical characteristics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Treatment histories</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5.4</w:t>
        <w:tab/>
        <w:t>Prediction of Treatment Outcomes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Machine learning models can analyse clinical data to estimate the probability of treatment response or disease progression. Such predictions may eventually support more informed clinical decision-making.</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6.</w:t>
        <w:tab/>
        <w:t>AI IN CARDIOVASCULAR HEALTH</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Cardiovascular diseases are among the major causes of morbidity and mortality worldwide. AI technologies are increasingly being used to analyze cardiovascular data. Important sources of information include: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Electrocardiograms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Echocardiographic images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Blood pressure records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Heart rate data</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Laboratory investigations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Patient history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Machine learning algorithms may identify patterns associated with cardiac rhythm abnormalities or increased cardiovascular risk. Wearable technologies have also increased opportunities for continuous monitoring. Smart devices may collect information about heart rate, physical activity, sleep and exercise patterns. AI can analyse these continuous datasets and identify changes requiring further evaluation. However, consumer-generated health data should not automatically be considered equivalent to a clinical diagnosis. Abnormal findings should be evaluated by qualified healthcare professionals.</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7.</w:t>
        <w:tab/>
        <w:t>ARTIFICIAL INTELLIGENCE IN NEUROLOGY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Neurological disorders can be difficult to diagnose because they may involve complex changes in brain structure, function, behavior and cognition. Potential applications include research and clinical support for neurological conditions involving changes in movement, cognition or brain structure. AI may also contribute to rehabilitation by monitoring patient movement and adapting therapeutic exercises. The application of AI in neurology is expected to expand as wearable sensors, brain imaging and digital biomarkers become more widely available. AI may assist in analyzing: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Brain imaging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Electroencephalographic signals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Cognitive testing data</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Speech patterns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Movement patterns</w:t>
      </w:r>
    </w:p>
    <w:p>
      <w:pPr>
        <w:pStyle w:val="Normal.0"/>
        <w:shd w:val="clear" w:color="auto" w:fill="ffffff"/>
        <w:spacing w:after="0" w:line="360" w:lineRule="auto"/>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8.</w:t>
        <w:tab/>
        <w:t>AI IN OPHTHALMOLOGY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Ophthalmology is particularly suitable for AI applications because retinal images contain highly structured visual information. AI algorithms can analyze retinal photographs and identify patterns associated with several eye conditions. AI-based retinal screening may be particularly valuable for patients who require regular monitoring. However, image quality and clinical context remain important. AI-generated results should be integrated with professional evaluation. Potential benefits include: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Early detection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Increased screening capacity</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Improved access in underserved regions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Support for ophthalmologists</w:t>
      </w:r>
    </w:p>
    <w:p>
      <w:pPr>
        <w:pStyle w:val="Normal.0"/>
        <w:shd w:val="clear" w:color="auto" w:fill="ffffff"/>
        <w:spacing w:after="0" w:line="360" w:lineRule="auto"/>
        <w:jc w:val="both"/>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9.</w:t>
        <w:tab/>
        <w:t>AI IN DERMATOLOGY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Dermatological conditions often involve visual examination of skin lesions and changes. AI systems can analyze digital images and identify patterns related to lesion characteristics. AI should not replace physical examination because skin conditions may involve characteristics that cannot be fully captured through photographs. Differences in lighting, image quality and skin appearance can also influence computational analysis.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Potential applications include: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Screening of suspicious skin lesions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Monitoring changes over time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Supporting clinical documentation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Assisting healthcare professionals in identifying cases requiring specialist referral</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10.</w:t>
        <w:tab/>
        <w:t>ARTIFICIAL INTELLIGENCE AND GENOMIC MEDICINE</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Advances in genomic technologies have produced enormous volumes of biological data. A single genomic analysis can generate information about millions of genetic variations. AI can assist researchers and clinicians in analyzing genomic datasets. AI can also help integrate genomic information with clinical and environmental data. The combination of AI and genomics is expected to play an important role in the future of precision medicine. Potential applications include: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Identification of disease-associated genetic variations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Prediction of genetic disease risk</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Cancer genomics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Drug response prediction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Identification of biological pathways</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11.</w:t>
        <w:tab/>
        <w:t>AI AND PHARMACOGENOMICS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Different individuals may respond differently to the same medication. One person may experience significant therapeutic benefit, while another may experience limited benefit or adverse effects. Pharmacogenomics examines the relationship between genetic variation and drug response. AI can assist in identifying complex relationships between: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Genetic factors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Drug metabolism</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Treatment response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Adverse drug reactions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The long-term objective is to improve the safety and effectiveness of treatment by selecting therapies that are more appropriate for individual patients.</w:t>
      </w:r>
    </w:p>
    <w:p>
      <w:pPr>
        <w:pStyle w:val="Normal.0"/>
        <w:shd w:val="clear" w:color="auto" w:fill="ffffff"/>
        <w:spacing w:after="0" w:line="360" w:lineRule="auto"/>
        <w:ind w:left="720" w:hanging="720"/>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12.</w:t>
        <w:tab/>
        <w:t>ARTIFICIAL INTELLIGENCE IN DRUG DISCOVERY AND DEVELOPMENT</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The discovery and development of new medicines is a long and expensive process. Traditional drug development may involve:</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12.1</w:t>
        <w:tab/>
        <w:t>Drug Target Identification</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can analyze molecular and biological datasets to identify genes, proteins, or pathways associated with disease.</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12.2</w:t>
        <w:tab/>
        <w:t>Identification of Candidate Molecules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Computational systems can analyze the properties of large numbers of chemical compounds. This may help researchers identify molecules with potentially useful biological activity.</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12.3</w:t>
        <w:tab/>
        <w:t>Drug Repurposing</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can analyze relationships between drugs and diseases to identify possible new uses for existing medicines. Drug repurposing may reduce development time because existing drugs may already have substantial scientific and safety information.</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12.4</w:t>
        <w:tab/>
        <w:t>Clinical Trial Optimization</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w:t>
        <w:tab/>
        <w:t>AI can assist with:</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Analysis of clinical trial data.</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Identification of suitable participants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Monitoring of outcomes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Detection of important patterns</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13.</w:t>
        <w:tab/>
        <w:t>ARTIFICIAL INTELLIGENCE IN SURGERY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Surgical practice requires exceptional precision, knowledge and clinical experience. Robotic systems may provide improved instrument control during selected procedures. AI can also support preoperative planning by analyzing medical images and assisting in the visualization of anatomical structures. Despite technological progress, the surgeon remains responsible for clinical decision-making and patient safety. Robotic technologies should therefore be viewed as tools that extend human capability.AI and robotics can support surgeons in several ways. Applications include: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Surgical planning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Image-guided procedures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Robotic-assisted surgery</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Simulation-based training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Analysis of surgical performance</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14.</w:t>
        <w:tab/>
        <w:t>AI IN MENTAL HEALTH</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Mental health is an important component of overall human well-being. Access to qualified mental healthcare professionals remains limited in many regions. AI-based technologies may provide supplementary support through:</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Digital monitoring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Conversational systems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Behavioral pattern analysis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Mental health applications</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Natural language processing may analyse written or spoken communication and identify patterns that could indicate emotional distress. However, mental health conditions are complex and cannot be understood solely through computational data. Human empathy, professional expertise, therapeutic relationships and cultural understanding remain essential. AI systems should therefore function as supplementary tools rather than replacements for mental health professionals.</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15.</w:t>
        <w:tab/>
        <w:t>AI for Infectious Disease Detection</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          AI has helped diagnose infectious disorders like COVID-19, tuberculosis, and sepsis. AI algorithms evaluate chest X-rays, blood testing, and patient symptoms to accurately identify illnesses. In the case of COVID-19, AI-assisted CT scan analysis has helped uncover virus-associated pneumonia patterns, allowing for speedier triage and treatment.</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16.</w:t>
        <w:tab/>
        <w:t>AI for Treatment Planning and Personalized Medicine</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          AI allows personalised treatment techniques based on patient-specific data, allowing healthcare professionals to customize therapy to particular need. By evaluating genetic information, medical history, imaging data, and real-time patient monitoring, AI improves decision-making, drug selection and treatment outcomes.</w:t>
      </w:r>
    </w:p>
    <w:p>
      <w:pPr>
        <w:pStyle w:val="Normal.0"/>
        <w:spacing w:after="0" w:line="360" w:lineRule="auto"/>
        <w:jc w:val="both"/>
        <w:rPr>
          <w:rStyle w:val="None"/>
          <w:rFonts w:ascii="Times New Roman" w:cs="Times New Roman" w:hAnsi="Times New Roman" w:eastAsia="Times New Roman"/>
          <w:sz w:val="24"/>
          <w:szCs w:val="24"/>
        </w:rPr>
      </w:pPr>
    </w:p>
    <w:p>
      <w:pPr>
        <w:pStyle w:val="Normal.0"/>
        <w:spacing w:after="0" w:line="360" w:lineRule="auto"/>
        <w:jc w:val="both"/>
        <w:rPr>
          <w:rStyle w:val="None"/>
          <w:rFonts w:ascii="Times New Roman" w:cs="Times New Roman" w:hAnsi="Times New Roman" w:eastAsia="Times New Roman"/>
          <w:sz w:val="24"/>
          <w:szCs w:val="24"/>
        </w:rPr>
      </w:pP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17.</w:t>
        <w:tab/>
        <w:t>Artificial Intelligence in Electronic Health Records (EHR) Management</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             Managing electronic health records is a time-consuming task that frequently stresses healthcare providers. AI-powered systems use natural language processing (NLP) and machine learning techniques to automate data entry, access patient information and summarize medical notes. AI can extract crucial insights from unstructured clinical data, resulting in better decision-making and fewer documentation errors. Furthermore, predictive analytics in EHRs aids in the identification of high-risk patients, allowing for early intervention to avoid consequences.</w:t>
      </w:r>
      <w:r>
        <w:rPr>
          <w:rStyle w:val="None"/>
          <w:rFonts w:ascii="Times New Roman" w:hAnsi="Times New Roman" w:hint="default"/>
          <w:sz w:val="24"/>
          <w:szCs w:val="24"/>
          <w:rtl w:val="0"/>
          <w:lang w:val="en-US"/>
        </w:rPr>
        <w:t> </w:t>
      </w:r>
    </w:p>
    <w:p>
      <w:pPr>
        <w:pStyle w:val="Normal.0"/>
        <w:shd w:val="clear" w:color="auto" w:fill="ffffff"/>
        <w:spacing w:after="0" w:line="360" w:lineRule="auto"/>
        <w:ind w:left="720" w:hanging="720"/>
        <w:jc w:val="both"/>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18.</w:t>
        <w:tab/>
        <w:t>ADVANTAGES OF ARTIFICIAL INTELLIGENCE IN MODERN HUMAN HEALTH</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The application of AI in healthcare offers several important advantages.</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Improved Data Analysis: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AI can analyse large datasets more rapidly than conventional manual methods.</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Early Detection:</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 xml:space="preserve"> AI systems may identify subtle patterns associated with disease before severe symptoms develop.</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Personalized Healthcare: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AI can integrate individual biological and clinical information to support personalized treatment.</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Improved Accessibility: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Digital health systems may extend healthcare services to remote and underserved communities.</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Reduced Workload: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Automation can reduce repetitive administrative and analytical tasks.</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Continuous Monitoring: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Wearable technologies and remote monitoring systems can provide long-term information about patient health.</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Accelerated Research:</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 xml:space="preserve"> AI can support biomedical research by analysing large scientific and biological datasets.</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19.</w:t>
        <w:tab/>
        <w:t>CHALLENGES AND LIMITATIONS OF AI IN HEALTHCARE</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Despite its advantages, AI also presents important limitations.</w:t>
      </w:r>
    </w:p>
    <w:p>
      <w:pPr>
        <w:pStyle w:val="List Paragraph"/>
        <w:numPr>
          <w:ilvl w:val="0"/>
          <w:numId w:val="54"/>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Data Quality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performance depends heavily on training data. Incomplete, inaccurate, or biased data can produce unreliable results. Healthcare institutions must therefore ensure: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Accurate data collection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Appropriate data management</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Regular validation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Data diversity</w:t>
      </w:r>
    </w:p>
    <w:p>
      <w:pPr>
        <w:pStyle w:val="List Paragraph"/>
        <w:numPr>
          <w:ilvl w:val="0"/>
          <w:numId w:val="55"/>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Algorithmic Bias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systems trained using non-representative datasets may perform differently across populations. Bias can contribute to unequal healthcare outcomes. Therefore, AI systems should be tested across diverse groups.</w:t>
      </w:r>
    </w:p>
    <w:p>
      <w:pPr>
        <w:pStyle w:val="List Paragraph"/>
        <w:numPr>
          <w:ilvl w:val="0"/>
          <w:numId w:val="54"/>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Lack of Transparency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Complex AI models may produce predictions that are difficult for humans to interpret. Explainable AI aims to improve understanding of algorithmic decisions. Transparency is particularly important in healthcare because professionals must understand when and why AI recommendations should be trusted.</w:t>
      </w:r>
    </w:p>
    <w:p>
      <w:pPr>
        <w:pStyle w:val="List Paragraph"/>
        <w:numPr>
          <w:ilvl w:val="0"/>
          <w:numId w:val="54"/>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Privacy and Confidentiality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Health information is highly sensitive. AI systems may require access to large volumes of patient data. Strong protections are necessary to prevent:</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Unauthorized access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Data misuse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Privacy violations</w:t>
      </w:r>
    </w:p>
    <w:p>
      <w:pPr>
        <w:pStyle w:val="List Paragraph"/>
        <w:numPr>
          <w:ilvl w:val="0"/>
          <w:numId w:val="56"/>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 Cybersecurity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Digital healthcare systems may become targets for cyber attacks. Protection of healthcare infrastructure is essential because system failures or data breaches may directly affect patient safety.</w:t>
      </w:r>
    </w:p>
    <w:p>
      <w:pPr>
        <w:pStyle w:val="List Paragraph"/>
        <w:numPr>
          <w:ilvl w:val="0"/>
          <w:numId w:val="54"/>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Overdependence on Technology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Healthcare professionals should not blindly rely on AI. Algorithms can make errors, particularly when confronted with situations that differ from their training data. Human oversight remains essential.</w:t>
      </w:r>
    </w:p>
    <w:p>
      <w:pPr>
        <w:pStyle w:val="List Paragraph"/>
        <w:numPr>
          <w:ilvl w:val="0"/>
          <w:numId w:val="54"/>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Infrastructure Inequality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Advanced AI technologies may be more accessible to wealthy healthcare institutions. Unequal access could increase existing differences between healthcare systems. Efforts should therefore be made to promote equitable technological development.</w:t>
      </w:r>
    </w:p>
    <w:p>
      <w:pPr>
        <w:pStyle w:val="Normal.0"/>
        <w:shd w:val="clear" w:color="auto" w:fill="ffffff"/>
        <w:spacing w:after="0" w:line="360" w:lineRule="auto"/>
        <w:ind w:left="720" w:hanging="720"/>
        <w:jc w:val="both"/>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20.</w:t>
        <w:tab/>
        <w:t>ETHICAL ISSUES IN ARTIFICIAL INTELLIGENCE AND HUMAN HEALTH</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Ethics plays a central role in healthcare AI.</w:t>
      </w:r>
    </w:p>
    <w:p>
      <w:pPr>
        <w:pStyle w:val="List Paragraph"/>
        <w:numPr>
          <w:ilvl w:val="0"/>
          <w:numId w:val="58"/>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Patient Autonomy: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Patients should have appropriate control over decisions involving their health information.</w:t>
      </w:r>
    </w:p>
    <w:p>
      <w:pPr>
        <w:pStyle w:val="List Paragraph"/>
        <w:numPr>
          <w:ilvl w:val="0"/>
          <w:numId w:val="58"/>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Informed Consent:</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 xml:space="preserve"> Individuals should understand how their health data are collected and used when consent is required.</w:t>
      </w:r>
    </w:p>
    <w:p>
      <w:pPr>
        <w:pStyle w:val="List Paragraph"/>
        <w:numPr>
          <w:ilvl w:val="0"/>
          <w:numId w:val="58"/>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Accountability: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Clear responsibility must be established for AI-supported decisions. AI developers, healthcare institutions and healthcare professionals all have responsibilities.</w:t>
      </w:r>
    </w:p>
    <w:p>
      <w:pPr>
        <w:pStyle w:val="List Paragraph"/>
        <w:numPr>
          <w:ilvl w:val="0"/>
          <w:numId w:val="58"/>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 Fairness: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AI should not increase discrimination or inequality. Healthcare systems should ensure equitable performance across diverse populations.</w:t>
      </w:r>
    </w:p>
    <w:p>
      <w:pPr>
        <w:pStyle w:val="List Paragraph"/>
        <w:numPr>
          <w:ilvl w:val="0"/>
          <w:numId w:val="58"/>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Human Oversight:</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 xml:space="preserve"> Important clinical decisions should involve qualified human professionals.</w:t>
      </w:r>
    </w:p>
    <w:p>
      <w:pPr>
        <w:pStyle w:val="List Paragraph"/>
        <w:numPr>
          <w:ilvl w:val="0"/>
          <w:numId w:val="58"/>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Transparency: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Healthcare professionals and patients should have appropriate information about the role of AI in decision-making.</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21.</w:t>
        <w:tab/>
        <w:t>FUTURE PERSPECTIVES</w:t>
      </w:r>
    </w:p>
    <w:p>
      <w:pPr>
        <w:pStyle w:val="Normal (Web)"/>
        <w:shd w:val="clear" w:color="auto" w:fill="ffffff"/>
        <w:spacing w:after="0" w:line="360" w:lineRule="auto"/>
        <w:jc w:val="both"/>
        <w:rPr>
          <w:rStyle w:val="None"/>
          <w:outline w:val="0"/>
          <w:color w:val="252729"/>
          <w:spacing w:val="0"/>
          <w:u w:color="252729"/>
          <w14:textFill>
            <w14:solidFill>
              <w14:srgbClr w14:val="252729"/>
            </w14:solidFill>
          </w14:textFill>
        </w:rPr>
      </w:pPr>
      <w:r>
        <w:rPr>
          <w:rStyle w:val="None"/>
          <w:outline w:val="0"/>
          <w:color w:val="222222"/>
          <w:u w:color="222222"/>
          <w:rtl w:val="0"/>
          <w:lang w:val="en-US"/>
          <w14:textFill>
            <w14:solidFill>
              <w14:srgbClr w14:val="222222"/>
            </w14:solidFill>
          </w14:textFill>
        </w:rPr>
        <w:t xml:space="preserve">                   </w:t>
      </w:r>
      <w:r>
        <w:rPr>
          <w:rStyle w:val="None"/>
          <w:outline w:val="0"/>
          <w:color w:val="252729"/>
          <w:spacing w:val="0"/>
          <w:u w:color="252729"/>
          <w:rtl w:val="0"/>
          <w:lang w:val="en-US"/>
          <w14:textFill>
            <w14:solidFill>
              <w14:srgbClr w14:val="252729"/>
            </w14:solidFill>
          </w14:textFill>
        </w:rPr>
        <w:t>AI is already playing a huge role within healthcare, affecting certain areas such as diagnosis, treatment and research for the better, helping provide more efficient services. The issue therefore going forward is not within its utility but how it will be adopted in daily practice, given the challenges mentioned and how these issues will be addressed.</w:t>
      </w:r>
      <w:r>
        <w:rPr>
          <w:rStyle w:val="None"/>
          <w:outline w:val="0"/>
          <w:color w:val="252729"/>
          <w:spacing w:val="0"/>
          <w:u w:color="252729"/>
          <w:rtl w:val="0"/>
          <w:lang w:val="en-US"/>
          <w14:textFill>
            <w14:solidFill>
              <w14:srgbClr w14:val="252729"/>
            </w14:solidFill>
          </w14:textFill>
        </w:rPr>
        <w:t> </w:t>
      </w:r>
      <w:r>
        <w:rPr>
          <w:rStyle w:val="None"/>
          <w:outline w:val="0"/>
          <w:color w:val="252729"/>
          <w:spacing w:val="0"/>
          <w:u w:color="252729"/>
          <w:rtl w:val="0"/>
          <w:lang w:val="en-US"/>
          <w14:textFill>
            <w14:solidFill>
              <w14:srgbClr w14:val="252729"/>
            </w14:solidFill>
          </w14:textFill>
        </w:rPr>
        <w:t>With regards to data privacy and security, setting up risk controls, governance frameworks and in investment in compliance and training could all lead to an increase in protection and to help maintain confidentially; minimizing the threats of personal data violations and cyberattacks. In terms of implication on the workforce, companies could turn to modifying their long-term workforce plans, skills matrixes and job role designs to allow individuals to adapt effectively and increase their competencies when dealing with new AI technology. Transparency and accountability may be more difficult to address, however a person-centred approach, where individuals are at the forefront of decision making may be a possible option to reduce such issues occurring.</w:t>
      </w:r>
      <w:r>
        <w:rPr>
          <w:rStyle w:val="None"/>
          <w:outline w:val="0"/>
          <w:color w:val="252729"/>
          <w:spacing w:val="0"/>
          <w:u w:color="252729"/>
          <w:rtl w:val="0"/>
          <w:lang w:val="en-US"/>
          <w14:textFill>
            <w14:solidFill>
              <w14:srgbClr w14:val="252729"/>
            </w14:solidFill>
          </w14:textFill>
        </w:rPr>
        <w:t>  </w:t>
      </w:r>
    </w:p>
    <w:p>
      <w:pPr>
        <w:pStyle w:val="Normal (Web)"/>
        <w:shd w:val="clear" w:color="auto" w:fill="ffffff"/>
        <w:spacing w:after="0" w:line="360" w:lineRule="auto"/>
        <w:jc w:val="both"/>
        <w:rPr>
          <w:rStyle w:val="None"/>
          <w:outline w:val="0"/>
          <w:color w:val="252729"/>
          <w:spacing w:val="0"/>
          <w:u w:color="252729"/>
          <w14:textFill>
            <w14:solidFill>
              <w14:srgbClr w14:val="252729"/>
            </w14:solidFill>
          </w14:textFill>
        </w:rPr>
      </w:pPr>
      <w:r>
        <w:rPr>
          <w:rStyle w:val="None"/>
          <w:outline w:val="0"/>
          <w:color w:val="252729"/>
          <w:spacing w:val="0"/>
          <w:u w:color="252729"/>
          <w:rtl w:val="0"/>
          <w:lang w:val="en-US"/>
          <w14:textFill>
            <w14:solidFill>
              <w14:srgbClr w14:val="252729"/>
            </w14:solidFill>
          </w14:textFill>
        </w:rPr>
        <w:t xml:space="preserve">           The rate at which these challenges are addressed by the solutions highlighted may limit the speed at which AI is implemented, as opposed to the time it takes for the technologies to mature. However, once these challenges are overcome, AI use could be extensive within healthcare, working alongside healthcare professionals in their efforts to increase patient care.</w:t>
      </w:r>
      <w:r>
        <w:rPr>
          <w:rStyle w:val="None"/>
          <w:outline w:val="0"/>
          <w:color w:val="252729"/>
          <w:spacing w:val="0"/>
          <w:u w:color="252729"/>
          <w:rtl w:val="0"/>
          <w:lang w:val="en-US"/>
          <w14:textFill>
            <w14:solidFill>
              <w14:srgbClr w14:val="252729"/>
            </w14:solidFill>
          </w14:textFill>
        </w:rPr>
        <w:t>  </w:t>
      </w:r>
      <w:r>
        <w:rPr>
          <w:rStyle w:val="None"/>
          <w:outline w:val="0"/>
          <w:color w:val="222222"/>
          <w:u w:color="222222"/>
          <w:rtl w:val="0"/>
          <w:lang w:val="en-US"/>
          <w14:textFill>
            <w14:solidFill>
              <w14:srgbClr w14:val="222222"/>
            </w14:solidFill>
          </w14:textFill>
        </w:rPr>
        <w:t>The future of AI in human health is likely to involve increasingly sophisticated and integrated systems.</w:t>
      </w:r>
    </w:p>
    <w:p>
      <w:pPr>
        <w:pStyle w:val="List Paragraph"/>
        <w:numPr>
          <w:ilvl w:val="0"/>
          <w:numId w:val="60"/>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Integrated Health Data Systems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Future systems may combine: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Clinical records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Imaging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Laboratory results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Genomic information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Wearable data</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ii) Predictive and Preventive Medicine</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may help identify health risks before disease becomes severe. Healthcare may therefore increasingly emphasize prevention.</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iii) </w:t>
      </w:r>
      <w:r>
        <w:rPr>
          <w:rStyle w:val="None"/>
          <w:rFonts w:ascii="Times New Roman" w:hAnsi="Times New Roman"/>
          <w:b w:val="1"/>
          <w:bCs w:val="1"/>
          <w:outline w:val="0"/>
          <w:color w:val="222222"/>
          <w:sz w:val="24"/>
          <w:szCs w:val="24"/>
          <w:u w:color="222222"/>
          <w:rtl w:val="0"/>
          <w:lang w:val="en-US"/>
          <w14:textFill>
            <w14:solidFill>
              <w14:srgbClr w14:val="222222"/>
            </w14:solidFill>
          </w14:textFill>
        </w:rPr>
        <w:t>Digital Twins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Digital twins are computational representations of physical or biological systems. Future AI-based models may simulate aspects of individual physiology. These systems could potentially support research and treatment planning.</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iv) Intelligent Assistive Technologies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may improve assistive devices used by individuals with physical disabilities or chronic health conditions.</w:t>
      </w:r>
    </w:p>
    <w:p>
      <w:pPr>
        <w:pStyle w:val="List Paragraph"/>
        <w:numPr>
          <w:ilvl w:val="0"/>
          <w:numId w:val="6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 AI and Biomedical Research</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The ability to analyze complex biological systems may accelerate scientific discovery. AI will likely become increasingly integrated with:</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Genomics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Proteomics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Bioinformatics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Biotechnology</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Molecular medicine</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CONCLUSION</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w:t>
      </w:r>
      <w:r>
        <w:rPr>
          <w:rStyle w:val="None"/>
          <w:rFonts w:ascii="Times New Roman" w:hAnsi="Times New Roman"/>
          <w:sz w:val="24"/>
          <w:szCs w:val="24"/>
          <w:rtl w:val="0"/>
          <w:lang w:val="en-US"/>
        </w:rPr>
        <w:t>Artificial intelligence is transforming medicine by improving diagnosis accuracy, treatment planning, and healthcare operations. AI-powered advances in radiology and pathology, as well as personalized medicine and robotic surgery, improve patient outcomes, eliminate human errors, and optimize clinical workflows. Furthermore, AI-powered chatbots, virtual assistants, and predictive analytics improve patient management and early disease identification. Despite its enormous promise, AI in healthcare confronts obstacles such as data protection, algorithmic bias, transparency, and system integration. Ensuring conformity with ethical principles and regulatory standards is critical to its appropriate execution. To overcome these challenges, AI researchers, healthcare practitioners, and legislators must work together to develop fair, transparent and secure AI models. Precision medicine, robotic-assisted treatment, wearable health monitoring and global healthcare accessibility will all benefit from AI in the future. With continued improvements and ethical considerations, AI is poised to reshape current medicine, making it more efficient, personalized, and accessible globally</w:t>
      </w:r>
      <w:r>
        <w:rPr>
          <w:rStyle w:val="None"/>
          <w:rFonts w:ascii="Times New Roman" w:hAnsi="Times New Roman"/>
          <w:outline w:val="0"/>
          <w:color w:val="222222"/>
          <w:sz w:val="24"/>
          <w:szCs w:val="24"/>
          <w:u w:color="222222"/>
          <w:rtl w:val="0"/>
          <w:lang w:val="en-US"/>
          <w14:textFill>
            <w14:solidFill>
              <w14:srgbClr w14:val="222222"/>
            </w14:solidFill>
          </w14:textFill>
        </w:rPr>
        <w:t>. AI has particularly strong potential in medical imaging, cancer research, cardiovascular monitoring, genomic medicine, drug discovery, rehabilitation and remote healthcare. However, AI is not without limitations. Poor-quality data, algorithmic bias, lack of transparency, privacy concerns, cyber security threats and unequal access can limit the benefits of AI and potentially create new risks. Ethical principles and strong regulatory systems are therefore essential. The future of healthcare should not be described as a replacement of healthcare professionals by machines. Instead, it should involve a productive partnership between human intelligence and artificial intelligence. Artificial intelligence has the potential to transform the future of medicine, but its greatest contribution will be achieved when innovation is guided by human values.</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REFERENCES</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Ali MT, Ali U, Ali S, Tanveer H. Transforming cardiac care: AI and machine learning innovations. International Journal of Multidisciplinary Research and Growth Evaluation. 2024 Jul.</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Alowais SA, Alghamdi SS, Alsuhebany N, Alqahtani T, Alshaya AI, Almohareb SN, Aldairem A, Alrashed M, Bin Saleh K, Badreldin HA, Al Yami MS. Revolutionizing healthcare: the role of artificial intelligence in clinical practice. BMC medical education. 2023 Sep 22;23(1):689.</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F</w:t>
      </w:r>
      <w:r>
        <w:rPr>
          <w:rStyle w:val="None"/>
          <w:rFonts w:ascii="Times New Roman" w:hAnsi="Times New Roman" w:hint="default"/>
          <w:sz w:val="24"/>
          <w:szCs w:val="24"/>
          <w:rtl w:val="0"/>
          <w:lang w:val="en-US"/>
        </w:rPr>
        <w:t>ö</w:t>
      </w:r>
      <w:r>
        <w:rPr>
          <w:rStyle w:val="None"/>
          <w:rFonts w:ascii="Times New Roman" w:hAnsi="Times New Roman"/>
          <w:sz w:val="24"/>
          <w:szCs w:val="24"/>
          <w:rtl w:val="0"/>
          <w:lang w:val="en-US"/>
        </w:rPr>
        <w:t xml:space="preserve">rsch S, Klauschen F, Hufnagl P, Roth W. Artificial intelligence in pathology. Deutsches </w:t>
      </w:r>
      <w:r>
        <w:rPr>
          <w:rStyle w:val="None"/>
          <w:rFonts w:ascii="Times New Roman" w:hAnsi="Times New Roman" w:hint="default"/>
          <w:sz w:val="24"/>
          <w:szCs w:val="24"/>
          <w:rtl w:val="0"/>
          <w:lang w:val="en-US"/>
        </w:rPr>
        <w:t>Ä</w:t>
      </w:r>
      <w:r>
        <w:rPr>
          <w:rStyle w:val="None"/>
          <w:rFonts w:ascii="Times New Roman" w:hAnsi="Times New Roman"/>
          <w:sz w:val="24"/>
          <w:szCs w:val="24"/>
          <w:rtl w:val="0"/>
          <w:lang w:val="en-US"/>
        </w:rPr>
        <w:t>rzteblatt International. 2021 Mar 26;118(12):199.</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Hossain S, Ahmed A, Khadka U, Sarkar S, Khan N. AI-driven Predictive Analytics, Healthcare Outcomes, Cost Reduction, Machine Learning, Patient Monitoring. AIJMR-Advanced International Journal of Multidisciplinary Research. 2024 Oct 22;2(5).</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Khalifa M, Albadawy M. AI in diagnostic imaging: Revolutionising accuracy and efficiency. Computer Methods and Programs in Biomedicine Update. 2024 Mar 5:100146.</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Rasool S, Ali M, Shahroz HM, Hussain HK, Gill AY. Innovations in AI-powered healthcare: Transforming cancer treatment with innovative methods. BULLET: Jurnal Multidisiplin Ilmu. 2024;3(1):118-28.</w:t>
      </w:r>
    </w:p>
    <w:p>
      <w:pPr>
        <w:pStyle w:val="Normal.0"/>
        <w:shd w:val="clear" w:color="auto" w:fill="ffffff"/>
        <w:spacing w:after="0" w:line="360" w:lineRule="auto"/>
        <w:ind w:left="720" w:hanging="720"/>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Russell, S. and Norvig, P.</w:t>
      </w:r>
      <w:r>
        <w:rPr>
          <w:rStyle w:val="None"/>
          <w:rFonts w:ascii="Times New Roman" w:hAnsi="Times New Roman" w:hint="default"/>
          <w:outline w:val="0"/>
          <w:color w:val="222222"/>
          <w:sz w:val="24"/>
          <w:szCs w:val="24"/>
          <w:u w:color="222222"/>
          <w:rtl w:val="0"/>
          <w:lang w:val="en-US"/>
          <w14:textFill>
            <w14:solidFill>
              <w14:srgbClr w14:val="222222"/>
            </w14:solidFill>
          </w14:textFill>
        </w:rPr>
        <w:t> </w:t>
      </w:r>
      <w:r>
        <w:rPr>
          <w:rStyle w:val="None"/>
          <w:rFonts w:ascii="Times New Roman" w:hAnsi="Times New Roman"/>
          <w:i w:val="1"/>
          <w:iCs w:val="1"/>
          <w:outline w:val="0"/>
          <w:color w:val="222222"/>
          <w:sz w:val="24"/>
          <w:szCs w:val="24"/>
          <w:u w:color="222222"/>
          <w:rtl w:val="0"/>
          <w:lang w:val="en-US"/>
          <w14:textFill>
            <w14:solidFill>
              <w14:srgbClr w14:val="222222"/>
            </w14:solidFill>
          </w14:textFill>
        </w:rPr>
        <w:t>Artificial Intelligence: A Modern Approach</w:t>
      </w:r>
      <w:r>
        <w:rPr>
          <w:rStyle w:val="None"/>
          <w:rFonts w:ascii="Times New Roman" w:hAnsi="Times New Roman"/>
          <w:outline w:val="0"/>
          <w:color w:val="222222"/>
          <w:sz w:val="24"/>
          <w:szCs w:val="24"/>
          <w:u w:color="222222"/>
          <w:rtl w:val="0"/>
          <w:lang w:val="en-US"/>
          <w14:textFill>
            <w14:solidFill>
              <w14:srgbClr w14:val="222222"/>
            </w14:solidFill>
          </w14:textFill>
        </w:rPr>
        <w:t>.</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Sarella PN, Mangam VT. AI-driven natural language processing in healthcare: transforming patient-provider communication. Indian Journal of Pharmacy Practice. 2024;17(1).</w:t>
      </w:r>
    </w:p>
    <w:p>
      <w:pPr>
        <w:pStyle w:val="Normal.0"/>
        <w:shd w:val="clear" w:color="auto" w:fill="ffffff"/>
        <w:spacing w:after="0" w:line="360" w:lineRule="auto"/>
        <w:ind w:left="720" w:hanging="720"/>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Topol, E.</w:t>
      </w:r>
      <w:r>
        <w:rPr>
          <w:rStyle w:val="None"/>
          <w:rFonts w:ascii="Times New Roman" w:hAnsi="Times New Roman" w:hint="default"/>
          <w:outline w:val="0"/>
          <w:color w:val="222222"/>
          <w:sz w:val="24"/>
          <w:szCs w:val="24"/>
          <w:u w:color="222222"/>
          <w:rtl w:val="0"/>
          <w:lang w:val="en-US"/>
          <w14:textFill>
            <w14:solidFill>
              <w14:srgbClr w14:val="222222"/>
            </w14:solidFill>
          </w14:textFill>
        </w:rPr>
        <w:t> </w:t>
      </w:r>
      <w:r>
        <w:rPr>
          <w:rStyle w:val="None"/>
          <w:rFonts w:ascii="Times New Roman" w:hAnsi="Times New Roman"/>
          <w:i w:val="1"/>
          <w:iCs w:val="1"/>
          <w:outline w:val="0"/>
          <w:color w:val="222222"/>
          <w:sz w:val="24"/>
          <w:szCs w:val="24"/>
          <w:u w:color="222222"/>
          <w:rtl w:val="0"/>
          <w:lang w:val="en-US"/>
          <w14:textFill>
            <w14:solidFill>
              <w14:srgbClr w14:val="222222"/>
            </w14:solidFill>
          </w14:textFill>
        </w:rPr>
        <w:t>Deep Medicine: How Artificial Intelligence Can Make Healthcare Human Again</w:t>
      </w:r>
      <w:r>
        <w:rPr>
          <w:rStyle w:val="None"/>
          <w:rFonts w:ascii="Times New Roman" w:hAnsi="Times New Roman"/>
          <w:outline w:val="0"/>
          <w:color w:val="222222"/>
          <w:sz w:val="24"/>
          <w:szCs w:val="24"/>
          <w:u w:color="222222"/>
          <w:rtl w:val="0"/>
          <w:lang w:val="en-US"/>
          <w14:textFill>
            <w14:solidFill>
              <w14:srgbClr w14:val="222222"/>
            </w14:solidFill>
          </w14:textFill>
        </w:rPr>
        <w:t>.</w:t>
      </w:r>
    </w:p>
    <w:p>
      <w:pPr>
        <w:pStyle w:val="Normal.0"/>
        <w:shd w:val="clear" w:color="auto" w:fill="ffffff"/>
        <w:spacing w:after="0" w:line="360" w:lineRule="auto"/>
        <w:ind w:left="720" w:hanging="720"/>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World Health Organization. Publications and guidance on ethics and governance of artificial intelligence for health.</w:t>
      </w:r>
    </w:p>
    <w:p>
      <w:pPr>
        <w:pStyle w:val="Normal.0"/>
        <w:spacing w:after="0" w:line="360" w:lineRule="auto"/>
        <w:ind w:left="720" w:hanging="720"/>
        <w:jc w:val="both"/>
      </w:pPr>
      <w:r>
        <w:rPr>
          <w:rStyle w:val="None"/>
          <w:rFonts w:ascii="Times New Roman" w:hAnsi="Times New Roman"/>
          <w:sz w:val="24"/>
          <w:szCs w:val="24"/>
          <w:rtl w:val="0"/>
          <w:lang w:val="en-US"/>
        </w:rPr>
        <w:t>Van Leeuwen KG, de Rooij M, Schalekamp S, van Ginneken B, Rutten MJ. How does artificial intelligence in radiology improve efficiency and health outcomes?. Pediatric radiology. 2022 Oct 12:1-7.</w:t>
      </w:r>
    </w:p>
    <w:sectPr>
      <w:headerReference w:type="default" r:id="rId69"/>
      <w:footerReference w:type="default" r:id="rId70"/>
      <w:pgSz w:w="11900" w:h="16840" w:orient="portrait"/>
      <w:pgMar w:top="1440" w:right="1440" w:bottom="1440" w:left="1440" w:header="706" w:footer="706"/>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Segoe UI Symbo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360"/>
      </w:tabs>
      <w:jc w:val="center"/>
    </w:pPr>
    <w:r>
      <w:rPr>
        <w:rFonts w:ascii="Times New Roman" w:hAnsi="Times New Roman"/>
        <w:sz w:val="24"/>
        <w:szCs w:val="24"/>
      </w:rPr>
      <w:fldChar w:fldCharType="begin" w:fldLock="0"/>
    </w:r>
    <w:r>
      <w:rPr>
        <w:rFonts w:ascii="Times New Roman" w:hAnsi="Times New Roman"/>
        <w:sz w:val="24"/>
        <w:szCs w:val="24"/>
      </w:rPr>
      <w:instrText xml:space="preserve"> PAGE </w:instrText>
    </w:r>
    <w:r>
      <w:rPr>
        <w:rFonts w:ascii="Times New Roman" w:hAnsi="Times New Roman"/>
        <w:sz w:val="24"/>
        <w:szCs w:val="24"/>
      </w:rPr>
      <w:fldChar w:fldCharType="separate" w:fldLock="0"/>
    </w:r>
    <w:r>
      <w:rPr>
        <w:rFonts w:ascii="Times New Roman" w:hAnsi="Times New Roman"/>
        <w:sz w:val="24"/>
        <w:szCs w:val="24"/>
      </w:rPr>
    </w:r>
    <w:r>
      <w:rPr>
        <w:rFonts w:ascii="Times New Roman" w:hAnsi="Times New Roman"/>
        <w:sz w:val="24"/>
        <w:szCs w:val="24"/>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lowerRoman"/>
      <w:suff w:val="tab"/>
      <w:lvlText w:val="%1."/>
      <w:lvlJc w:val="left"/>
      <w:pPr>
        <w:ind w:left="720" w:hanging="57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5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5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5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5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5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lowerRoman"/>
      <w:suff w:val="tab"/>
      <w:lvlText w:val="%1."/>
      <w:lvlJc w:val="left"/>
      <w:pPr>
        <w:ind w:left="720" w:hanging="57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5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5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5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5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5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decimal"/>
      <w:suff w:val="tab"/>
      <w:lvlText w:val="%1."/>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08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80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52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24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396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68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40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12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decimal"/>
      <w:suff w:val="tab"/>
      <w:lvlText w:val="%1."/>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decimal"/>
      <w:suff w:val="tab"/>
      <w:lvlText w:val="%1."/>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decimal"/>
      <w:suff w:val="tab"/>
      <w:lvlText w:val="%1."/>
      <w:lvlJc w:val="left"/>
      <w:pPr>
        <w:ind w:left="7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bullet"/>
      <w:suff w:val="tab"/>
      <w:lvlText w:val="·"/>
      <w:lvlJc w:val="left"/>
      <w:pPr>
        <w:ind w:left="1080" w:hanging="45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45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45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45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45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45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45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45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45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1"/>
  </w:abstractNum>
  <w:abstractNum w:abstractNumId="41">
    <w:multiLevelType w:val="hybridMultilevel"/>
    <w:styleLink w:val="Imported Style 21"/>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26"/>
  </w:abstractNum>
  <w:abstractNum w:abstractNumId="43">
    <w:multiLevelType w:val="hybridMultilevel"/>
    <w:styleLink w:val="Imported Style 2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27"/>
  </w:abstractNum>
  <w:abstractNum w:abstractNumId="45">
    <w:multiLevelType w:val="hybridMultilevel"/>
    <w:styleLink w:val="Imported Style 27"/>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28"/>
  </w:abstractNum>
  <w:abstractNum w:abstractNumId="47">
    <w:multiLevelType w:val="hybridMultilevel"/>
    <w:styleLink w:val="Imported Style 28"/>
    <w:lvl w:ilvl="0">
      <w:start w:val="1"/>
      <w:numFmt w:val="bullet"/>
      <w:suff w:val="tab"/>
      <w:lvlText w:val="❖"/>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29"/>
  </w:abstractNum>
  <w:abstractNum w:abstractNumId="49">
    <w:multiLevelType w:val="hybridMultilevel"/>
    <w:styleLink w:val="Imported Style 29"/>
    <w:lvl w:ilvl="0">
      <w:start w:val="1"/>
      <w:numFmt w:val="lowerRoman"/>
      <w:suff w:val="nothing"/>
      <w:lvlText w:val="%1."/>
      <w:lvlJc w:val="left"/>
      <w:pPr>
        <w:ind w:left="810" w:hanging="21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530"/>
        </w:tabs>
        <w:ind w:left="1620" w:hanging="81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250"/>
        </w:tabs>
        <w:ind w:left="2340" w:hanging="75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970"/>
        </w:tabs>
        <w:ind w:left="3060" w:hanging="81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690"/>
        </w:tabs>
        <w:ind w:left="3780" w:hanging="81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410"/>
        </w:tabs>
        <w:ind w:left="4500" w:hanging="75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5130"/>
        </w:tabs>
        <w:ind w:left="5220" w:hanging="81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850"/>
        </w:tabs>
        <w:ind w:left="5940" w:hanging="81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570"/>
        </w:tabs>
        <w:ind w:left="6660" w:hanging="75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30"/>
  </w:abstractNum>
  <w:abstractNum w:abstractNumId="51">
    <w:multiLevelType w:val="hybridMultilevel"/>
    <w:styleLink w:val="Imported Style 30"/>
    <w:lvl w:ilvl="0">
      <w:start w:val="1"/>
      <w:numFmt w:val="lowerRoman"/>
      <w:suff w:val="tab"/>
      <w:lvlText w:val="%1)"/>
      <w:lvlJc w:val="left"/>
      <w:pPr>
        <w:tabs>
          <w:tab w:val="num" w:pos="720"/>
        </w:tabs>
        <w:ind w:left="1080" w:hanging="6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20"/>
          <w:tab w:val="num" w:pos="1440"/>
        </w:tabs>
        <w:ind w:left="1800" w:hanging="6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20"/>
          <w:tab w:val="num" w:pos="2160"/>
        </w:tabs>
        <w:ind w:left="2520" w:hanging="57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 w:val="num" w:pos="2880"/>
        </w:tabs>
        <w:ind w:left="3240" w:hanging="6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20"/>
          <w:tab w:val="num" w:pos="3600"/>
        </w:tabs>
        <w:ind w:left="3960" w:hanging="6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20"/>
          <w:tab w:val="num" w:pos="4320"/>
        </w:tabs>
        <w:ind w:left="4680" w:hanging="57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 w:val="num" w:pos="5040"/>
        </w:tabs>
        <w:ind w:left="5400" w:hanging="6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20"/>
          <w:tab w:val="num" w:pos="5760"/>
        </w:tabs>
        <w:ind w:left="6120" w:hanging="6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20"/>
          <w:tab w:val="num" w:pos="6480"/>
        </w:tabs>
        <w:ind w:left="6840" w:hanging="57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ed Style 31"/>
  </w:abstractNum>
  <w:abstractNum w:abstractNumId="53">
    <w:multiLevelType w:val="hybridMultilevel"/>
    <w:styleLink w:val="Imported Style 31"/>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Imported Style 32"/>
  </w:abstractNum>
  <w:abstractNum w:abstractNumId="55">
    <w:multiLevelType w:val="hybridMultilevel"/>
    <w:styleLink w:val="Imported Style 32"/>
    <w:lvl w:ilvl="0">
      <w:start w:val="1"/>
      <w:numFmt w:val="lowerRoman"/>
      <w:suff w:val="tab"/>
      <w:lvlText w:val="%1)"/>
      <w:lvlJc w:val="left"/>
      <w:pPr>
        <w:tabs>
          <w:tab w:val="num" w:pos="1440"/>
        </w:tabs>
        <w:ind w:left="180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440"/>
          <w:tab w:val="num" w:pos="2160"/>
        </w:tabs>
        <w:ind w:left="25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440"/>
          <w:tab w:val="num" w:pos="2880"/>
        </w:tabs>
        <w:ind w:left="324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440"/>
          <w:tab w:val="num" w:pos="3600"/>
        </w:tabs>
        <w:ind w:left="396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440"/>
          <w:tab w:val="num" w:pos="4320"/>
        </w:tabs>
        <w:ind w:left="46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440"/>
          <w:tab w:val="num" w:pos="5040"/>
        </w:tabs>
        <w:ind w:left="540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440"/>
          <w:tab w:val="num" w:pos="5760"/>
        </w:tabs>
        <w:ind w:left="61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440"/>
          <w:tab w:val="num" w:pos="6480"/>
        </w:tabs>
        <w:ind w:left="684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440"/>
          <w:tab w:val="num" w:pos="7200"/>
        </w:tabs>
        <w:ind w:left="756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ed Style 33"/>
  </w:abstractNum>
  <w:abstractNum w:abstractNumId="57">
    <w:multiLevelType w:val="hybridMultilevel"/>
    <w:styleLink w:val="Imported Style 33"/>
    <w:lvl w:ilvl="0">
      <w:start w:val="1"/>
      <w:numFmt w:val="lowerRoman"/>
      <w:suff w:val="tab"/>
      <w:lvlText w:val="%1)"/>
      <w:lvlJc w:val="left"/>
      <w:pPr>
        <w:tabs>
          <w:tab w:val="num" w:pos="720"/>
        </w:tabs>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20"/>
          <w:tab w:val="num" w:pos="1440"/>
        </w:tabs>
        <w:ind w:left="180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20"/>
          <w:tab w:val="num" w:pos="2160"/>
        </w:tabs>
        <w:ind w:left="252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 w:val="num" w:pos="2880"/>
        </w:tabs>
        <w:ind w:left="324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20"/>
          <w:tab w:val="num" w:pos="3600"/>
        </w:tabs>
        <w:ind w:left="396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20"/>
          <w:tab w:val="num" w:pos="4320"/>
        </w:tabs>
        <w:ind w:left="468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 w:val="num" w:pos="5040"/>
        </w:tabs>
        <w:ind w:left="540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20"/>
          <w:tab w:val="num" w:pos="5760"/>
        </w:tabs>
        <w:ind w:left="61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20"/>
          <w:tab w:val="num" w:pos="6480"/>
        </w:tabs>
        <w:ind w:left="684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2"/>
    <w:lvlOverride w:ilvl="0">
      <w:startOverride w:val="3"/>
    </w:lvlOverride>
  </w:num>
  <w:num w:numId="26">
    <w:abstractNumId w:val="25"/>
  </w:num>
  <w:num w:numId="27">
    <w:abstractNumId w:val="24"/>
  </w:num>
  <w:num w:numId="28">
    <w:abstractNumId w:val="24"/>
    <w:lvlOverride w:ilvl="0">
      <w:startOverride w:val="4"/>
    </w:lvlOverride>
  </w:num>
  <w:num w:numId="29">
    <w:abstractNumId w:val="27"/>
  </w:num>
  <w:num w:numId="30">
    <w:abstractNumId w:val="26"/>
  </w:num>
  <w:num w:numId="31">
    <w:abstractNumId w:val="29"/>
  </w:num>
  <w:num w:numId="32">
    <w:abstractNumId w:val="28"/>
  </w:num>
  <w:num w:numId="33">
    <w:abstractNumId w:val="31"/>
  </w:num>
  <w:num w:numId="34">
    <w:abstractNumId w:val="30"/>
  </w:num>
  <w:num w:numId="35">
    <w:abstractNumId w:val="33"/>
  </w:num>
  <w:num w:numId="36">
    <w:abstractNumId w:val="32"/>
  </w:num>
  <w:num w:numId="37">
    <w:abstractNumId w:val="35"/>
  </w:num>
  <w:num w:numId="38">
    <w:abstractNumId w:val="34"/>
  </w:num>
  <w:num w:numId="39">
    <w:abstractNumId w:val="37"/>
  </w:num>
  <w:num w:numId="40">
    <w:abstractNumId w:val="36"/>
  </w:num>
  <w:num w:numId="41">
    <w:abstractNumId w:val="39"/>
  </w:num>
  <w:num w:numId="42">
    <w:abstractNumId w:val="38"/>
  </w:num>
  <w:num w:numId="43">
    <w:abstractNumId w:val="41"/>
  </w:num>
  <w:num w:numId="44">
    <w:abstractNumId w:val="40"/>
  </w:num>
  <w:num w:numId="45">
    <w:abstractNumId w:val="43"/>
  </w:num>
  <w:num w:numId="46">
    <w:abstractNumId w:val="42"/>
  </w:num>
  <w:num w:numId="47">
    <w:abstractNumId w:val="45"/>
  </w:num>
  <w:num w:numId="48">
    <w:abstractNumId w:val="44"/>
  </w:num>
  <w:num w:numId="49">
    <w:abstractNumId w:val="47"/>
  </w:num>
  <w:num w:numId="50">
    <w:abstractNumId w:val="46"/>
  </w:num>
  <w:num w:numId="51">
    <w:abstractNumId w:val="49"/>
  </w:num>
  <w:num w:numId="52">
    <w:abstractNumId w:val="48"/>
  </w:num>
  <w:num w:numId="53">
    <w:abstractNumId w:val="51"/>
  </w:num>
  <w:num w:numId="54">
    <w:abstractNumId w:val="50"/>
  </w:num>
  <w:num w:numId="55">
    <w:abstractNumId w:val="50"/>
    <w:lvlOverride w:ilvl="0">
      <w:startOverride w:val="2"/>
    </w:lvlOverride>
  </w:num>
  <w:num w:numId="56">
    <w:abstractNumId w:val="50"/>
    <w:lvlOverride w:ilvl="0">
      <w:startOverride w:val="5"/>
    </w:lvlOverride>
  </w:num>
  <w:num w:numId="57">
    <w:abstractNumId w:val="53"/>
  </w:num>
  <w:num w:numId="58">
    <w:abstractNumId w:val="52"/>
  </w:num>
  <w:num w:numId="59">
    <w:abstractNumId w:val="55"/>
  </w:num>
  <w:num w:numId="60">
    <w:abstractNumId w:val="54"/>
  </w:num>
  <w:num w:numId="61">
    <w:abstractNumId w:val="57"/>
  </w:num>
  <w:num w:numId="62">
    <w:abstractNumId w:val="5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character" w:styleId="Hyperlink.1">
    <w:name w:val="Hyperlink.1"/>
    <w:rPr>
      <w:rFonts w:ascii="Times New Roman" w:hAnsi="Times New Roman"/>
      <w:outline w:val="0"/>
      <w:color w:val="000000"/>
      <w:kern w:val="0"/>
      <w:sz w:val="24"/>
      <w:szCs w:val="24"/>
      <w:u w:color="000000"/>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outline w:val="0"/>
      <w:color w:val="000000"/>
      <w:kern w:val="0"/>
      <w:sz w:val="24"/>
      <w:szCs w:val="24"/>
      <w:u w:val="single" w:color="000000"/>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None A">
    <w:name w:val="None A"/>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character" w:styleId="Hyperlink.2">
    <w:name w:val="Hyperlink.2"/>
    <w:basedOn w:val="None"/>
    <w:next w:val="Hyperlink.2"/>
    <w:rPr>
      <w:rFonts w:ascii="Times New Roman" w:cs="Times New Roman" w:hAnsi="Times New Roman" w:eastAsia="Times New Roman"/>
      <w:b w:val="1"/>
      <w:bCs w:val="1"/>
      <w:outline w:val="0"/>
      <w:color w:val="0026e5"/>
      <w:kern w:val="0"/>
      <w:sz w:val="24"/>
      <w:szCs w:val="24"/>
      <w:u w:val="single" w:color="0026e5"/>
      <w14:textFill>
        <w14:solidFill>
          <w14:srgbClr w14:val="0026E5"/>
        </w14:solidFill>
      </w14:textFill>
    </w:r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6"/>
      </w:numPr>
    </w:pPr>
  </w:style>
  <w:style w:type="character" w:styleId="Hyperlink.3">
    <w:name w:val="Hyperlink.3"/>
    <w:basedOn w:val="None"/>
    <w:next w:val="Hyperlink.3"/>
    <w:rPr>
      <w:rFonts w:ascii="Times New Roman" w:cs="Times New Roman" w:hAnsi="Times New Roman" w:eastAsia="Times New Roman"/>
      <w:outline w:val="0"/>
      <w:color w:val="0563c1"/>
      <w:kern w:val="0"/>
      <w:sz w:val="24"/>
      <w:szCs w:val="24"/>
      <w:u w:val="single" w:color="0563c1"/>
      <w14:textFill>
        <w14:solidFill>
          <w14:srgbClr w14:val="0563C1"/>
        </w14:solidFill>
      </w14:textFill>
    </w:rPr>
  </w:style>
  <w:style w:type="numbering" w:styleId="Imported Style 14">
    <w:name w:val="Imported Style 14"/>
    <w:pPr>
      <w:numPr>
        <w:numId w:val="29"/>
      </w:numPr>
    </w:pPr>
  </w:style>
  <w:style w:type="character" w:styleId="Hyperlink.4">
    <w:name w:val="Hyperlink.4"/>
    <w:basedOn w:val="None"/>
    <w:next w:val="Hyperlink.4"/>
    <w:rPr>
      <w:rFonts w:ascii="Times New Roman" w:cs="Times New Roman" w:hAnsi="Times New Roman" w:eastAsia="Times New Roman"/>
      <w:outline w:val="0"/>
      <w:color w:val="0000ff"/>
      <w:kern w:val="0"/>
      <w:sz w:val="24"/>
      <w:szCs w:val="24"/>
      <w:u w:val="single" w:color="0000ff"/>
      <w14:textFill>
        <w14:solidFill>
          <w14:srgbClr w14:val="0000FF"/>
        </w14:solidFill>
      </w14:textFill>
    </w:rPr>
  </w:style>
  <w:style w:type="numbering" w:styleId="Imported Style 15">
    <w:name w:val="Imported Style 15"/>
    <w:pPr>
      <w:numPr>
        <w:numId w:val="31"/>
      </w:numPr>
    </w:pPr>
  </w:style>
  <w:style w:type="numbering" w:styleId="Imported Style 16">
    <w:name w:val="Imported Style 16"/>
    <w:pPr>
      <w:numPr>
        <w:numId w:val="33"/>
      </w:numPr>
    </w:pPr>
  </w:style>
  <w:style w:type="numbering" w:styleId="Imported Style 17">
    <w:name w:val="Imported Style 17"/>
    <w:pPr>
      <w:numPr>
        <w:numId w:val="35"/>
      </w:numPr>
    </w:pPr>
  </w:style>
  <w:style w:type="numbering" w:styleId="Imported Style 18">
    <w:name w:val="Imported Style 18"/>
    <w:pPr>
      <w:numPr>
        <w:numId w:val="37"/>
      </w:numPr>
    </w:pPr>
  </w:style>
  <w:style w:type="numbering" w:styleId="Imported Style 19">
    <w:name w:val="Imported Style 19"/>
    <w:pPr>
      <w:numPr>
        <w:numId w:val="39"/>
      </w:numPr>
    </w:pPr>
  </w:style>
  <w:style w:type="numbering" w:styleId="Imported Style 20">
    <w:name w:val="Imported Style 20"/>
    <w:pPr>
      <w:numPr>
        <w:numId w:val="41"/>
      </w:numPr>
    </w:pPr>
  </w:style>
  <w:style w:type="numbering" w:styleId="Imported Style 21">
    <w:name w:val="Imported Style 21"/>
    <w:pPr>
      <w:numPr>
        <w:numId w:val="43"/>
      </w:numPr>
    </w:pPr>
  </w:style>
  <w:style w:type="numbering" w:styleId="Imported Style 26">
    <w:name w:val="Imported Style 26"/>
    <w:pPr>
      <w:numPr>
        <w:numId w:val="45"/>
      </w:numPr>
    </w:pPr>
  </w:style>
  <w:style w:type="numbering" w:styleId="Imported Style 27">
    <w:name w:val="Imported Style 27"/>
    <w:pPr>
      <w:numPr>
        <w:numId w:val="47"/>
      </w:numPr>
    </w:pPr>
  </w:style>
  <w:style w:type="character" w:styleId="Hyperlink.5">
    <w:name w:val="Hyperlink.5"/>
    <w:basedOn w:val="None"/>
    <w:next w:val="Hyperlink.5"/>
    <w:rPr>
      <w:rFonts w:ascii="Times New Roman" w:cs="Times New Roman" w:hAnsi="Times New Roman" w:eastAsia="Times New Roman"/>
      <w:outline w:val="0"/>
      <w:color w:val="000000"/>
      <w:sz w:val="24"/>
      <w:szCs w:val="24"/>
      <w:u w:val="single" w:color="000000"/>
      <w14:textFill>
        <w14:solidFill>
          <w14:srgbClr w14:val="000000"/>
        </w14:solidFill>
      </w14:textFill>
    </w:rPr>
  </w:style>
  <w:style w:type="paragraph" w:styleId="isselectedend">
    <w:name w:val="isselectedend"/>
    <w:next w:val="isselectedend"/>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8">
    <w:name w:val="Imported Style 28"/>
    <w:pPr>
      <w:numPr>
        <w:numId w:val="49"/>
      </w:numPr>
    </w:pPr>
  </w:style>
  <w:style w:type="numbering" w:styleId="Imported Style 29">
    <w:name w:val="Imported Style 29"/>
    <w:pPr>
      <w:numPr>
        <w:numId w:val="51"/>
      </w:numPr>
    </w:pPr>
  </w:style>
  <w:style w:type="numbering" w:styleId="Imported Style 30">
    <w:name w:val="Imported Style 30"/>
    <w:pPr>
      <w:numPr>
        <w:numId w:val="53"/>
      </w:numPr>
    </w:pPr>
  </w:style>
  <w:style w:type="numbering" w:styleId="Imported Style 31">
    <w:name w:val="Imported Style 31"/>
    <w:pPr>
      <w:numPr>
        <w:numId w:val="57"/>
      </w:numPr>
    </w:pPr>
  </w:style>
  <w:style w:type="numbering" w:styleId="Imported Style 32">
    <w:name w:val="Imported Style 32"/>
    <w:pPr>
      <w:numPr>
        <w:numId w:val="59"/>
      </w:numPr>
    </w:pPr>
  </w:style>
  <w:style w:type="numbering" w:styleId="Imported Style 33">
    <w:name w:val="Imported Style 33"/>
    <w:pPr>
      <w:numPr>
        <w:numId w:val="6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1.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6.pn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7.pn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image" Target="media/image37.png"/><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header" Target="header1.xml"/><Relationship Id="rId70" Type="http://schemas.openxmlformats.org/officeDocument/2006/relationships/footer" Target="footer1.xml"/><Relationship Id="rId71" Type="http://schemas.openxmlformats.org/officeDocument/2006/relationships/numbering" Target="numbering.xml"/><Relationship Id="rId7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