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26649D74" w14:textId="77777777" w:rsidTr="00076990">
        <w:trPr>
          <w:trHeight w:val="890"/>
        </w:trPr>
        <w:tc>
          <w:tcPr>
            <w:tcW w:w="11102" w:type="dxa"/>
            <w:gridSpan w:val="3"/>
            <w:tcBorders>
              <w:left w:val="single" w:sz="4" w:space="0" w:color="auto"/>
            </w:tcBorders>
            <w:shd w:val="clear" w:color="auto" w:fill="EEECE1" w:themeFill="background2"/>
          </w:tcPr>
          <w:p w14:paraId="26649D71" w14:textId="699CB431" w:rsidR="008A3B63" w:rsidRDefault="00C20950" w:rsidP="008A3B63">
            <w:pPr>
              <w:spacing w:after="0" w:line="240" w:lineRule="auto"/>
              <w:jc w:val="center"/>
              <w:rPr>
                <w:b/>
                <w:sz w:val="40"/>
              </w:rPr>
            </w:pPr>
            <w:r w:rsidRPr="00C20950">
              <w:rPr>
                <w:b/>
                <w:sz w:val="40"/>
              </w:rPr>
              <w:t xml:space="preserve">Merck </w:t>
            </w:r>
            <w:r w:rsidR="00AA7FBF">
              <w:rPr>
                <w:b/>
                <w:sz w:val="40"/>
              </w:rPr>
              <w:t>Talent Acqu</w:t>
            </w:r>
            <w:r w:rsidR="00627726">
              <w:rPr>
                <w:b/>
                <w:sz w:val="40"/>
              </w:rPr>
              <w:t>i</w:t>
            </w:r>
            <w:r w:rsidR="00AA7FBF">
              <w:rPr>
                <w:b/>
                <w:sz w:val="40"/>
              </w:rPr>
              <w:t>sition</w:t>
            </w:r>
            <w:r w:rsidRPr="00C20950">
              <w:rPr>
                <w:b/>
                <w:sz w:val="40"/>
              </w:rPr>
              <w:t xml:space="preserve"> Form</w:t>
            </w:r>
          </w:p>
          <w:p w14:paraId="26649D72" w14:textId="77777777" w:rsidR="00076990" w:rsidRDefault="00076990" w:rsidP="00FF3A26">
            <w:pPr>
              <w:spacing w:after="0" w:line="240" w:lineRule="auto"/>
              <w:jc w:val="center"/>
              <w:rPr>
                <w:b/>
                <w:color w:val="FF0000"/>
              </w:rPr>
            </w:pPr>
          </w:p>
          <w:p w14:paraId="26649D73"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26649D78" w14:textId="77777777" w:rsidTr="00090C22">
        <w:trPr>
          <w:trHeight w:val="710"/>
        </w:trPr>
        <w:tc>
          <w:tcPr>
            <w:tcW w:w="6415" w:type="dxa"/>
            <w:gridSpan w:val="2"/>
            <w:tcBorders>
              <w:left w:val="single" w:sz="4" w:space="0" w:color="auto"/>
            </w:tcBorders>
          </w:tcPr>
          <w:p w14:paraId="26649D75" w14:textId="77C5341E"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87475B">
                  <w:rPr>
                    <w:b/>
                    <w:noProof/>
                  </w:rPr>
                  <w:t xml:space="preserve">Internal and External </w:t>
                </w:r>
              </w:sdtContent>
            </w:sdt>
          </w:p>
        </w:tc>
        <w:tc>
          <w:tcPr>
            <w:tcW w:w="4687" w:type="dxa"/>
          </w:tcPr>
          <w:p w14:paraId="26649D76" w14:textId="35B6FFCB" w:rsidR="008120B1" w:rsidRPr="008C7950" w:rsidRDefault="008120B1" w:rsidP="00483B3F">
            <w:r w:rsidRPr="0054040D">
              <w:rPr>
                <w:b/>
                <w:noProof/>
              </w:rPr>
              <w:t xml:space="preserve">Hiring Manager Name: </w:t>
            </w:r>
            <w:r w:rsidR="008C7950">
              <w:t xml:space="preserve"> </w:t>
            </w:r>
            <w:r w:rsidR="00CE2276">
              <w:t xml:space="preserve"> </w:t>
            </w:r>
            <w:r w:rsidR="00CE2276" w:rsidRPr="00CE2276">
              <w:t>Murugan, Senthil K</w:t>
            </w:r>
          </w:p>
          <w:p w14:paraId="26649D77" w14:textId="6F2F404D" w:rsidR="00483B3F" w:rsidRPr="0054040D" w:rsidRDefault="00D37F36" w:rsidP="00483B3F">
            <w:pPr>
              <w:rPr>
                <w:b/>
                <w:noProof/>
              </w:rPr>
            </w:pPr>
            <w:r>
              <w:rPr>
                <w:b/>
                <w:noProof/>
              </w:rPr>
              <w:t>HRBP Name:</w:t>
            </w:r>
            <w:r w:rsidR="0087475B">
              <w:rPr>
                <w:b/>
                <w:noProof/>
              </w:rPr>
              <w:t xml:space="preserve"> </w:t>
            </w:r>
            <w:r w:rsidR="0087475B" w:rsidRPr="0087475B">
              <w:rPr>
                <w:noProof/>
              </w:rPr>
              <w:t>Demetrius, Nancy</w:t>
            </w:r>
          </w:p>
        </w:tc>
      </w:tr>
      <w:tr w:rsidR="00C20950" w14:paraId="26649D7C" w14:textId="77777777" w:rsidTr="00B64EC2">
        <w:trPr>
          <w:trHeight w:val="1835"/>
        </w:trPr>
        <w:tc>
          <w:tcPr>
            <w:tcW w:w="11102" w:type="dxa"/>
            <w:gridSpan w:val="3"/>
            <w:tcBorders>
              <w:left w:val="single" w:sz="4" w:space="0" w:color="auto"/>
            </w:tcBorders>
          </w:tcPr>
          <w:p w14:paraId="26649D79" w14:textId="04CA7DFF"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87475B">
                  <w:rPr>
                    <w:rFonts w:cstheme="minorHAnsi"/>
                    <w:b/>
                  </w:rPr>
                  <w:t>Replacement Position</w:t>
                </w:r>
              </w:sdtContent>
            </w:sdt>
          </w:p>
          <w:p w14:paraId="26649D7A" w14:textId="3851A9F6" w:rsidR="00C20950" w:rsidRPr="0054040D" w:rsidRDefault="00C20950" w:rsidP="00483B3F">
            <w:pPr>
              <w:rPr>
                <w:rFonts w:cstheme="minorHAnsi"/>
                <w:b/>
              </w:rPr>
            </w:pPr>
            <w:r w:rsidRPr="0054040D">
              <w:rPr>
                <w:rFonts w:cstheme="minorHAnsi"/>
                <w:b/>
              </w:rPr>
              <w:t xml:space="preserve">If replacement, name of employee being replaced: </w:t>
            </w:r>
            <w:r w:rsidR="0087475B" w:rsidRPr="0087475B">
              <w:rPr>
                <w:rFonts w:cstheme="minorHAnsi"/>
              </w:rPr>
              <w:t>Senthil Murugan</w:t>
            </w:r>
          </w:p>
          <w:p w14:paraId="26649D7B" w14:textId="5246AF35" w:rsidR="005C741A" w:rsidRPr="005C741A" w:rsidRDefault="00C20950" w:rsidP="0087475B">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87475B">
              <w:rPr>
                <w:rFonts w:cstheme="minorHAnsi"/>
                <w:b/>
              </w:rPr>
              <w:t xml:space="preserve"> </w:t>
            </w:r>
            <w:r w:rsidR="0087475B" w:rsidRPr="0087475B">
              <w:rPr>
                <w:rFonts w:cstheme="minorHAnsi"/>
              </w:rPr>
              <w:t>Murugan, Senthil</w:t>
            </w:r>
            <w:r w:rsidR="0087475B">
              <w:rPr>
                <w:rFonts w:cstheme="minorHAnsi"/>
              </w:rPr>
              <w:t xml:space="preserve">;   Jackson, </w:t>
            </w:r>
            <w:r w:rsidR="0087475B" w:rsidRPr="0087475B">
              <w:rPr>
                <w:rFonts w:cstheme="minorHAnsi"/>
              </w:rPr>
              <w:t xml:space="preserve"> Ericka Nicole</w:t>
            </w:r>
          </w:p>
        </w:tc>
      </w:tr>
      <w:tr w:rsidR="005933BF" w14:paraId="26649D83" w14:textId="77777777" w:rsidTr="00B64EC2">
        <w:trPr>
          <w:trHeight w:val="3446"/>
        </w:trPr>
        <w:tc>
          <w:tcPr>
            <w:tcW w:w="11102" w:type="dxa"/>
            <w:gridSpan w:val="3"/>
            <w:tcBorders>
              <w:left w:val="single" w:sz="4" w:space="0" w:color="auto"/>
            </w:tcBorders>
          </w:tcPr>
          <w:p w14:paraId="24430F2D" w14:textId="63FC38F5" w:rsidR="00CE2276" w:rsidRDefault="005933BF" w:rsidP="00CE2276">
            <w:pPr>
              <w:pStyle w:val="NormalWeb"/>
              <w:spacing w:before="0" w:beforeAutospacing="0" w:after="0" w:afterAutospacing="0"/>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8C7950">
              <w:rPr>
                <w:rFonts w:ascii="Calibri" w:hAnsi="Calibri"/>
                <w:b/>
                <w:bCs/>
                <w:i/>
                <w:iCs/>
                <w:sz w:val="20"/>
                <w:szCs w:val="20"/>
              </w:rPr>
              <w:t xml:space="preserve"> </w:t>
            </w:r>
            <w:r w:rsidR="00CE2276">
              <w:rPr>
                <w:rFonts w:ascii="Calibri" w:hAnsi="Calibri"/>
                <w:b/>
                <w:bCs/>
                <w:i/>
                <w:iCs/>
                <w:sz w:val="20"/>
                <w:szCs w:val="20"/>
              </w:rPr>
              <w:t xml:space="preserve"> </w:t>
            </w:r>
            <w:r w:rsidR="0087475B" w:rsidRPr="0087475B">
              <w:rPr>
                <w:rFonts w:ascii="Calibri" w:hAnsi="Calibri"/>
                <w:bCs/>
                <w:iCs/>
                <w:sz w:val="20"/>
                <w:szCs w:val="20"/>
              </w:rPr>
              <w:t>Associate Director</w:t>
            </w:r>
            <w:r w:rsidR="00CE2276" w:rsidRPr="0087475B">
              <w:rPr>
                <w:rFonts w:ascii="Calibri" w:hAnsi="Calibri"/>
                <w:iCs/>
                <w:sz w:val="20"/>
                <w:szCs w:val="20"/>
              </w:rPr>
              <w:t> </w:t>
            </w:r>
            <w:r w:rsidR="0087475B" w:rsidRPr="0087475B">
              <w:rPr>
                <w:rFonts w:ascii="Calibri" w:hAnsi="Calibri"/>
                <w:iCs/>
                <w:sz w:val="20"/>
                <w:szCs w:val="20"/>
              </w:rPr>
              <w:t>– Promotion Optimization</w:t>
            </w:r>
          </w:p>
          <w:p w14:paraId="731C6A59" w14:textId="46C53BA0" w:rsidR="008C7950" w:rsidRDefault="008C7950" w:rsidP="008C7950">
            <w:pPr>
              <w:pStyle w:val="NormalWeb"/>
              <w:spacing w:before="0" w:beforeAutospacing="0" w:after="0" w:afterAutospacing="0"/>
              <w:rPr>
                <w:rFonts w:ascii="Calibri" w:hAnsi="Calibri"/>
                <w:b/>
                <w:bCs/>
                <w:i/>
                <w:iCs/>
                <w:sz w:val="20"/>
                <w:szCs w:val="20"/>
              </w:rPr>
            </w:pPr>
          </w:p>
          <w:p w14:paraId="26649D7D" w14:textId="77777777" w:rsidR="005933BF" w:rsidRPr="00C20950" w:rsidRDefault="005933BF" w:rsidP="00483B3F">
            <w:pPr>
              <w:rPr>
                <w:rFonts w:cstheme="minorHAnsi"/>
              </w:rPr>
            </w:pPr>
          </w:p>
          <w:p w14:paraId="26649D7E" w14:textId="01B3FF67"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87475B">
              <w:rPr>
                <w:rFonts w:cstheme="minorHAnsi"/>
              </w:rPr>
              <w:t xml:space="preserve"> Associate Director</w:t>
            </w:r>
          </w:p>
          <w:p w14:paraId="26649D7F" w14:textId="5B1B9C85"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87475B">
                  <w:rPr>
                    <w:rFonts w:cstheme="minorHAnsi"/>
                  </w:rPr>
                  <w:t>AIP</w:t>
                </w:r>
              </w:sdtContent>
            </w:sdt>
          </w:p>
          <w:p w14:paraId="26649D80" w14:textId="4D508610"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87475B">
              <w:rPr>
                <w:rFonts w:cstheme="minorHAnsi"/>
                <w:b/>
              </w:rPr>
              <w:t>P4</w:t>
            </w:r>
          </w:p>
          <w:p w14:paraId="26649D81" w14:textId="2533F54C"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87475B">
              <w:rPr>
                <w:rFonts w:cstheme="minorHAnsi"/>
                <w:b/>
              </w:rPr>
              <w:t>1</w:t>
            </w:r>
          </w:p>
          <w:p w14:paraId="26649D82"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26649D87" w14:textId="77777777" w:rsidTr="00B64EC2">
        <w:trPr>
          <w:trHeight w:val="1394"/>
        </w:trPr>
        <w:tc>
          <w:tcPr>
            <w:tcW w:w="11102" w:type="dxa"/>
            <w:gridSpan w:val="3"/>
            <w:tcBorders>
              <w:left w:val="single" w:sz="4" w:space="0" w:color="auto"/>
            </w:tcBorders>
          </w:tcPr>
          <w:p w14:paraId="26649D84" w14:textId="15047D50" w:rsidR="00C20950" w:rsidRPr="0054040D" w:rsidRDefault="00C20950" w:rsidP="00483B3F">
            <w:pPr>
              <w:rPr>
                <w:rFonts w:cstheme="minorHAnsi"/>
                <w:b/>
              </w:rPr>
            </w:pPr>
            <w:r w:rsidRPr="0054040D">
              <w:rPr>
                <w:rFonts w:cstheme="minorHAnsi"/>
                <w:b/>
              </w:rPr>
              <w:t>Primary Worksite Location:</w:t>
            </w:r>
            <w:r w:rsidR="0087475B">
              <w:rPr>
                <w:rFonts w:cstheme="minorHAnsi"/>
                <w:b/>
              </w:rPr>
              <w:t xml:space="preserve"> Upper Gwynedd, PA</w:t>
            </w:r>
          </w:p>
          <w:p w14:paraId="26649D85"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26649D86"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26649D91" w14:textId="77777777" w:rsidTr="00D81AF6">
        <w:trPr>
          <w:trHeight w:val="2528"/>
        </w:trPr>
        <w:tc>
          <w:tcPr>
            <w:tcW w:w="4428" w:type="dxa"/>
            <w:tcBorders>
              <w:left w:val="single" w:sz="4" w:space="0" w:color="auto"/>
              <w:bottom w:val="single" w:sz="4" w:space="0" w:color="auto"/>
            </w:tcBorders>
          </w:tcPr>
          <w:p w14:paraId="26649D88" w14:textId="481F340D"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DC6C94">
                  <w:rPr>
                    <w:b/>
                    <w:noProof/>
                  </w:rPr>
                  <w:t>Standard</w:t>
                </w:r>
              </w:sdtContent>
            </w:sdt>
          </w:p>
          <w:p w14:paraId="26649D89" w14:textId="158F0E6E"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DC6C94">
                  <w:rPr>
                    <w:b/>
                    <w:noProof/>
                  </w:rPr>
                  <w:t>Not Applicable</w:t>
                </w:r>
              </w:sdtContent>
            </w:sdt>
          </w:p>
          <w:p w14:paraId="26649D8A" w14:textId="77777777" w:rsidR="00B64EC2" w:rsidRDefault="00B64EC2" w:rsidP="00483B3F">
            <w:pPr>
              <w:rPr>
                <w:b/>
                <w:noProof/>
              </w:rPr>
            </w:pPr>
            <w:r>
              <w:rPr>
                <w:b/>
                <w:noProof/>
              </w:rPr>
              <w:t>Days of Work (if other than M-F):</w:t>
            </w:r>
          </w:p>
          <w:p w14:paraId="26649D8B" w14:textId="09AD3C76"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sidR="00DC6C94">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sidR="00DC6C94">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1"/>
                  <w14:checkedState w14:val="2612" w14:font="MS Gothic"/>
                  <w14:uncheckedState w14:val="2610" w14:font="MS Gothic"/>
                </w14:checkbox>
              </w:sdtPr>
              <w:sdtEndPr/>
              <w:sdtContent>
                <w:r w:rsidR="00CC14EA">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26649D8C" w14:textId="3D3012EA"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DC6C94">
                  <w:rPr>
                    <w:b/>
                    <w:noProof/>
                  </w:rPr>
                  <w:t>10%</w:t>
                </w:r>
              </w:sdtContent>
            </w:sdt>
          </w:p>
          <w:p w14:paraId="26649D8D" w14:textId="0B5CDCE8"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DC6C94">
                  <w:rPr>
                    <w:b/>
                    <w:noProof/>
                  </w:rPr>
                  <w:t>5%</w:t>
                </w:r>
              </w:sdtContent>
            </w:sdt>
          </w:p>
          <w:p w14:paraId="26649D8E" w14:textId="77777777" w:rsidR="00B64EC2" w:rsidRPr="0054040D" w:rsidRDefault="00B64EC2" w:rsidP="00483B3F">
            <w:pPr>
              <w:rPr>
                <w:b/>
                <w:noProof/>
              </w:rPr>
            </w:pPr>
            <w:r w:rsidRPr="0054040D">
              <w:rPr>
                <w:b/>
                <w:noProof/>
              </w:rPr>
              <w:t>Relocation Provided:</w:t>
            </w:r>
          </w:p>
          <w:p w14:paraId="26649D8F" w14:textId="28A2B5E8" w:rsidR="00964BD0" w:rsidRDefault="00660A25"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DC6C94">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26649D90" w14:textId="10C28F4C" w:rsidR="00723250" w:rsidRPr="00CC14EA" w:rsidRDefault="00660A25" w:rsidP="00964BD0">
            <w:pPr>
              <w:rPr>
                <w:b/>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E052B3" w14:paraId="2EB2DAE1" w14:textId="77777777" w:rsidTr="00D37F36">
        <w:trPr>
          <w:trHeight w:val="70"/>
        </w:trPr>
        <w:tc>
          <w:tcPr>
            <w:tcW w:w="11102" w:type="dxa"/>
            <w:gridSpan w:val="3"/>
            <w:tcBorders>
              <w:left w:val="single" w:sz="4" w:space="0" w:color="auto"/>
              <w:bottom w:val="single" w:sz="4" w:space="0" w:color="auto"/>
            </w:tcBorders>
          </w:tcPr>
          <w:p w14:paraId="0958CCBB" w14:textId="31FDE77E" w:rsidR="00E052B3" w:rsidRDefault="00E052B3" w:rsidP="00E052B3">
            <w:pPr>
              <w:rPr>
                <w:b/>
                <w:noProof/>
              </w:rPr>
            </w:pPr>
          </w:p>
        </w:tc>
      </w:tr>
      <w:tr w:rsidR="00E052B3" w14:paraId="4C056835" w14:textId="77777777" w:rsidTr="00301992">
        <w:trPr>
          <w:trHeight w:val="1432"/>
        </w:trPr>
        <w:tc>
          <w:tcPr>
            <w:tcW w:w="11102" w:type="dxa"/>
            <w:gridSpan w:val="3"/>
            <w:tcBorders>
              <w:left w:val="single" w:sz="4" w:space="0" w:color="auto"/>
              <w:bottom w:val="single" w:sz="4" w:space="0" w:color="auto"/>
            </w:tcBorders>
          </w:tcPr>
          <w:p w14:paraId="6C2B0E26" w14:textId="77777777" w:rsidR="00E052B3" w:rsidRPr="00F923D0" w:rsidRDefault="00E052B3" w:rsidP="00E052B3">
            <w:pPr>
              <w:rPr>
                <w:b/>
                <w:noProof/>
              </w:rPr>
            </w:pPr>
            <w:r w:rsidRPr="00F923D0">
              <w:rPr>
                <w:b/>
                <w:noProof/>
              </w:rPr>
              <w:lastRenderedPageBreak/>
              <w:t>For US &amp; PR Positions Only:</w:t>
            </w:r>
          </w:p>
          <w:p w14:paraId="60584DBF" w14:textId="19BDF8CA" w:rsidR="00F923D0" w:rsidRDefault="00F923D0" w:rsidP="00F923D0">
            <w:pPr>
              <w:rPr>
                <w:rFonts w:cstheme="minorHAnsi"/>
                <w:b/>
              </w:rPr>
            </w:pPr>
            <w:r>
              <w:rPr>
                <w:b/>
                <w:noProof/>
              </w:rPr>
              <w:t xml:space="preserve">Will this position provide Visa sponsorship? </w:t>
            </w:r>
            <w:sdt>
              <w:sdtPr>
                <w:rPr>
                  <w:b/>
                  <w:noProof/>
                </w:rPr>
                <w:id w:val="-540668317"/>
                <w:dropDownList>
                  <w:listItem w:value="Choose an item."/>
                  <w:listItem w:displayText="Yes" w:value="Yes"/>
                  <w:listItem w:displayText="No" w:value="No"/>
                </w:dropDownList>
              </w:sdtPr>
              <w:sdtEndPr/>
              <w:sdtContent>
                <w:r w:rsidR="00DC6C94">
                  <w:rPr>
                    <w:b/>
                    <w:noProof/>
                  </w:rPr>
                  <w:t>No</w:t>
                </w:r>
              </w:sdtContent>
            </w:sdt>
          </w:p>
          <w:p w14:paraId="2EF1E2DE" w14:textId="77777777" w:rsidR="00F923D0" w:rsidRDefault="00E052B3" w:rsidP="00F923D0">
            <w:pPr>
              <w:rPr>
                <w:b/>
                <w:noProof/>
              </w:rPr>
            </w:pPr>
            <w:r w:rsidRPr="00E052B3">
              <w:rPr>
                <w:rFonts w:cstheme="minorHAnsi"/>
                <w:b/>
              </w:rPr>
              <w:t xml:space="preserve">Export Control License </w:t>
            </w:r>
          </w:p>
          <w:p w14:paraId="2E532B23" w14:textId="10993378" w:rsidR="00E052B3" w:rsidRPr="00F923D0" w:rsidRDefault="00E052B3" w:rsidP="00F923D0">
            <w:pPr>
              <w:rPr>
                <w:b/>
                <w:noProof/>
              </w:rPr>
            </w:pPr>
            <w:r w:rsidRPr="00E052B3">
              <w:rPr>
                <w:rFonts w:cstheme="minorHAnsi"/>
              </w:rPr>
              <w:t xml:space="preserve">If the job functions of this position include access to technology that is controlled for export under U.S. export control regulations, an export license from the U.S. Commerce Department may be required for a foreign national person to access such technology.  If the final candidate is a foreign national, Global Trade Compliance (GTC) will conduct a review to determine any applicable licensing requirements. If a license is required for the final candidate to perform his/her job duties and a decision is made for Merck to apply for such license, GTC will prepare a license application for submission to the Commerce Department based on information about the job position and the foreign national candidate to be collected and provided by the Hiring Manager. The licensing process typically takes about 3-4 months and involve legal fees that are charged to the Hiring Department. Licenses are typically issued for a 4-year period but can be renewed as necessary. If you have any questions please contact GTC: </w:t>
            </w:r>
            <w:hyperlink r:id="rId13" w:history="1">
              <w:r w:rsidRPr="00E052B3">
                <w:rPr>
                  <w:rStyle w:val="Hyperlink"/>
                  <w:rFonts w:cstheme="minorHAnsi"/>
                </w:rPr>
                <w:t>1gltraex@merck.com</w:t>
              </w:r>
            </w:hyperlink>
            <w:r w:rsidRPr="00E052B3">
              <w:rPr>
                <w:rFonts w:cstheme="minorHAnsi"/>
              </w:rPr>
              <w:t>.”</w:t>
            </w:r>
          </w:p>
          <w:p w14:paraId="775326D3" w14:textId="59F90CA9" w:rsidR="00E052B3" w:rsidRPr="00F923D0" w:rsidRDefault="00E052B3" w:rsidP="00F923D0">
            <w:pPr>
              <w:rPr>
                <w:b/>
                <w:szCs w:val="24"/>
              </w:rPr>
            </w:pPr>
            <w:r w:rsidRPr="00E052B3">
              <w:rPr>
                <w:b/>
                <w:noProof/>
              </w:rPr>
              <w:t>Will this position sponsor an Export Control License?</w:t>
            </w:r>
            <w:r w:rsidRPr="00E052B3">
              <w:rPr>
                <w:noProof/>
              </w:rPr>
              <w:t xml:space="preserve"> </w:t>
            </w:r>
            <w:sdt>
              <w:sdtPr>
                <w:rPr>
                  <w:b/>
                  <w:noProof/>
                </w:rPr>
                <w:id w:val="1135609539"/>
                <w:dropDownList>
                  <w:listItem w:value="Choose an item."/>
                  <w:listItem w:displayText="Yes" w:value="Yes"/>
                  <w:listItem w:displayText="No" w:value="No"/>
                </w:dropDownList>
              </w:sdtPr>
              <w:sdtEndPr/>
              <w:sdtContent>
                <w:r w:rsidR="00DC6C94">
                  <w:rPr>
                    <w:b/>
                    <w:noProof/>
                  </w:rPr>
                  <w:t>No</w:t>
                </w:r>
              </w:sdtContent>
            </w:sdt>
          </w:p>
        </w:tc>
      </w:tr>
      <w:tr w:rsidR="00B64EC2" w14:paraId="26649D94" w14:textId="77777777" w:rsidTr="00D81AF6">
        <w:trPr>
          <w:trHeight w:val="1432"/>
        </w:trPr>
        <w:tc>
          <w:tcPr>
            <w:tcW w:w="4428" w:type="dxa"/>
            <w:tcBorders>
              <w:left w:val="single" w:sz="4" w:space="0" w:color="auto"/>
              <w:bottom w:val="single" w:sz="4" w:space="0" w:color="auto"/>
              <w:right w:val="nil"/>
            </w:tcBorders>
          </w:tcPr>
          <w:p w14:paraId="26649D92" w14:textId="77777777" w:rsidR="00B64EC2" w:rsidRPr="00D81AF6" w:rsidRDefault="00D81AF6" w:rsidP="00483B3F">
            <w:pPr>
              <w:rPr>
                <w:b/>
                <w:szCs w:val="24"/>
              </w:rPr>
            </w:pPr>
            <w:r w:rsidRPr="00D81AF6">
              <w:rPr>
                <w:b/>
                <w:szCs w:val="24"/>
              </w:rPr>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26649D93" w14:textId="1A72C42D" w:rsidR="00B64EC2" w:rsidRPr="0054040D" w:rsidRDefault="00660A25" w:rsidP="00483B3F">
            <w:pPr>
              <w:rPr>
                <w:b/>
                <w:noProof/>
              </w:rPr>
            </w:pPr>
            <w:sdt>
              <w:sdtPr>
                <w:rPr>
                  <w:b/>
                  <w:noProof/>
                </w:rPr>
                <w:id w:val="-278803872"/>
                <w:dropDownList>
                  <w:listItem w:value="Choose an item."/>
                  <w:listItem w:displayText="Yes" w:value="Yes"/>
                  <w:listItem w:displayText="No" w:value="No"/>
                </w:dropDownList>
              </w:sdtPr>
              <w:sdtEndPr/>
              <w:sdtContent>
                <w:r w:rsidR="00DC6C94">
                  <w:rPr>
                    <w:b/>
                    <w:noProof/>
                  </w:rPr>
                  <w:t>No</w:t>
                </w:r>
              </w:sdtContent>
            </w:sdt>
          </w:p>
        </w:tc>
      </w:tr>
      <w:tr w:rsidR="00004121" w14:paraId="26649D9D" w14:textId="77777777" w:rsidTr="00B64EC2">
        <w:trPr>
          <w:trHeight w:val="3230"/>
        </w:trPr>
        <w:tc>
          <w:tcPr>
            <w:tcW w:w="4428" w:type="dxa"/>
            <w:tcBorders>
              <w:left w:val="single" w:sz="4" w:space="0" w:color="auto"/>
            </w:tcBorders>
          </w:tcPr>
          <w:p w14:paraId="26649D95" w14:textId="116D4353"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DC6C94">
                  <w:rPr>
                    <w:b/>
                    <w:noProof/>
                  </w:rPr>
                  <w:t>No</w:t>
                </w:r>
              </w:sdtContent>
            </w:sdt>
            <w:r w:rsidR="00605C4B">
              <w:rPr>
                <w:b/>
                <w:noProof/>
              </w:rPr>
              <w:t xml:space="preserve">                              </w:t>
            </w:r>
            <w:r w:rsidRPr="0054040D">
              <w:rPr>
                <w:b/>
                <w:i/>
                <w:noProof/>
              </w:rPr>
              <w:t>If yes, please specify</w:t>
            </w:r>
            <w:r w:rsidR="003B09D5" w:rsidRPr="0054040D">
              <w:rPr>
                <w:b/>
                <w:i/>
                <w:noProof/>
              </w:rPr>
              <w:t>:</w:t>
            </w:r>
          </w:p>
          <w:p w14:paraId="41A52F27" w14:textId="77777777" w:rsidR="00314893" w:rsidRPr="00314893" w:rsidRDefault="00314893" w:rsidP="00314893">
            <w:pPr>
              <w:rPr>
                <w:b/>
                <w:bCs/>
                <w:color w:val="000000"/>
              </w:rPr>
            </w:pPr>
            <w:r w:rsidRPr="00314893">
              <w:rPr>
                <w:b/>
                <w:bCs/>
                <w:color w:val="000000"/>
              </w:rPr>
              <w:t>Animal Work: Will the person in this position be directly associated with research or testing that involves animals and/or animal care?</w:t>
            </w:r>
          </w:p>
          <w:p w14:paraId="26649D97" w14:textId="051AFFC4" w:rsidR="00CE56E8" w:rsidRPr="0054040D" w:rsidRDefault="00660A25" w:rsidP="004601D0">
            <w:pPr>
              <w:rPr>
                <w:b/>
                <w:noProof/>
              </w:rPr>
            </w:pPr>
            <w:sdt>
              <w:sdtPr>
                <w:rPr>
                  <w:b/>
                  <w:noProof/>
                </w:rPr>
                <w:id w:val="-1435200289"/>
                <w:dropDownList>
                  <w:listItem w:value="Choose an item."/>
                  <w:listItem w:displayText="Yes" w:value="Yes"/>
                  <w:listItem w:displayText="No" w:value="No"/>
                </w:dropDownList>
              </w:sdtPr>
              <w:sdtEndPr/>
              <w:sdtContent>
                <w:r w:rsidR="00DC6C94">
                  <w:rPr>
                    <w:b/>
                    <w:noProof/>
                  </w:rPr>
                  <w:t>No</w:t>
                </w:r>
              </w:sdtContent>
            </w:sdt>
          </w:p>
        </w:tc>
        <w:tc>
          <w:tcPr>
            <w:tcW w:w="6674" w:type="dxa"/>
            <w:gridSpan w:val="2"/>
          </w:tcPr>
          <w:p w14:paraId="26649D98" w14:textId="6B7F0FA3"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DC6C94">
                  <w:rPr>
                    <w:b/>
                    <w:noProof/>
                  </w:rPr>
                  <w:t>No</w:t>
                </w:r>
              </w:sdtContent>
            </w:sdt>
          </w:p>
          <w:p w14:paraId="26649D99"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26649D9A"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26649D9B" w14:textId="68EA9AF2" w:rsidR="005933BF" w:rsidRDefault="00660A25"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DC6C94">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26649D9C" w14:textId="77777777" w:rsidR="00AD00AD" w:rsidRPr="0054040D" w:rsidRDefault="00660A25"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26649DA1" w14:textId="77777777" w:rsidTr="00B64EC2">
        <w:trPr>
          <w:trHeight w:val="577"/>
        </w:trPr>
        <w:tc>
          <w:tcPr>
            <w:tcW w:w="11102" w:type="dxa"/>
            <w:gridSpan w:val="3"/>
            <w:tcBorders>
              <w:left w:val="single" w:sz="4" w:space="0" w:color="auto"/>
            </w:tcBorders>
          </w:tcPr>
          <w:p w14:paraId="26649D9E" w14:textId="77777777" w:rsidR="00F10A58" w:rsidRPr="00297362" w:rsidRDefault="00F10A58" w:rsidP="00483B3F">
            <w:pPr>
              <w:rPr>
                <w:b/>
                <w:noProof/>
                <w:u w:val="single"/>
              </w:rPr>
            </w:pPr>
            <w:r w:rsidRPr="00297362">
              <w:rPr>
                <w:b/>
                <w:noProof/>
                <w:u w:val="single"/>
              </w:rPr>
              <w:t xml:space="preserve">Alternative Work Arrangements: </w:t>
            </w:r>
          </w:p>
          <w:p w14:paraId="26649D9F" w14:textId="77777777" w:rsidR="00F10A58" w:rsidRPr="00F10A58" w:rsidRDefault="00F10A58" w:rsidP="00483B3F">
            <w:pPr>
              <w:rPr>
                <w:b/>
                <w:noProof/>
              </w:rPr>
            </w:pPr>
            <w:r w:rsidRPr="00F10A58">
              <w:rPr>
                <w:b/>
                <w:noProof/>
              </w:rPr>
              <w:t>Is this position eligible for any of the following?  Please check all that apply:</w:t>
            </w:r>
          </w:p>
          <w:p w14:paraId="26649DA0" w14:textId="46194CE4" w:rsidR="00F10A58" w:rsidRDefault="00660A25"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DC6C94">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26649DA7" w14:textId="77777777" w:rsidTr="00B64EC2">
        <w:trPr>
          <w:trHeight w:val="1116"/>
        </w:trPr>
        <w:tc>
          <w:tcPr>
            <w:tcW w:w="11102" w:type="dxa"/>
            <w:gridSpan w:val="3"/>
            <w:tcBorders>
              <w:left w:val="single" w:sz="4" w:space="0" w:color="auto"/>
              <w:bottom w:val="single" w:sz="4" w:space="0" w:color="auto"/>
            </w:tcBorders>
          </w:tcPr>
          <w:p w14:paraId="26649DA2"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654543C8" w14:textId="77777777" w:rsidR="00DC6C94" w:rsidRDefault="00DC6C94" w:rsidP="00DC6C94">
            <w:r>
              <w:t xml:space="preserve">The Associate Director will be part of the Investment Analytics Decision Sciences (IADS) group, providing the US Human Health (USHH) Marketing &amp; Sales decision-makers with analytically and data driven recommendations for superior decision making regarding the allocation of promotional resources. The Associate Director will support and have broad analytical responsibilities for two separate categories of decision support. </w:t>
            </w:r>
          </w:p>
          <w:p w14:paraId="79310D9B" w14:textId="77777777" w:rsidR="00DC6C94" w:rsidRDefault="00DC6C94" w:rsidP="00DC6C94">
            <w:r>
              <w:lastRenderedPageBreak/>
              <w:t xml:space="preserve">First, a major component of Merck’s Health Care Consumer strategy is focused on co-pay support programs. Analysis of historical performance, formulation of more optimal deployment scenarios, prediction of likely future performance of these scenarios, design and analysis of in-market pilots for candidate scenarios and recommendations for optimization of this important resource. The Associate Director will lead this practice area, collaborating with colleagues in IADS, the Consumer Marketing Center of Excellence, Strategic Sampling Operations, franchise teams and others to develop best practices and realize more optimal deployment. </w:t>
            </w:r>
          </w:p>
          <w:p w14:paraId="26649DA3" w14:textId="6749EE0C" w:rsidR="00F10A58" w:rsidRDefault="00DC6C94" w:rsidP="00DC6C94">
            <w:r>
              <w:t>Second, the Associate Director will focus on advancing IADS best practices to more fully integrate new considerations/data sources into promotion and direct selling optimization recommendations. For example, the Associate Director will work to evolve existing practices, and to evaluate and implement new practices, in light of increasingly constrained and variable managed care and provider access. In this endeavor, the Associate Director will collaborate with various IADS areas including the Contract Optimization &amp; Engagement Optimization teams.</w:t>
            </w:r>
          </w:p>
          <w:p w14:paraId="26649DA6" w14:textId="77777777" w:rsidR="00F10A58" w:rsidRDefault="00F10A58" w:rsidP="00483B3F">
            <w:pPr>
              <w:rPr>
                <w:noProof/>
              </w:rPr>
            </w:pPr>
          </w:p>
        </w:tc>
      </w:tr>
      <w:tr w:rsidR="00F10A58" w14:paraId="26649DB2" w14:textId="77777777" w:rsidTr="00B64EC2">
        <w:trPr>
          <w:trHeight w:val="4526"/>
        </w:trPr>
        <w:tc>
          <w:tcPr>
            <w:tcW w:w="11102" w:type="dxa"/>
            <w:gridSpan w:val="3"/>
            <w:tcBorders>
              <w:left w:val="single" w:sz="4" w:space="0" w:color="auto"/>
              <w:bottom w:val="single" w:sz="4" w:space="0" w:color="auto"/>
            </w:tcBorders>
          </w:tcPr>
          <w:p w14:paraId="26649DA8"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26649DA9" w14:textId="27BDAA1A" w:rsidR="00F10A58" w:rsidRPr="00DC6C94" w:rsidRDefault="00F10A58" w:rsidP="00483B3F">
            <w:pPr>
              <w:tabs>
                <w:tab w:val="left" w:pos="3780"/>
              </w:tabs>
            </w:pPr>
            <w:r w:rsidRPr="00F10A58">
              <w:rPr>
                <w:b/>
              </w:rPr>
              <w:t xml:space="preserve">Education Minimum Requirement: </w:t>
            </w:r>
            <w:r w:rsidR="00DC6C94">
              <w:rPr>
                <w:b/>
              </w:rPr>
              <w:t xml:space="preserve"> </w:t>
            </w:r>
            <w:r w:rsidR="00DC6C94">
              <w:t xml:space="preserve"> </w:t>
            </w:r>
            <w:r w:rsidR="00DC6C94" w:rsidRPr="00DC6C94">
              <w:t>The candidate must have a Master’s Degree in Statistics, Data Mining, Mathematics, Operation Research, Engineering or another Quantitative Decision field.</w:t>
            </w:r>
          </w:p>
          <w:p w14:paraId="26649DAB" w14:textId="77777777" w:rsidR="00F10A58" w:rsidRDefault="00F10A58" w:rsidP="00483B3F">
            <w:pPr>
              <w:tabs>
                <w:tab w:val="left" w:pos="3780"/>
              </w:tabs>
              <w:rPr>
                <w:b/>
              </w:rPr>
            </w:pPr>
            <w:r w:rsidRPr="00F10A58">
              <w:rPr>
                <w:b/>
              </w:rPr>
              <w:t>Required Experience and Skills</w:t>
            </w:r>
            <w:r w:rsidR="003819D5" w:rsidRPr="00D62189">
              <w:rPr>
                <w:b/>
                <w:color w:val="FF0000"/>
              </w:rPr>
              <w:t>**</w:t>
            </w:r>
            <w:r w:rsidRPr="00F10A58">
              <w:rPr>
                <w:b/>
              </w:rPr>
              <w:t xml:space="preserve">: </w:t>
            </w:r>
          </w:p>
          <w:p w14:paraId="20F02E02" w14:textId="1E0F32AB" w:rsidR="00E95B41" w:rsidRDefault="00E95B41" w:rsidP="00E95B41">
            <w:pPr>
              <w:pStyle w:val="ListParagraph"/>
              <w:numPr>
                <w:ilvl w:val="0"/>
                <w:numId w:val="5"/>
              </w:numPr>
              <w:tabs>
                <w:tab w:val="left" w:pos="3780"/>
              </w:tabs>
            </w:pPr>
            <w:r>
              <w:t xml:space="preserve">The candidate must have at least 10 years of experience in developing and applying advanced analytical techniques to solve similar business challenges in the Pharmaceutical industry. </w:t>
            </w:r>
          </w:p>
          <w:p w14:paraId="3921CCE8" w14:textId="1C9A880C" w:rsidR="00E95B41" w:rsidRDefault="00E95B41" w:rsidP="00E95B41">
            <w:pPr>
              <w:pStyle w:val="ListParagraph"/>
              <w:numPr>
                <w:ilvl w:val="0"/>
                <w:numId w:val="5"/>
              </w:numPr>
              <w:tabs>
                <w:tab w:val="left" w:pos="3780"/>
              </w:tabs>
            </w:pPr>
            <w:r>
              <w:t xml:space="preserve">The candidate must also have demonstrated strong client and project management experience, having to manage multiple analytical projects simultaneously and foster collaboration with colleagues. </w:t>
            </w:r>
          </w:p>
          <w:p w14:paraId="60BEB360" w14:textId="6635678C" w:rsidR="00E95B41" w:rsidRDefault="00E95B41" w:rsidP="00E95B41">
            <w:pPr>
              <w:pStyle w:val="ListParagraph"/>
              <w:numPr>
                <w:ilvl w:val="0"/>
                <w:numId w:val="5"/>
              </w:numPr>
              <w:tabs>
                <w:tab w:val="left" w:pos="3780"/>
              </w:tabs>
            </w:pPr>
            <w:r>
              <w:t>The candidate must have experience managing cross-functional teams and/or outside service providers to successfully deliver on analyses with multiple contributors and stakeholders.</w:t>
            </w:r>
          </w:p>
          <w:p w14:paraId="0EF45494" w14:textId="4D728F4A" w:rsidR="00E95B41" w:rsidRDefault="00E95B41" w:rsidP="00E95B41">
            <w:pPr>
              <w:pStyle w:val="ListParagraph"/>
              <w:numPr>
                <w:ilvl w:val="0"/>
                <w:numId w:val="5"/>
              </w:numPr>
              <w:tabs>
                <w:tab w:val="left" w:pos="3780"/>
              </w:tabs>
            </w:pPr>
            <w:r>
              <w:t>As a fair portion of the role will require the development of hands on analytics and predictive solutions, working knowledge of SAS, Excel and other analytical tools is also required.</w:t>
            </w:r>
          </w:p>
          <w:p w14:paraId="4E5D580E" w14:textId="1C9405FB" w:rsidR="00E95B41" w:rsidRDefault="00E95B41" w:rsidP="00E95B41">
            <w:pPr>
              <w:pStyle w:val="ListParagraph"/>
              <w:numPr>
                <w:ilvl w:val="0"/>
                <w:numId w:val="5"/>
              </w:numPr>
              <w:tabs>
                <w:tab w:val="left" w:pos="3780"/>
              </w:tabs>
            </w:pPr>
            <w:r>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56B0E389" w14:textId="3FF62ED6" w:rsidR="00E95B41" w:rsidRDefault="00E95B41" w:rsidP="00E95B41">
            <w:pPr>
              <w:pStyle w:val="ListParagraph"/>
              <w:numPr>
                <w:ilvl w:val="0"/>
                <w:numId w:val="5"/>
              </w:numPr>
              <w:tabs>
                <w:tab w:val="left" w:pos="3780"/>
              </w:tabs>
            </w:pPr>
            <w:r>
              <w:t>Understanding and experience in using various 3rd party data sources, such as IMS Exponent, DDD, and medical claims data and managed care access data are necessary.</w:t>
            </w:r>
          </w:p>
          <w:p w14:paraId="0CCC57F2" w14:textId="77777777" w:rsidR="00E95B41" w:rsidRDefault="00E95B41" w:rsidP="00E95B41">
            <w:pPr>
              <w:pStyle w:val="ListParagraph"/>
              <w:numPr>
                <w:ilvl w:val="0"/>
                <w:numId w:val="5"/>
              </w:numPr>
              <w:tabs>
                <w:tab w:val="left" w:pos="3780"/>
              </w:tabs>
            </w:pPr>
            <w:r>
              <w:t>The candidate must have experience managing/mentoring analytical partners/staff to insure that appropriate analytical practices are employed and clearly articulated deliverables are received.</w:t>
            </w:r>
          </w:p>
          <w:p w14:paraId="13A15F62" w14:textId="1656A14E" w:rsidR="00E95B41" w:rsidRPr="00E95B41" w:rsidRDefault="00E95B41" w:rsidP="00E95B41">
            <w:pPr>
              <w:pStyle w:val="ListParagraph"/>
              <w:tabs>
                <w:tab w:val="left" w:pos="3780"/>
              </w:tabs>
            </w:pPr>
            <w:r w:rsidRPr="00E95B41">
              <w:t xml:space="preserve"> </w:t>
            </w:r>
          </w:p>
          <w:p w14:paraId="26649DAD" w14:textId="77777777" w:rsidR="00F10A58" w:rsidRPr="00BB3FE2" w:rsidRDefault="00F10A58" w:rsidP="00483B3F">
            <w:pPr>
              <w:tabs>
                <w:tab w:val="left" w:pos="3780"/>
              </w:tabs>
            </w:pPr>
            <w:r w:rsidRPr="00F10A58">
              <w:rPr>
                <w:b/>
              </w:rPr>
              <w:t>Preferred Experience and Skills:</w:t>
            </w:r>
          </w:p>
          <w:p w14:paraId="08AA67CF" w14:textId="77777777" w:rsidR="00E95B41" w:rsidRDefault="00E95B41" w:rsidP="00E95B41">
            <w:pPr>
              <w:pStyle w:val="ListParagraph"/>
              <w:numPr>
                <w:ilvl w:val="0"/>
                <w:numId w:val="5"/>
              </w:numPr>
              <w:tabs>
                <w:tab w:val="left" w:pos="3780"/>
              </w:tabs>
            </w:pPr>
            <w:r>
              <w:t>Experience with co-pay support program evaluation is strongly preferred.</w:t>
            </w:r>
          </w:p>
          <w:p w14:paraId="0C5D2780" w14:textId="410BEAA3" w:rsidR="00E95B41" w:rsidRDefault="00E95B41" w:rsidP="00E95B41">
            <w:pPr>
              <w:pStyle w:val="ListParagraph"/>
              <w:numPr>
                <w:ilvl w:val="0"/>
                <w:numId w:val="5"/>
              </w:numPr>
              <w:tabs>
                <w:tab w:val="left" w:pos="3780"/>
              </w:tabs>
            </w:pPr>
            <w:r>
              <w:t>Experience with Pharmaceutical industry relevant Marketing Mix Models, Test vs. Control analysis and pilot designs are preferred.</w:t>
            </w:r>
          </w:p>
          <w:p w14:paraId="6CC10EEC" w14:textId="553CC4D6" w:rsidR="00E95B41" w:rsidRDefault="00E95B41" w:rsidP="00E95B41">
            <w:pPr>
              <w:pStyle w:val="ListParagraph"/>
              <w:numPr>
                <w:ilvl w:val="0"/>
                <w:numId w:val="5"/>
              </w:numPr>
              <w:tabs>
                <w:tab w:val="left" w:pos="3780"/>
              </w:tabs>
            </w:pPr>
            <w:r>
              <w:t>Use of parametric and non-parametric methods for response estimation strongly preferred. Familiarity with optimization approaches desired.</w:t>
            </w:r>
          </w:p>
          <w:p w14:paraId="30D4F451" w14:textId="77777777" w:rsidR="00E95B41" w:rsidRDefault="00E95B41" w:rsidP="00483B3F">
            <w:pPr>
              <w:tabs>
                <w:tab w:val="left" w:pos="3780"/>
              </w:tabs>
              <w:rPr>
                <w:b/>
              </w:rPr>
            </w:pPr>
            <w:bookmarkStart w:id="0" w:name="_GoBack"/>
            <w:bookmarkEnd w:id="0"/>
          </w:p>
          <w:p w14:paraId="74AD865D" w14:textId="77777777" w:rsidR="00E95B41" w:rsidRDefault="00E95B41" w:rsidP="00483B3F">
            <w:pPr>
              <w:tabs>
                <w:tab w:val="left" w:pos="3780"/>
              </w:tabs>
              <w:rPr>
                <w:b/>
              </w:rPr>
            </w:pPr>
          </w:p>
          <w:p w14:paraId="26649DAF" w14:textId="77777777" w:rsidR="00F10A58" w:rsidRDefault="003819D5" w:rsidP="00064680">
            <w:pPr>
              <w:tabs>
                <w:tab w:val="left" w:pos="3780"/>
              </w:tabs>
              <w:rPr>
                <w:b/>
                <w:color w:val="FF0000"/>
              </w:rPr>
            </w:pPr>
            <w:r w:rsidRPr="00D62189">
              <w:rPr>
                <w:b/>
                <w:color w:val="FF0000"/>
              </w:rPr>
              <w:lastRenderedPageBreak/>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26649DB0" w14:textId="77777777" w:rsidR="00DD6436" w:rsidRDefault="00DD6436" w:rsidP="00064680">
            <w:pPr>
              <w:tabs>
                <w:tab w:val="left" w:pos="3780"/>
              </w:tabs>
              <w:rPr>
                <w:b/>
                <w:color w:val="FF0000"/>
              </w:rPr>
            </w:pPr>
          </w:p>
          <w:p w14:paraId="26649DB1" w14:textId="77777777" w:rsidR="00DD6436" w:rsidRDefault="00DD6436" w:rsidP="00064680">
            <w:pPr>
              <w:tabs>
                <w:tab w:val="left" w:pos="3780"/>
              </w:tabs>
            </w:pPr>
          </w:p>
        </w:tc>
      </w:tr>
      <w:tr w:rsidR="00F10A58" w14:paraId="26649DBA" w14:textId="77777777" w:rsidTr="00B64EC2">
        <w:trPr>
          <w:trHeight w:val="1104"/>
        </w:trPr>
        <w:tc>
          <w:tcPr>
            <w:tcW w:w="11102" w:type="dxa"/>
            <w:gridSpan w:val="3"/>
            <w:tcBorders>
              <w:left w:val="single" w:sz="4" w:space="0" w:color="auto"/>
            </w:tcBorders>
          </w:tcPr>
          <w:p w14:paraId="26649DB3" w14:textId="77777777" w:rsidR="00DD6436" w:rsidRDefault="00DD6436" w:rsidP="00483B3F">
            <w:pPr>
              <w:tabs>
                <w:tab w:val="left" w:pos="3780"/>
              </w:tabs>
              <w:rPr>
                <w:b/>
                <w:i/>
              </w:rPr>
            </w:pPr>
          </w:p>
          <w:p w14:paraId="26649DB4"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26649DB5"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26649DB6"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77C9B54B" w14:textId="77777777" w:rsidR="00DD6436" w:rsidRDefault="00E1691B" w:rsidP="00483B3F">
            <w:pPr>
              <w:tabs>
                <w:tab w:val="left" w:pos="3780"/>
              </w:tabs>
              <w:rPr>
                <w:b/>
                <w:i/>
                <w:color w:val="FF0000"/>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26649DB9" w14:textId="2A64CAED" w:rsidR="000A6CCB" w:rsidRPr="000A6CCB" w:rsidRDefault="000A6CCB" w:rsidP="00483B3F">
            <w:pPr>
              <w:tabs>
                <w:tab w:val="left" w:pos="3780"/>
              </w:tabs>
              <w:rPr>
                <w:color w:val="1F497D" w:themeColor="text2"/>
              </w:rPr>
            </w:pPr>
          </w:p>
        </w:tc>
      </w:tr>
    </w:tbl>
    <w:p w14:paraId="26649DBB" w14:textId="77777777" w:rsidR="00EC23B5" w:rsidRDefault="00EC23B5" w:rsidP="00C20950"/>
    <w:sectPr w:rsidR="00EC23B5" w:rsidSect="00507FED">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78789" w14:textId="77777777" w:rsidR="00660A25" w:rsidRDefault="00660A25" w:rsidP="00C20950">
      <w:pPr>
        <w:spacing w:after="0" w:line="240" w:lineRule="auto"/>
      </w:pPr>
      <w:r>
        <w:separator/>
      </w:r>
    </w:p>
  </w:endnote>
  <w:endnote w:type="continuationSeparator" w:id="0">
    <w:p w14:paraId="086A1957" w14:textId="77777777" w:rsidR="00660A25" w:rsidRDefault="00660A25"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37920" w14:textId="77777777" w:rsidR="00E95B41" w:rsidRDefault="00E95B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26649DC3" w14:textId="4F48B2C0" w:rsidR="00076990" w:rsidRDefault="00076990">
        <w:pPr>
          <w:pStyle w:val="Footer"/>
        </w:pPr>
        <w:r>
          <w:fldChar w:fldCharType="begin"/>
        </w:r>
        <w:r>
          <w:instrText xml:space="preserve"> PAGE   \* MERGEFORMAT </w:instrText>
        </w:r>
        <w:r>
          <w:fldChar w:fldCharType="separate"/>
        </w:r>
        <w:r w:rsidR="00E95B41">
          <w:rPr>
            <w:noProof/>
          </w:rPr>
          <w:t>2</w:t>
        </w:r>
        <w:r>
          <w:rPr>
            <w:noProof/>
          </w:rPr>
          <w:fldChar w:fldCharType="end"/>
        </w:r>
        <w:r>
          <w:rPr>
            <w:noProof/>
          </w:rPr>
          <w:tab/>
        </w:r>
        <w:r>
          <w:rPr>
            <w:noProof/>
          </w:rPr>
          <w:tab/>
          <w:t xml:space="preserve">Revised </w:t>
        </w:r>
        <w:r w:rsidR="00AA7FBF">
          <w:rPr>
            <w:noProof/>
          </w:rPr>
          <w:t xml:space="preserve">July </w:t>
        </w:r>
        <w:r w:rsidR="00145DD4">
          <w:rPr>
            <w:noProof/>
          </w:rPr>
          <w:t>2018</w:t>
        </w:r>
      </w:p>
    </w:sdtContent>
  </w:sdt>
  <w:p w14:paraId="26649DC4" w14:textId="3F7C95AB" w:rsidR="003B7E77" w:rsidRDefault="00E95B41">
    <w:pPr>
      <w:pStyle w:val="Footer"/>
    </w:pPr>
    <w:r>
      <w:rPr>
        <w:noProof/>
      </w:rPr>
      <w:drawing>
        <wp:anchor distT="0" distB="0" distL="114300" distR="114300" simplePos="0" relativeHeight="251658240" behindDoc="0" locked="0" layoutInCell="1" allowOverlap="1" wp14:anchorId="76E67C13" wp14:editId="1DFE4D0E">
          <wp:simplePos x="0" y="0"/>
          <wp:positionH relativeFrom="margin">
            <wp:align>left</wp:align>
          </wp:positionH>
          <wp:positionV relativeFrom="paragraph">
            <wp:posOffset>-153035</wp:posOffset>
          </wp:positionV>
          <wp:extent cx="790575" cy="323850"/>
          <wp:effectExtent l="0" t="0" r="9525" b="0"/>
          <wp:wrapNone/>
          <wp:docPr id="1"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E6152" w14:textId="77777777" w:rsidR="00E95B41" w:rsidRDefault="00E9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01BEE" w14:textId="77777777" w:rsidR="00660A25" w:rsidRDefault="00660A25" w:rsidP="00C20950">
      <w:pPr>
        <w:spacing w:after="0" w:line="240" w:lineRule="auto"/>
      </w:pPr>
      <w:r>
        <w:separator/>
      </w:r>
    </w:p>
  </w:footnote>
  <w:footnote w:type="continuationSeparator" w:id="0">
    <w:p w14:paraId="74850346" w14:textId="77777777" w:rsidR="00660A25" w:rsidRDefault="00660A25"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6CFC8" w14:textId="77777777" w:rsidR="00E95B41" w:rsidRDefault="00E95B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5F76E" w14:textId="77777777" w:rsidR="00E95B41" w:rsidRDefault="00E95B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504CD" w14:textId="77777777" w:rsidR="00E95B41" w:rsidRDefault="00E95B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7E3"/>
    <w:multiLevelType w:val="hybridMultilevel"/>
    <w:tmpl w:val="9D7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020F7"/>
    <w:multiLevelType w:val="hybridMultilevel"/>
    <w:tmpl w:val="A13E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64A2A"/>
    <w:multiLevelType w:val="hybridMultilevel"/>
    <w:tmpl w:val="27E61C06"/>
    <w:lvl w:ilvl="0" w:tplc="82B6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76D9A"/>
    <w:multiLevelType w:val="hybridMultilevel"/>
    <w:tmpl w:val="0A8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863981"/>
    <w:multiLevelType w:val="hybridMultilevel"/>
    <w:tmpl w:val="9E06F674"/>
    <w:lvl w:ilvl="0" w:tplc="82B6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21BF4"/>
    <w:multiLevelType w:val="hybridMultilevel"/>
    <w:tmpl w:val="BA280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80DC3"/>
    <w:rsid w:val="00090C22"/>
    <w:rsid w:val="000A6CCB"/>
    <w:rsid w:val="000B570B"/>
    <w:rsid w:val="000C2003"/>
    <w:rsid w:val="000D2D8A"/>
    <w:rsid w:val="000D4143"/>
    <w:rsid w:val="000D7813"/>
    <w:rsid w:val="000E6095"/>
    <w:rsid w:val="00103DB6"/>
    <w:rsid w:val="0010761C"/>
    <w:rsid w:val="00115755"/>
    <w:rsid w:val="00145DD4"/>
    <w:rsid w:val="00170946"/>
    <w:rsid w:val="001757A4"/>
    <w:rsid w:val="00175B9D"/>
    <w:rsid w:val="001A476A"/>
    <w:rsid w:val="001B53BB"/>
    <w:rsid w:val="002416C3"/>
    <w:rsid w:val="00243621"/>
    <w:rsid w:val="00245956"/>
    <w:rsid w:val="002622AC"/>
    <w:rsid w:val="002649B9"/>
    <w:rsid w:val="00287FCA"/>
    <w:rsid w:val="00294381"/>
    <w:rsid w:val="00297362"/>
    <w:rsid w:val="002A39CC"/>
    <w:rsid w:val="002A63A9"/>
    <w:rsid w:val="00314893"/>
    <w:rsid w:val="003732D2"/>
    <w:rsid w:val="0037334D"/>
    <w:rsid w:val="00381563"/>
    <w:rsid w:val="003819D5"/>
    <w:rsid w:val="003955A0"/>
    <w:rsid w:val="003B09D5"/>
    <w:rsid w:val="003B64A4"/>
    <w:rsid w:val="003B7E77"/>
    <w:rsid w:val="003D0CF8"/>
    <w:rsid w:val="003E0655"/>
    <w:rsid w:val="003F759C"/>
    <w:rsid w:val="00400D03"/>
    <w:rsid w:val="0040104E"/>
    <w:rsid w:val="0042124D"/>
    <w:rsid w:val="00437133"/>
    <w:rsid w:val="00453A84"/>
    <w:rsid w:val="00457D6F"/>
    <w:rsid w:val="004601D0"/>
    <w:rsid w:val="00483B3F"/>
    <w:rsid w:val="00507FED"/>
    <w:rsid w:val="00532285"/>
    <w:rsid w:val="0054040D"/>
    <w:rsid w:val="00542C9E"/>
    <w:rsid w:val="00542F1B"/>
    <w:rsid w:val="00553C5B"/>
    <w:rsid w:val="00583D54"/>
    <w:rsid w:val="005933BF"/>
    <w:rsid w:val="0059532B"/>
    <w:rsid w:val="005C741A"/>
    <w:rsid w:val="005F1E52"/>
    <w:rsid w:val="005F5F94"/>
    <w:rsid w:val="00605C4B"/>
    <w:rsid w:val="00627726"/>
    <w:rsid w:val="00660A25"/>
    <w:rsid w:val="0066256E"/>
    <w:rsid w:val="00681819"/>
    <w:rsid w:val="0069432D"/>
    <w:rsid w:val="006B437B"/>
    <w:rsid w:val="006D0722"/>
    <w:rsid w:val="006E446F"/>
    <w:rsid w:val="006E6D22"/>
    <w:rsid w:val="00707817"/>
    <w:rsid w:val="0071375F"/>
    <w:rsid w:val="00723250"/>
    <w:rsid w:val="00756071"/>
    <w:rsid w:val="007912C1"/>
    <w:rsid w:val="007B2F0E"/>
    <w:rsid w:val="008120B1"/>
    <w:rsid w:val="0087475B"/>
    <w:rsid w:val="008940E7"/>
    <w:rsid w:val="008A3B63"/>
    <w:rsid w:val="008B1902"/>
    <w:rsid w:val="008C7950"/>
    <w:rsid w:val="008E671E"/>
    <w:rsid w:val="009046FC"/>
    <w:rsid w:val="00964BD0"/>
    <w:rsid w:val="00986C88"/>
    <w:rsid w:val="00992DD6"/>
    <w:rsid w:val="00996326"/>
    <w:rsid w:val="009A30E6"/>
    <w:rsid w:val="009E7D2C"/>
    <w:rsid w:val="00A26533"/>
    <w:rsid w:val="00A333D2"/>
    <w:rsid w:val="00A633D2"/>
    <w:rsid w:val="00AA7FBF"/>
    <w:rsid w:val="00AD00AD"/>
    <w:rsid w:val="00AD6309"/>
    <w:rsid w:val="00AE513C"/>
    <w:rsid w:val="00AE5EEB"/>
    <w:rsid w:val="00AF0C82"/>
    <w:rsid w:val="00B64EC2"/>
    <w:rsid w:val="00B6770B"/>
    <w:rsid w:val="00B67CF7"/>
    <w:rsid w:val="00B87BF4"/>
    <w:rsid w:val="00B95F32"/>
    <w:rsid w:val="00BB3B92"/>
    <w:rsid w:val="00BB3FE2"/>
    <w:rsid w:val="00BE6A48"/>
    <w:rsid w:val="00C01515"/>
    <w:rsid w:val="00C163C0"/>
    <w:rsid w:val="00C20950"/>
    <w:rsid w:val="00C41A70"/>
    <w:rsid w:val="00C502D7"/>
    <w:rsid w:val="00CC14EA"/>
    <w:rsid w:val="00CC162B"/>
    <w:rsid w:val="00CE2276"/>
    <w:rsid w:val="00CE56E8"/>
    <w:rsid w:val="00D21515"/>
    <w:rsid w:val="00D37F36"/>
    <w:rsid w:val="00D541FF"/>
    <w:rsid w:val="00D62189"/>
    <w:rsid w:val="00D81AF6"/>
    <w:rsid w:val="00D8416B"/>
    <w:rsid w:val="00DB5FB6"/>
    <w:rsid w:val="00DC6C94"/>
    <w:rsid w:val="00DD6436"/>
    <w:rsid w:val="00DF6615"/>
    <w:rsid w:val="00E052B3"/>
    <w:rsid w:val="00E1691B"/>
    <w:rsid w:val="00E271BC"/>
    <w:rsid w:val="00E73997"/>
    <w:rsid w:val="00E7447E"/>
    <w:rsid w:val="00E95B41"/>
    <w:rsid w:val="00EC23B5"/>
    <w:rsid w:val="00ED18F2"/>
    <w:rsid w:val="00F10A58"/>
    <w:rsid w:val="00F17EA9"/>
    <w:rsid w:val="00F3009C"/>
    <w:rsid w:val="00F3085D"/>
    <w:rsid w:val="00F416CB"/>
    <w:rsid w:val="00F5559E"/>
    <w:rsid w:val="00F84121"/>
    <w:rsid w:val="00F923D0"/>
    <w:rsid w:val="00FA129A"/>
    <w:rsid w:val="00FB441D"/>
    <w:rsid w:val="00FC258F"/>
    <w:rsid w:val="00FC78CA"/>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4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 w:type="paragraph" w:styleId="NormalWeb">
    <w:name w:val="Normal (Web)"/>
    <w:basedOn w:val="Normal"/>
    <w:uiPriority w:val="99"/>
    <w:semiHidden/>
    <w:unhideWhenUsed/>
    <w:rsid w:val="008C795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ListParagraph">
    <w:name w:val="List Paragraph"/>
    <w:basedOn w:val="Normal"/>
    <w:uiPriority w:val="34"/>
    <w:qFormat/>
    <w:rsid w:val="00314893"/>
    <w:pPr>
      <w:spacing w:after="0" w:line="240" w:lineRule="auto"/>
      <w:ind w:left="720"/>
    </w:pPr>
    <w:rPr>
      <w:rFonts w:ascii="Calibri" w:hAnsi="Calibri" w:cs="Calibri"/>
    </w:rPr>
  </w:style>
  <w:style w:type="character" w:styleId="Hyperlink">
    <w:name w:val="Hyperlink"/>
    <w:basedOn w:val="DefaultParagraphFont"/>
    <w:uiPriority w:val="99"/>
    <w:unhideWhenUsed/>
    <w:rsid w:val="00CC14EA"/>
    <w:rPr>
      <w:color w:val="0000FF" w:themeColor="hyperlink"/>
      <w:u w:val="single"/>
    </w:rPr>
  </w:style>
  <w:style w:type="paragraph" w:styleId="NormalWeb">
    <w:name w:val="Normal (Web)"/>
    <w:basedOn w:val="Normal"/>
    <w:uiPriority w:val="99"/>
    <w:semiHidden/>
    <w:unhideWhenUsed/>
    <w:rsid w:val="008C795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453444482">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991757065">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 w:id="205161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1gltraex@merck.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06060"/>
    <w:rsid w:val="002A008B"/>
    <w:rsid w:val="002E78AA"/>
    <w:rsid w:val="004F2C0B"/>
    <w:rsid w:val="005A5CEB"/>
    <w:rsid w:val="005E12B4"/>
    <w:rsid w:val="006910CF"/>
    <w:rsid w:val="006F29C8"/>
    <w:rsid w:val="007370D1"/>
    <w:rsid w:val="007E7C62"/>
    <w:rsid w:val="008A7A53"/>
    <w:rsid w:val="0093719C"/>
    <w:rsid w:val="00AE5DA1"/>
    <w:rsid w:val="00B15D70"/>
    <w:rsid w:val="00C4116A"/>
    <w:rsid w:val="00ED7415"/>
    <w:rsid w:val="00EE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2.xml><?xml version="1.0" encoding="utf-8"?>
<ds:datastoreItem xmlns:ds="http://schemas.openxmlformats.org/officeDocument/2006/customXml" ds:itemID="{98BCA61E-92E6-4C91-B157-89D7BE9EE0A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FF6F7B-4101-470F-9DAD-5837CEB0CEEF}">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4903E493-8DCA-43DC-B3C4-83C6490B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SRD000000016026_eRIF</vt:lpstr>
    </vt:vector>
  </TitlesOfParts>
  <Company>Merck</Company>
  <LinksUpToDate>false</LinksUpToDate>
  <CharactersWithSpaces>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SRD000000016026_eRIF</dc:title>
  <dc:creator>Merck &amp; Co., Inc.</dc:creator>
  <cp:lastModifiedBy>Merck &amp; Co., Inc.</cp:lastModifiedBy>
  <cp:revision>3</cp:revision>
  <dcterms:created xsi:type="dcterms:W3CDTF">2018-10-12T15:13:00Z</dcterms:created>
  <dcterms:modified xsi:type="dcterms:W3CDTF">2018-10-12T19:38:00Z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-1209830849</vt:i4>
  </property>
  <property fmtid="{D5CDD505-2E9C-101B-9397-08002B2CF9AE}" pid="3" name="_NewReviewCycle">
    <vt:lpwstr/>
  </property>
  <property fmtid="{D5CDD505-2E9C-101B-9397-08002B2CF9AE}" pid="4" name="_EmailSubject">
    <vt:lpwstr>Action Required –Talent Acquisition form-QUA008120-Promotion Optimization - Assoc. Director</vt:lpwstr>
  </property>
  <property fmtid="{D5CDD505-2E9C-101B-9397-08002B2CF9AE}" pid="5" name="_AuthorEmail">
    <vt:lpwstr>brenda.splawn@merck.com</vt:lpwstr>
  </property>
  <property fmtid="{D5CDD505-2E9C-101B-9397-08002B2CF9AE}" pid="6" name="_AuthorEmailDisplayName">
    <vt:lpwstr>Splawn, Brenda</vt:lpwstr>
  </property>
  <property fmtid="{D5CDD505-2E9C-101B-9397-08002B2CF9AE}" pid="7" name="docIndexRef">
    <vt:lpwstr>7ad4df55-0a7a-4b00-a283-21ca8e528ac2</vt:lpwstr>
  </property>
  <property fmtid="{D5CDD505-2E9C-101B-9397-08002B2CF9AE}" pid="8" name="bjSaver">
    <vt:lpwstr>PQGVKgV3IMxhnFM4osyqPLnbhhi+tOlK</vt:lpwstr>
  </property>
  <property fmtid="{D5CDD505-2E9C-101B-9397-08002B2CF9AE}" pid="9" name="_PreviousAdHocReviewCycleID">
    <vt:i4>366617502</vt:i4>
  </property>
  <property fmtid="{D5CDD505-2E9C-101B-9397-08002B2CF9AE}" pid="10" name="MerckDocSensitivity">
    <vt:i4>2</vt:i4>
  </property>
  <property fmtid="{D5CDD505-2E9C-101B-9397-08002B2CF9AE}" pid="11" name="MerckDocSensitivityHeader">
    <vt:bool>true</vt:bool>
  </property>
  <property fmtid="{D5CDD505-2E9C-101B-9397-08002B2CF9AE}" pid="12" name="MerckDocSensitivityFooter">
    <vt:bool>false</vt:bool>
  </property>
  <property fmtid="{D5CDD505-2E9C-101B-9397-08002B2CF9AE}" pid="13" name="ContentTypeId">
    <vt:lpwstr>0x010100C53C6DEA9F970444A4EC4E4489D69D47</vt:lpwstr>
  </property>
  <property fmtid="{D5CDD505-2E9C-101B-9397-08002B2CF9AE}" pid="14" name="_ReviewingToolsShownOnce">
    <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