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84" w:rsidRDefault="000A5A84">
      <w:pPr>
        <w:rPr>
          <w:b/>
        </w:rPr>
      </w:pPr>
      <w:r>
        <w:rPr>
          <w:b/>
        </w:rPr>
        <w:t>2018 Accomplishments – Talking Points</w:t>
      </w:r>
    </w:p>
    <w:p w:rsidR="004D66E8" w:rsidRPr="005A23DE" w:rsidRDefault="00AC4F63">
      <w:pPr>
        <w:rPr>
          <w:b/>
        </w:rPr>
      </w:pPr>
      <w:r w:rsidRPr="005A23DE">
        <w:rPr>
          <w:b/>
        </w:rPr>
        <w:t>Yan Guo</w:t>
      </w:r>
    </w:p>
    <w:p w:rsidR="00AC4F63" w:rsidRDefault="00AC4F63" w:rsidP="00AC4F63">
      <w:pPr>
        <w:pStyle w:val="ListParagraph"/>
        <w:numPr>
          <w:ilvl w:val="0"/>
          <w:numId w:val="1"/>
        </w:numPr>
      </w:pPr>
      <w:r>
        <w:t xml:space="preserve">Led HCC Mkt. Mix Analysis for various brands. </w:t>
      </w:r>
      <w:r w:rsidRPr="00CF5B8E">
        <w:rPr>
          <w:b/>
        </w:rPr>
        <w:t>Informed HCC Digital investments of about $250MM</w:t>
      </w:r>
    </w:p>
    <w:p w:rsidR="00CF5B8E" w:rsidRDefault="00CF5B8E" w:rsidP="00AC4F63">
      <w:pPr>
        <w:pStyle w:val="ListParagraph"/>
        <w:numPr>
          <w:ilvl w:val="0"/>
          <w:numId w:val="1"/>
        </w:numPr>
      </w:pPr>
      <w:r>
        <w:t xml:space="preserve">Provided oversight and extended  </w:t>
      </w:r>
      <w:r w:rsidR="00AC4F63">
        <w:t xml:space="preserve">Exposure to Claims study </w:t>
      </w:r>
      <w:r>
        <w:t>by Crosssix and Comscore to identify media publishers with high business impact (ROI / Profitability)</w:t>
      </w:r>
      <w:r w:rsidR="005A23DE">
        <w:t xml:space="preserve"> for multiple brands</w:t>
      </w:r>
    </w:p>
    <w:p w:rsidR="00CF5B8E" w:rsidRDefault="00CF5B8E" w:rsidP="00AC4F63">
      <w:pPr>
        <w:pStyle w:val="ListParagraph"/>
        <w:numPr>
          <w:ilvl w:val="0"/>
          <w:numId w:val="1"/>
        </w:numPr>
      </w:pPr>
      <w:r>
        <w:t>Innovation: Enhanced Mkt. Mix analysis  capability  by implementing  concepts to study cross-channel interactions (pathway analysis)</w:t>
      </w:r>
    </w:p>
    <w:p w:rsidR="00CF5B8E" w:rsidRDefault="00CF5B8E" w:rsidP="00CF5B8E">
      <w:pPr>
        <w:pStyle w:val="ListParagraph"/>
        <w:numPr>
          <w:ilvl w:val="0"/>
          <w:numId w:val="1"/>
        </w:numPr>
      </w:pPr>
      <w:r>
        <w:t xml:space="preserve">Innovation: Extended </w:t>
      </w:r>
      <w:r w:rsidRPr="00CF5B8E">
        <w:t>IADS capabilities by demonstrating the viability (for Nexplanon) of identifying impact maximizing digital frequencies at publisher level.</w:t>
      </w:r>
      <w:r>
        <w:t xml:space="preserve"> </w:t>
      </w:r>
    </w:p>
    <w:p w:rsidR="00AC4F63" w:rsidRDefault="00CF5B8E" w:rsidP="00CF5B8E">
      <w:pPr>
        <w:pStyle w:val="ListParagraph"/>
        <w:numPr>
          <w:ilvl w:val="0"/>
          <w:numId w:val="1"/>
        </w:numPr>
      </w:pPr>
      <w:r>
        <w:t>Both of the above innovations are planned to be extended to multiple products in 2019</w:t>
      </w:r>
    </w:p>
    <w:p w:rsidR="00CF5B8E" w:rsidRDefault="005A23DE" w:rsidP="005A23DE">
      <w:pPr>
        <w:pStyle w:val="ListParagraph"/>
        <w:numPr>
          <w:ilvl w:val="0"/>
          <w:numId w:val="1"/>
        </w:numPr>
      </w:pPr>
      <w:r>
        <w:t>Has an e</w:t>
      </w:r>
      <w:r w:rsidRPr="005A23DE">
        <w:t xml:space="preserve">xtensive </w:t>
      </w:r>
      <w:r w:rsidR="00790770" w:rsidRPr="005A23DE">
        <w:t>Collaboration</w:t>
      </w:r>
      <w:r w:rsidRPr="005A23DE">
        <w:t xml:space="preserve"> / Selling / Change Management / Concept Buy-In capabilities</w:t>
      </w:r>
      <w:r>
        <w:t>.</w:t>
      </w:r>
    </w:p>
    <w:p w:rsidR="005A23DE" w:rsidRDefault="005A23DE" w:rsidP="005A23DE">
      <w:pPr>
        <w:pStyle w:val="ListParagraph"/>
      </w:pPr>
    </w:p>
    <w:p w:rsidR="005A23DE" w:rsidRPr="005A23DE" w:rsidRDefault="005A23DE" w:rsidP="005A23DE">
      <w:pPr>
        <w:rPr>
          <w:b/>
        </w:rPr>
      </w:pPr>
      <w:r>
        <w:rPr>
          <w:b/>
        </w:rPr>
        <w:t>Ambika Rana</w:t>
      </w:r>
    </w:p>
    <w:p w:rsidR="000A5A84" w:rsidRPr="000A5A84" w:rsidRDefault="000A5A84" w:rsidP="000A5A84">
      <w:pPr>
        <w:pStyle w:val="ListParagraph"/>
        <w:numPr>
          <w:ilvl w:val="0"/>
          <w:numId w:val="1"/>
        </w:numPr>
        <w:rPr>
          <w:b/>
        </w:rPr>
      </w:pPr>
      <w:r w:rsidRPr="000A5A84">
        <w:t xml:space="preserve">Directly influenced the allocation of 2019 promotional budget and strategy for Januvia, Belsomra, Pneumovax and Gardasil. </w:t>
      </w:r>
      <w:r w:rsidRPr="000A5A84">
        <w:rPr>
          <w:b/>
        </w:rPr>
        <w:t>Promotional dollars involved in the decision is ~$200MM. $25MM savings were identified.</w:t>
      </w:r>
    </w:p>
    <w:p w:rsidR="000A5A84" w:rsidRDefault="000A5A84" w:rsidP="000A5A84">
      <w:pPr>
        <w:pStyle w:val="ListParagraph"/>
        <w:numPr>
          <w:ilvl w:val="0"/>
          <w:numId w:val="1"/>
        </w:numPr>
      </w:pPr>
      <w:r w:rsidRPr="000A5A84">
        <w:t xml:space="preserve">Consulted with all levels of brand team leaders and senior leaders efficiently and effectively. </w:t>
      </w:r>
      <w:r>
        <w:t>[</w:t>
      </w:r>
      <w:r w:rsidRPr="000A5A84">
        <w:t>Tom Loose appreciated her presentation as one of the best in the year.</w:t>
      </w:r>
      <w:r>
        <w:t>]</w:t>
      </w:r>
    </w:p>
    <w:p w:rsidR="000A5A84" w:rsidRDefault="000A5A84" w:rsidP="000A5A84">
      <w:pPr>
        <w:pStyle w:val="ListParagraph"/>
        <w:numPr>
          <w:ilvl w:val="0"/>
          <w:numId w:val="1"/>
        </w:numPr>
      </w:pPr>
      <w:r w:rsidRPr="000A5A84">
        <w:t xml:space="preserve">Gardasil NBE sequence analysis </w:t>
      </w:r>
      <w:r>
        <w:t>–</w:t>
      </w:r>
      <w:r w:rsidRPr="000A5A84">
        <w:t xml:space="preserve"> </w:t>
      </w:r>
      <w:r>
        <w:t xml:space="preserve">Working on the </w:t>
      </w:r>
      <w:r w:rsidRPr="000A5A84">
        <w:t xml:space="preserve">development of </w:t>
      </w:r>
      <w:r>
        <w:t xml:space="preserve">NBE </w:t>
      </w:r>
      <w:r w:rsidRPr="000A5A84">
        <w:t>internal capability.</w:t>
      </w:r>
    </w:p>
    <w:p w:rsidR="000A5A84" w:rsidRDefault="000A5A84" w:rsidP="000A5A84">
      <w:pPr>
        <w:pStyle w:val="ListParagraph"/>
        <w:numPr>
          <w:ilvl w:val="0"/>
          <w:numId w:val="1"/>
        </w:numPr>
      </w:pPr>
      <w:r w:rsidRPr="000A5A84">
        <w:t>Took responsibility for about 1.5 to 2 FTEs amount of work and delivered with strong work ethic</w:t>
      </w:r>
      <w:r>
        <w:t>,</w:t>
      </w:r>
      <w:r w:rsidRPr="000A5A84">
        <w:t xml:space="preserve"> poise and high</w:t>
      </w:r>
      <w:r>
        <w:t xml:space="preserve"> level of </w:t>
      </w:r>
      <w:r w:rsidRPr="000A5A84">
        <w:t>motivation and curiosity.</w:t>
      </w:r>
    </w:p>
    <w:p w:rsidR="000A5A84" w:rsidRDefault="000A5A84" w:rsidP="000A5A84">
      <w:pPr>
        <w:pStyle w:val="ListParagraph"/>
        <w:numPr>
          <w:ilvl w:val="0"/>
          <w:numId w:val="1"/>
        </w:numPr>
      </w:pPr>
      <w:r>
        <w:t xml:space="preserve">Designed </w:t>
      </w:r>
      <w:r w:rsidR="0087352F">
        <w:t>Noxafil</w:t>
      </w:r>
      <w:r>
        <w:t xml:space="preserve"> </w:t>
      </w:r>
      <w:r>
        <w:t xml:space="preserve">Evoucher </w:t>
      </w:r>
      <w:r>
        <w:t>program</w:t>
      </w:r>
      <w:r>
        <w:t xml:space="preserve"> and suggested a targeting strategy to improve affordability while maintaining financial feasibility. </w:t>
      </w:r>
      <w:r>
        <w:t>Led discussions with Marketing and Legal. Played a key role</w:t>
      </w:r>
      <w:r>
        <w:t xml:space="preserve"> in obtaining first time legal approval for such a targeting strategy</w:t>
      </w:r>
      <w:r>
        <w:t>.</w:t>
      </w:r>
    </w:p>
    <w:p w:rsidR="0087352F" w:rsidRPr="005A23DE" w:rsidRDefault="0087352F" w:rsidP="0087352F">
      <w:pPr>
        <w:rPr>
          <w:b/>
        </w:rPr>
      </w:pPr>
      <w:r>
        <w:rPr>
          <w:b/>
        </w:rPr>
        <w:t>Senthil Murugan</w:t>
      </w:r>
    </w:p>
    <w:p w:rsidR="0087352F" w:rsidRDefault="0087352F" w:rsidP="0087352F">
      <w:pPr>
        <w:pStyle w:val="ListParagraph"/>
        <w:numPr>
          <w:ilvl w:val="0"/>
          <w:numId w:val="1"/>
        </w:numPr>
      </w:pPr>
      <w:r>
        <w:t xml:space="preserve">Supported impact analysis and optimal allocation of about </w:t>
      </w:r>
      <w:r w:rsidRPr="00151767">
        <w:rPr>
          <w:b/>
        </w:rPr>
        <w:t>$500MM+ investments in HCP, HCC and Patient Support promotional programs.</w:t>
      </w:r>
    </w:p>
    <w:p w:rsidR="0087352F" w:rsidRDefault="0087352F" w:rsidP="0087352F">
      <w:pPr>
        <w:pStyle w:val="ListParagraph"/>
        <w:numPr>
          <w:ilvl w:val="0"/>
          <w:numId w:val="1"/>
        </w:numPr>
      </w:pPr>
      <w:r>
        <w:t xml:space="preserve">Identified </w:t>
      </w:r>
      <w:r w:rsidRPr="00151767">
        <w:rPr>
          <w:b/>
        </w:rPr>
        <w:t>a $25MM in potential savings</w:t>
      </w:r>
      <w:r>
        <w:t xml:space="preserve"> through Investment Prioritization for 2019 profit planning.</w:t>
      </w:r>
    </w:p>
    <w:p w:rsidR="0087352F" w:rsidRDefault="0087352F" w:rsidP="0087352F">
      <w:pPr>
        <w:pStyle w:val="ListParagraph"/>
        <w:numPr>
          <w:ilvl w:val="0"/>
          <w:numId w:val="1"/>
        </w:numPr>
      </w:pPr>
      <w:r>
        <w:t>As a core member, providing support for the implementation of NBE for Januvia.</w:t>
      </w:r>
    </w:p>
    <w:p w:rsidR="0087352F" w:rsidRDefault="0087352F" w:rsidP="0087352F">
      <w:pPr>
        <w:pStyle w:val="ListParagraph"/>
        <w:numPr>
          <w:ilvl w:val="0"/>
          <w:numId w:val="1"/>
        </w:numPr>
      </w:pPr>
      <w:r>
        <w:t>Directed internal capability enhancements in NBE, Mkt Mix modeling (pathway) and Keytruda MMF impact analysis using new data sources (GPO data)</w:t>
      </w:r>
    </w:p>
    <w:p w:rsidR="0087352F" w:rsidRDefault="0087352F" w:rsidP="0087352F">
      <w:pPr>
        <w:pStyle w:val="ListParagraph"/>
        <w:numPr>
          <w:ilvl w:val="0"/>
          <w:numId w:val="1"/>
        </w:numPr>
      </w:pPr>
      <w:r>
        <w:t>Provided leadership to identify optimal frequencies at Media Pub</w:t>
      </w:r>
      <w:bookmarkStart w:id="0" w:name="_GoBack"/>
      <w:bookmarkEnd w:id="0"/>
      <w:r>
        <w:t xml:space="preserve">lisher level using CrossSix data (Nexplanon), development of Google Chatbox capabilities for process </w:t>
      </w:r>
      <w:r>
        <w:t>improvements and</w:t>
      </w:r>
      <w:r>
        <w:t xml:space="preserve"> IPF optimization tool for efficient management of investment allocation scenarios.</w:t>
      </w:r>
    </w:p>
    <w:p w:rsidR="0087352F" w:rsidRDefault="0087352F" w:rsidP="0087352F">
      <w:pPr>
        <w:pStyle w:val="ListParagraph"/>
        <w:numPr>
          <w:ilvl w:val="0"/>
          <w:numId w:val="1"/>
        </w:numPr>
      </w:pPr>
      <w:r>
        <w:lastRenderedPageBreak/>
        <w:t xml:space="preserve">Empowered team members to be a </w:t>
      </w:r>
      <w:r w:rsidRPr="0087352F">
        <w:rPr>
          <w:i/>
          <w:u w:val="single"/>
        </w:rPr>
        <w:t>trusted collaborative partner</w:t>
      </w:r>
      <w:r>
        <w:t xml:space="preserve"> with Senior Leadership, Brand Marketing, Campaign Architects and Promotion Managers.</w:t>
      </w:r>
    </w:p>
    <w:p w:rsidR="0087352F" w:rsidRPr="000A5A84" w:rsidRDefault="0087352F" w:rsidP="0087352F">
      <w:pPr>
        <w:pStyle w:val="ListParagraph"/>
        <w:numPr>
          <w:ilvl w:val="0"/>
          <w:numId w:val="1"/>
        </w:numPr>
        <w:rPr>
          <w:b/>
        </w:rPr>
      </w:pPr>
      <w:r>
        <w:t>Improved collaborations with media agency and integrated internal, Crosssix and Initiative capabilities.</w:t>
      </w:r>
    </w:p>
    <w:p w:rsidR="0087352F" w:rsidRDefault="0087352F" w:rsidP="005A23DE"/>
    <w:sectPr w:rsidR="008735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1EB" w:rsidRDefault="00CC01EB" w:rsidP="00AC4F63">
      <w:pPr>
        <w:spacing w:after="0" w:line="240" w:lineRule="auto"/>
      </w:pPr>
      <w:r>
        <w:separator/>
      </w:r>
    </w:p>
  </w:endnote>
  <w:endnote w:type="continuationSeparator" w:id="0">
    <w:p w:rsidR="00CC01EB" w:rsidRDefault="00CC01EB" w:rsidP="00AC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67" w:rsidRDefault="001517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B8E" w:rsidRDefault="0015176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-153035</wp:posOffset>
          </wp:positionV>
          <wp:extent cx="790575" cy="323850"/>
          <wp:effectExtent l="0" t="0" r="9525" b="0"/>
          <wp:wrapNone/>
          <wp:docPr id="5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67" w:rsidRDefault="00151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1EB" w:rsidRDefault="00CC01EB" w:rsidP="00AC4F63">
      <w:pPr>
        <w:spacing w:after="0" w:line="240" w:lineRule="auto"/>
      </w:pPr>
      <w:r>
        <w:separator/>
      </w:r>
    </w:p>
  </w:footnote>
  <w:footnote w:type="continuationSeparator" w:id="0">
    <w:p w:rsidR="00CC01EB" w:rsidRDefault="00CC01EB" w:rsidP="00AC4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67" w:rsidRDefault="001517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67" w:rsidRDefault="001517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767" w:rsidRDefault="001517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E76F3"/>
    <w:multiLevelType w:val="hybridMultilevel"/>
    <w:tmpl w:val="175E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A5"/>
    <w:rsid w:val="000A5A84"/>
    <w:rsid w:val="00151767"/>
    <w:rsid w:val="004D66E8"/>
    <w:rsid w:val="00525EA5"/>
    <w:rsid w:val="005A23DE"/>
    <w:rsid w:val="00790770"/>
    <w:rsid w:val="0087352F"/>
    <w:rsid w:val="00AC4F63"/>
    <w:rsid w:val="00C413FC"/>
    <w:rsid w:val="00CC01EB"/>
    <w:rsid w:val="00C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E"/>
  </w:style>
  <w:style w:type="paragraph" w:styleId="Footer">
    <w:name w:val="footer"/>
    <w:basedOn w:val="Normal"/>
    <w:link w:val="FooterChar"/>
    <w:uiPriority w:val="99"/>
    <w:unhideWhenUsed/>
    <w:rsid w:val="00CF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E"/>
  </w:style>
  <w:style w:type="paragraph" w:styleId="BalloonText">
    <w:name w:val="Balloon Text"/>
    <w:basedOn w:val="Normal"/>
    <w:link w:val="BalloonTextChar"/>
    <w:uiPriority w:val="99"/>
    <w:semiHidden/>
    <w:unhideWhenUsed/>
    <w:rsid w:val="00CF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E"/>
  </w:style>
  <w:style w:type="paragraph" w:styleId="Footer">
    <w:name w:val="footer"/>
    <w:basedOn w:val="Normal"/>
    <w:link w:val="FooterChar"/>
    <w:uiPriority w:val="99"/>
    <w:unhideWhenUsed/>
    <w:rsid w:val="00CF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E"/>
  </w:style>
  <w:style w:type="paragraph" w:styleId="BalloonText">
    <w:name w:val="Balloon Text"/>
    <w:basedOn w:val="Normal"/>
    <w:link w:val="BalloonTextChar"/>
    <w:uiPriority w:val="99"/>
    <w:semiHidden/>
    <w:unhideWhenUsed/>
    <w:rsid w:val="00CF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11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918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48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60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47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65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62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0A092356-F3AE-4D39-953E-21C93E45305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5</cp:revision>
  <dcterms:created xsi:type="dcterms:W3CDTF">2018-12-11T22:24:00Z</dcterms:created>
  <dcterms:modified xsi:type="dcterms:W3CDTF">2018-12-11T23:05:00Z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fac3b689-eeb1-4a11-9966-fbec041bd406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