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56411" w14:textId="3ADE542E" w:rsidR="005B04F3" w:rsidRPr="00CF497E" w:rsidRDefault="00FE7A91" w:rsidP="00FE7A91">
      <w:pPr>
        <w:jc w:val="center"/>
        <w:rPr>
          <w:rFonts w:ascii="Arial" w:hAnsi="Arial" w:cs="Arial"/>
          <w:b/>
          <w:bCs/>
          <w:sz w:val="28"/>
          <w:szCs w:val="28"/>
        </w:rPr>
      </w:pPr>
      <w:r w:rsidRPr="00CF497E">
        <w:rPr>
          <w:rFonts w:ascii="Arial" w:hAnsi="Arial" w:cs="Arial"/>
          <w:b/>
          <w:bCs/>
          <w:sz w:val="28"/>
          <w:szCs w:val="28"/>
        </w:rPr>
        <w:t>Cook’s Distance / Cook’s D</w:t>
      </w:r>
    </w:p>
    <w:p w14:paraId="2F606A35" w14:textId="071BE0D1" w:rsidR="00FE7A91" w:rsidRPr="00CF497E" w:rsidRDefault="00FE7A91" w:rsidP="00FE7A91">
      <w:pPr>
        <w:jc w:val="center"/>
        <w:rPr>
          <w:rFonts w:ascii="Arial" w:hAnsi="Arial" w:cs="Arial"/>
          <w:b/>
          <w:bCs/>
          <w:sz w:val="28"/>
          <w:szCs w:val="28"/>
        </w:rPr>
      </w:pPr>
      <w:r w:rsidRPr="00CF497E">
        <w:rPr>
          <w:rFonts w:ascii="Arial" w:hAnsi="Arial" w:cs="Arial"/>
          <w:b/>
          <w:bCs/>
          <w:sz w:val="28"/>
          <w:szCs w:val="28"/>
        </w:rPr>
        <w:tab/>
      </w:r>
      <w:r w:rsidRPr="00CF497E">
        <w:rPr>
          <w:rFonts w:ascii="Arial" w:hAnsi="Arial" w:cs="Arial"/>
          <w:b/>
          <w:bCs/>
          <w:sz w:val="28"/>
          <w:szCs w:val="28"/>
        </w:rPr>
        <w:tab/>
      </w:r>
    </w:p>
    <w:p w14:paraId="4622CD31" w14:textId="7E3875B9" w:rsidR="00FE7A91" w:rsidRPr="00CF497E" w:rsidRDefault="00FE7A91" w:rsidP="00FE7A91">
      <w:pPr>
        <w:pStyle w:val="ListParagraph"/>
        <w:numPr>
          <w:ilvl w:val="0"/>
          <w:numId w:val="1"/>
        </w:numPr>
        <w:rPr>
          <w:rFonts w:ascii="Arial" w:hAnsi="Arial" w:cs="Arial"/>
        </w:rPr>
      </w:pPr>
      <w:r w:rsidRPr="00CF497E">
        <w:rPr>
          <w:rFonts w:ascii="Arial" w:hAnsi="Arial" w:cs="Arial"/>
        </w:rPr>
        <w:t>Cook’s distance or Cook’s D is a commonly used estimate of the influence of a data point when performing least squares regression analysis.</w:t>
      </w:r>
    </w:p>
    <w:p w14:paraId="538C6939" w14:textId="1EBF03CE" w:rsidR="00FE7A91" w:rsidRPr="00CF497E" w:rsidRDefault="00FE7A91" w:rsidP="00FE7A91">
      <w:pPr>
        <w:pStyle w:val="ListParagraph"/>
        <w:numPr>
          <w:ilvl w:val="0"/>
          <w:numId w:val="1"/>
        </w:numPr>
        <w:rPr>
          <w:rFonts w:ascii="Arial" w:hAnsi="Arial" w:cs="Arial"/>
        </w:rPr>
      </w:pPr>
      <w:r w:rsidRPr="00CF497E">
        <w:rPr>
          <w:rFonts w:ascii="Arial" w:hAnsi="Arial" w:cs="Arial"/>
        </w:rPr>
        <w:t>Cook’s distance is useful for identifying outliers in the X values (observations for predictor variables). It also shows the influence of each observation on the fitted response values.</w:t>
      </w:r>
    </w:p>
    <w:p w14:paraId="4E46F9C7" w14:textId="77777777" w:rsidR="00CD01B9" w:rsidRPr="00CF497E" w:rsidRDefault="00CD01B9" w:rsidP="00CD01B9">
      <w:pPr>
        <w:rPr>
          <w:rFonts w:ascii="Arial" w:hAnsi="Arial" w:cs="Arial"/>
        </w:rPr>
      </w:pPr>
      <w:r w:rsidRPr="00CF497E">
        <w:rPr>
          <w:rFonts w:ascii="Arial" w:hAnsi="Arial" w:cs="Arial"/>
        </w:rPr>
        <w:t>Cook’s Distance Formula</w:t>
      </w:r>
    </w:p>
    <w:p w14:paraId="13E91419" w14:textId="77777777" w:rsidR="00CD01B9" w:rsidRPr="00CF497E" w:rsidRDefault="00CD01B9" w:rsidP="00CD01B9">
      <w:pPr>
        <w:rPr>
          <w:rFonts w:ascii="Arial" w:hAnsi="Arial" w:cs="Arial"/>
        </w:rPr>
      </w:pPr>
      <w:r w:rsidRPr="00CF497E">
        <w:rPr>
          <w:rFonts w:ascii="Arial" w:hAnsi="Arial" w:cs="Arial"/>
        </w:rPr>
        <w:t>Cook’s D is a good measure of the influence of an observation and is proportional to the sum of the squared differences between predictions made with all observations in the analysis and predictions made leaving out the observation in question.</w:t>
      </w:r>
    </w:p>
    <w:p w14:paraId="6FB4BD86" w14:textId="77777777" w:rsidR="00CD01B9" w:rsidRPr="00CF497E" w:rsidRDefault="00CD01B9" w:rsidP="00CD01B9">
      <w:pPr>
        <w:rPr>
          <w:rFonts w:ascii="Arial" w:hAnsi="Arial" w:cs="Arial"/>
        </w:rPr>
      </w:pPr>
    </w:p>
    <w:p w14:paraId="03D7B199" w14:textId="77777777" w:rsidR="00CD01B9" w:rsidRPr="00CF497E" w:rsidRDefault="00CD01B9" w:rsidP="00CD01B9">
      <w:pPr>
        <w:rPr>
          <w:rFonts w:ascii="Arial" w:hAnsi="Arial" w:cs="Arial"/>
        </w:rPr>
      </w:pPr>
      <w:r w:rsidRPr="00CF497E">
        <w:rPr>
          <w:rFonts w:ascii="Arial" w:hAnsi="Arial" w:cs="Arial"/>
        </w:rPr>
        <w:t>It is calculated as:</w:t>
      </w:r>
    </w:p>
    <w:p w14:paraId="11ED8720" w14:textId="4CEBB28E" w:rsidR="00CD01B9" w:rsidRPr="00CF497E" w:rsidRDefault="00CD01B9" w:rsidP="00CD01B9">
      <w:pPr>
        <w:jc w:val="center"/>
        <w:rPr>
          <w:rFonts w:ascii="Arial" w:hAnsi="Arial" w:cs="Arial"/>
        </w:rPr>
      </w:pPr>
      <w:r w:rsidRPr="00CF497E">
        <w:rPr>
          <w:rFonts w:ascii="Arial" w:hAnsi="Arial" w:cs="Arial"/>
          <w:noProof/>
        </w:rPr>
        <w:drawing>
          <wp:inline distT="0" distB="0" distL="0" distR="0" wp14:anchorId="092DC549" wp14:editId="5AC987C3">
            <wp:extent cx="3048000" cy="134520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0385" t="43685" r="40491" b="41311"/>
                    <a:stretch/>
                  </pic:blipFill>
                  <pic:spPr bwMode="auto">
                    <a:xfrm>
                      <a:off x="0" y="0"/>
                      <a:ext cx="3066973" cy="1353581"/>
                    </a:xfrm>
                    <a:prstGeom prst="rect">
                      <a:avLst/>
                    </a:prstGeom>
                    <a:ln>
                      <a:noFill/>
                    </a:ln>
                    <a:extLst>
                      <a:ext uri="{53640926-AAD7-44D8-BBD7-CCE9431645EC}">
                        <a14:shadowObscured xmlns:a14="http://schemas.microsoft.com/office/drawing/2010/main"/>
                      </a:ext>
                    </a:extLst>
                  </pic:spPr>
                </pic:pic>
              </a:graphicData>
            </a:graphic>
          </wp:inline>
        </w:drawing>
      </w:r>
    </w:p>
    <w:p w14:paraId="51F42CEF" w14:textId="1F6CB042" w:rsidR="00CD01B9" w:rsidRPr="00CF497E" w:rsidRDefault="00CD01B9" w:rsidP="00CD01B9">
      <w:pPr>
        <w:rPr>
          <w:rFonts w:ascii="Arial" w:hAnsi="Arial" w:cs="Arial"/>
        </w:rPr>
      </w:pPr>
    </w:p>
    <w:p w14:paraId="27B288E1" w14:textId="77777777" w:rsidR="00CD01B9" w:rsidRPr="00CF497E" w:rsidRDefault="00CD01B9" w:rsidP="00CD01B9">
      <w:pPr>
        <w:rPr>
          <w:rFonts w:ascii="Arial" w:hAnsi="Arial" w:cs="Arial"/>
        </w:rPr>
      </w:pPr>
    </w:p>
    <w:p w14:paraId="606589A6" w14:textId="7838AC40" w:rsidR="00CD01B9" w:rsidRPr="00CF497E" w:rsidRDefault="00CD01B9" w:rsidP="00CD01B9">
      <w:pPr>
        <w:rPr>
          <w:rFonts w:ascii="Arial" w:hAnsi="Arial" w:cs="Arial"/>
        </w:rPr>
      </w:pPr>
      <w:r w:rsidRPr="00CF497E">
        <w:rPr>
          <w:rFonts w:ascii="Arial" w:hAnsi="Arial" w:cs="Arial"/>
        </w:rPr>
        <w:t>Where:</w:t>
      </w:r>
    </w:p>
    <w:p w14:paraId="325E99E5" w14:textId="77777777" w:rsidR="00CD01B9" w:rsidRPr="00CF497E" w:rsidRDefault="00CD01B9" w:rsidP="00CD01B9">
      <w:pPr>
        <w:rPr>
          <w:rFonts w:ascii="Arial" w:hAnsi="Arial" w:cs="Arial"/>
        </w:rPr>
      </w:pPr>
    </w:p>
    <w:p w14:paraId="03B15CE5" w14:textId="5491ED05" w:rsidR="00CD01B9" w:rsidRPr="00CF497E" w:rsidRDefault="00CD01B9" w:rsidP="00CF497E">
      <w:pPr>
        <w:pStyle w:val="ListParagraph"/>
        <w:numPr>
          <w:ilvl w:val="0"/>
          <w:numId w:val="2"/>
        </w:numPr>
        <w:rPr>
          <w:rFonts w:ascii="Arial" w:hAnsi="Arial" w:cs="Arial"/>
        </w:rPr>
      </w:pPr>
      <w:r w:rsidRPr="00CF497E">
        <w:rPr>
          <w:rStyle w:val="mi"/>
          <w:rFonts w:ascii="Arial" w:hAnsi="Arial" w:cs="Arial"/>
          <w:color w:val="333333"/>
          <w:sz w:val="25"/>
          <w:szCs w:val="25"/>
          <w:bdr w:val="none" w:sz="0" w:space="0" w:color="auto" w:frame="1"/>
          <w:shd w:val="clear" w:color="auto" w:fill="FFFFFF"/>
        </w:rPr>
        <w:t>Y</w:t>
      </w:r>
      <w:r w:rsidRPr="00CF497E">
        <w:rPr>
          <w:rStyle w:val="mo"/>
          <w:rFonts w:ascii="Arial" w:hAnsi="Arial" w:cs="Arial"/>
          <w:color w:val="333333"/>
          <w:sz w:val="25"/>
          <w:szCs w:val="25"/>
          <w:bdr w:val="none" w:sz="0" w:space="0" w:color="auto" w:frame="1"/>
          <w:shd w:val="clear" w:color="auto" w:fill="FFFFFF"/>
        </w:rPr>
        <w:t>^</w:t>
      </w:r>
      <w:r w:rsidRPr="00CF497E">
        <w:rPr>
          <w:rStyle w:val="mi"/>
          <w:rFonts w:ascii="Arial" w:hAnsi="Arial" w:cs="Arial"/>
          <w:color w:val="333333"/>
          <w:sz w:val="18"/>
          <w:szCs w:val="18"/>
          <w:bdr w:val="none" w:sz="0" w:space="0" w:color="auto" w:frame="1"/>
          <w:shd w:val="clear" w:color="auto" w:fill="FFFFFF"/>
        </w:rPr>
        <w:t>j</w:t>
      </w:r>
      <w:r w:rsidRPr="00CF497E">
        <w:rPr>
          <w:rFonts w:ascii="Arial" w:hAnsi="Arial" w:cs="Arial"/>
        </w:rPr>
        <w:t>, is the prediction from the full regression model for observation j;</w:t>
      </w:r>
    </w:p>
    <w:p w14:paraId="72141560" w14:textId="4F42AB14" w:rsidR="00CD01B9" w:rsidRPr="00CF497E" w:rsidRDefault="00CD01B9" w:rsidP="00CF497E">
      <w:pPr>
        <w:pStyle w:val="ListParagraph"/>
        <w:numPr>
          <w:ilvl w:val="0"/>
          <w:numId w:val="2"/>
        </w:numPr>
        <w:rPr>
          <w:rFonts w:ascii="Arial" w:hAnsi="Arial" w:cs="Arial"/>
        </w:rPr>
      </w:pPr>
      <w:r w:rsidRPr="00CF497E">
        <w:rPr>
          <w:rStyle w:val="mi"/>
          <w:rFonts w:ascii="Arial" w:hAnsi="Arial" w:cs="Arial"/>
          <w:color w:val="333333"/>
          <w:sz w:val="25"/>
          <w:szCs w:val="25"/>
          <w:bdr w:val="none" w:sz="0" w:space="0" w:color="auto" w:frame="1"/>
          <w:shd w:val="clear" w:color="auto" w:fill="FFFFFF"/>
        </w:rPr>
        <w:t>Y</w:t>
      </w:r>
      <w:r w:rsidRPr="00CF497E">
        <w:rPr>
          <w:rStyle w:val="mo"/>
          <w:rFonts w:ascii="Arial" w:hAnsi="Arial" w:cs="Arial"/>
          <w:color w:val="333333"/>
          <w:sz w:val="25"/>
          <w:szCs w:val="25"/>
          <w:bdr w:val="none" w:sz="0" w:space="0" w:color="auto" w:frame="1"/>
          <w:shd w:val="clear" w:color="auto" w:fill="FFFFFF"/>
        </w:rPr>
        <w:t>^</w:t>
      </w:r>
      <w:r w:rsidRPr="00CF497E">
        <w:rPr>
          <w:rStyle w:val="mi"/>
          <w:rFonts w:ascii="Arial" w:hAnsi="Arial" w:cs="Arial"/>
          <w:color w:val="333333"/>
          <w:sz w:val="18"/>
          <w:szCs w:val="18"/>
          <w:bdr w:val="none" w:sz="0" w:space="0" w:color="auto" w:frame="1"/>
          <w:shd w:val="clear" w:color="auto" w:fill="FFFFFF"/>
        </w:rPr>
        <w:t>j</w:t>
      </w:r>
      <w:r w:rsidRPr="00CF497E">
        <w:rPr>
          <w:rStyle w:val="mo"/>
          <w:rFonts w:ascii="Arial" w:hAnsi="Arial" w:cs="Arial"/>
          <w:color w:val="333333"/>
          <w:sz w:val="18"/>
          <w:szCs w:val="18"/>
          <w:bdr w:val="none" w:sz="0" w:space="0" w:color="auto" w:frame="1"/>
          <w:shd w:val="clear" w:color="auto" w:fill="FFFFFF"/>
        </w:rPr>
        <w:t>(</w:t>
      </w:r>
      <w:r w:rsidRPr="00CF497E">
        <w:rPr>
          <w:rStyle w:val="mi"/>
          <w:rFonts w:ascii="Arial" w:hAnsi="Arial" w:cs="Arial"/>
          <w:color w:val="333333"/>
          <w:sz w:val="18"/>
          <w:szCs w:val="18"/>
          <w:bdr w:val="none" w:sz="0" w:space="0" w:color="auto" w:frame="1"/>
          <w:shd w:val="clear" w:color="auto" w:fill="FFFFFF"/>
        </w:rPr>
        <w:t>i</w:t>
      </w:r>
      <w:r w:rsidRPr="00CF497E">
        <w:rPr>
          <w:rStyle w:val="mo"/>
          <w:rFonts w:ascii="Arial" w:hAnsi="Arial" w:cs="Arial"/>
          <w:color w:val="333333"/>
          <w:sz w:val="18"/>
          <w:szCs w:val="18"/>
          <w:bdr w:val="none" w:sz="0" w:space="0" w:color="auto" w:frame="1"/>
          <w:shd w:val="clear" w:color="auto" w:fill="FFFFFF"/>
        </w:rPr>
        <w:t>)</w:t>
      </w:r>
      <w:r w:rsidR="00CF497E">
        <w:rPr>
          <w:rStyle w:val="mo"/>
          <w:rFonts w:ascii="Arial" w:hAnsi="Arial" w:cs="Arial"/>
          <w:color w:val="333333"/>
          <w:sz w:val="18"/>
          <w:szCs w:val="18"/>
          <w:bdr w:val="none" w:sz="0" w:space="0" w:color="auto" w:frame="1"/>
          <w:shd w:val="clear" w:color="auto" w:fill="FFFFFF"/>
        </w:rPr>
        <w:t xml:space="preserve"> </w:t>
      </w:r>
      <w:r w:rsidRPr="00CF497E">
        <w:rPr>
          <w:rFonts w:ascii="Arial" w:hAnsi="Arial" w:cs="Arial"/>
        </w:rPr>
        <w:t>is the prediction for observation j from a refitted regression model in which observation i has been omitted.</w:t>
      </w:r>
    </w:p>
    <w:p w14:paraId="131D1A7C" w14:textId="7C2790BA" w:rsidR="00CD01B9" w:rsidRPr="00CF497E" w:rsidRDefault="00CD01B9" w:rsidP="00CF497E">
      <w:pPr>
        <w:pStyle w:val="ListParagraph"/>
        <w:numPr>
          <w:ilvl w:val="0"/>
          <w:numId w:val="2"/>
        </w:numPr>
        <w:rPr>
          <w:rFonts w:ascii="Arial" w:hAnsi="Arial" w:cs="Arial"/>
        </w:rPr>
      </w:pPr>
      <w:r w:rsidRPr="00CF497E">
        <w:rPr>
          <w:rFonts w:ascii="Arial" w:hAnsi="Arial" w:cs="Arial"/>
          <w:color w:val="333333"/>
          <w:sz w:val="25"/>
          <w:szCs w:val="25"/>
          <w:shd w:val="clear" w:color="auto" w:fill="FFFFFF"/>
        </w:rPr>
        <w:t>p</w:t>
      </w:r>
      <w:r w:rsidRPr="00CF497E">
        <w:rPr>
          <w:rFonts w:ascii="Arial" w:hAnsi="Arial" w:cs="Arial"/>
        </w:rPr>
        <w:t xml:space="preserve"> is the number of fitted parameters in the model;</w:t>
      </w:r>
    </w:p>
    <w:p w14:paraId="02883FAA" w14:textId="52050A2C" w:rsidR="00CD01B9" w:rsidRPr="00CF497E" w:rsidRDefault="00CD01B9" w:rsidP="00561BC4">
      <w:pPr>
        <w:pStyle w:val="ListParagraph"/>
        <w:numPr>
          <w:ilvl w:val="0"/>
          <w:numId w:val="2"/>
        </w:numPr>
        <w:rPr>
          <w:rFonts w:ascii="Arial" w:hAnsi="Arial" w:cs="Arial"/>
        </w:rPr>
      </w:pPr>
      <w:r w:rsidRPr="00CF497E">
        <w:rPr>
          <w:rFonts w:ascii="Arial" w:hAnsi="Arial" w:cs="Arial"/>
        </w:rPr>
        <w:t>$ $, is the mean square error of the regression model.</w:t>
      </w:r>
    </w:p>
    <w:p w14:paraId="7E3C5838" w14:textId="424C41E1" w:rsidR="00CD01B9" w:rsidRPr="00CF497E" w:rsidRDefault="00CD01B9" w:rsidP="00CD01B9">
      <w:pPr>
        <w:rPr>
          <w:rFonts w:ascii="Arial" w:hAnsi="Arial" w:cs="Arial"/>
        </w:rPr>
      </w:pPr>
      <w:r w:rsidRPr="00CF497E">
        <w:rPr>
          <w:rFonts w:ascii="Arial" w:hAnsi="Arial" w:cs="Arial"/>
        </w:rPr>
        <w:t>For the case of simple linear regression, the following are the algebraically equivalent expressions</w:t>
      </w:r>
    </w:p>
    <w:p w14:paraId="2ECBC9A8" w14:textId="4C79FB6B" w:rsidR="00CD01B9" w:rsidRPr="00CF497E" w:rsidRDefault="00CD01B9" w:rsidP="00CD01B9">
      <w:pPr>
        <w:rPr>
          <w:rFonts w:ascii="Arial" w:hAnsi="Arial" w:cs="Arial"/>
        </w:rPr>
      </w:pPr>
      <w:r w:rsidRPr="00CF497E">
        <w:rPr>
          <w:rFonts w:ascii="Arial" w:hAnsi="Arial" w:cs="Arial"/>
        </w:rPr>
        <w:t>where:</w:t>
      </w:r>
      <w:r w:rsidRPr="00CF497E">
        <w:rPr>
          <w:rFonts w:ascii="Arial" w:hAnsi="Arial" w:cs="Arial"/>
          <w:noProof/>
        </w:rPr>
        <w:t xml:space="preserve"> </w:t>
      </w:r>
    </w:p>
    <w:p w14:paraId="5B04013B" w14:textId="0D9C91E9" w:rsidR="00CD01B9" w:rsidRPr="00CF497E" w:rsidRDefault="00CD01B9" w:rsidP="00CD01B9">
      <w:pPr>
        <w:jc w:val="center"/>
        <w:rPr>
          <w:rFonts w:ascii="Arial" w:hAnsi="Arial" w:cs="Arial"/>
        </w:rPr>
      </w:pPr>
      <w:r w:rsidRPr="00CF497E">
        <w:rPr>
          <w:rFonts w:ascii="Arial" w:hAnsi="Arial" w:cs="Arial"/>
          <w:noProof/>
        </w:rPr>
        <w:drawing>
          <wp:inline distT="0" distB="0" distL="0" distR="0" wp14:anchorId="4A964713" wp14:editId="6F96768A">
            <wp:extent cx="2060864"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5897" t="45014" r="38676" b="38271"/>
                    <a:stretch/>
                  </pic:blipFill>
                  <pic:spPr bwMode="auto">
                    <a:xfrm>
                      <a:off x="0" y="0"/>
                      <a:ext cx="2060864" cy="762000"/>
                    </a:xfrm>
                    <a:prstGeom prst="rect">
                      <a:avLst/>
                    </a:prstGeom>
                    <a:ln>
                      <a:noFill/>
                    </a:ln>
                    <a:extLst>
                      <a:ext uri="{53640926-AAD7-44D8-BBD7-CCE9431645EC}">
                        <a14:shadowObscured xmlns:a14="http://schemas.microsoft.com/office/drawing/2010/main"/>
                      </a:ext>
                    </a:extLst>
                  </pic:spPr>
                </pic:pic>
              </a:graphicData>
            </a:graphic>
          </wp:inline>
        </w:drawing>
      </w:r>
    </w:p>
    <w:p w14:paraId="5417C57D" w14:textId="691E6CD9" w:rsidR="00CD01B9" w:rsidRPr="00CF497E" w:rsidRDefault="00CF497E" w:rsidP="00CF497E">
      <w:pPr>
        <w:pStyle w:val="ListParagraph"/>
        <w:numPr>
          <w:ilvl w:val="0"/>
          <w:numId w:val="3"/>
        </w:numPr>
        <w:rPr>
          <w:rFonts w:ascii="Arial" w:hAnsi="Arial" w:cs="Arial"/>
        </w:rPr>
      </w:pPr>
      <w:r>
        <w:rPr>
          <w:rStyle w:val="mi"/>
          <w:rFonts w:ascii="Arial" w:hAnsi="Arial" w:cs="Arial"/>
          <w:color w:val="333333"/>
          <w:sz w:val="25"/>
          <w:szCs w:val="25"/>
          <w:bdr w:val="none" w:sz="0" w:space="0" w:color="auto" w:frame="1"/>
          <w:shd w:val="clear" w:color="auto" w:fill="FFFFFF"/>
        </w:rPr>
        <w:lastRenderedPageBreak/>
        <w:t>h</w:t>
      </w:r>
      <w:r w:rsidRPr="00CF497E">
        <w:rPr>
          <w:rStyle w:val="mi"/>
          <w:rFonts w:ascii="Arial" w:hAnsi="Arial" w:cs="Arial"/>
          <w:color w:val="333333"/>
          <w:sz w:val="18"/>
          <w:szCs w:val="18"/>
          <w:bdr w:val="none" w:sz="0" w:space="0" w:color="auto" w:frame="1"/>
          <w:shd w:val="clear" w:color="auto" w:fill="FFFFFF"/>
        </w:rPr>
        <w:t>ii</w:t>
      </w:r>
      <w:r>
        <w:rPr>
          <w:rStyle w:val="mi"/>
          <w:rFonts w:ascii="Arial" w:hAnsi="Arial" w:cs="Arial"/>
          <w:color w:val="333333"/>
          <w:sz w:val="18"/>
          <w:szCs w:val="18"/>
          <w:bdr w:val="none" w:sz="0" w:space="0" w:color="auto" w:frame="1"/>
          <w:shd w:val="clear" w:color="auto" w:fill="FFFFFF"/>
        </w:rPr>
        <w:t>,</w:t>
      </w:r>
      <w:r w:rsidRPr="00CF497E">
        <w:rPr>
          <w:rFonts w:ascii="Arial" w:hAnsi="Arial" w:cs="Arial"/>
        </w:rPr>
        <w:t xml:space="preserve"> </w:t>
      </w:r>
      <w:r w:rsidR="00CD01B9" w:rsidRPr="00CF497E">
        <w:rPr>
          <w:rFonts w:ascii="Arial" w:hAnsi="Arial" w:cs="Arial"/>
        </w:rPr>
        <w:t>is the leverage, i.e., the i-th diagonal element of the hat matrix</w:t>
      </w:r>
    </w:p>
    <w:p w14:paraId="06934E88" w14:textId="12DC19DB" w:rsidR="00CF497E" w:rsidRDefault="00CF497E" w:rsidP="00CF497E">
      <w:pPr>
        <w:pStyle w:val="ListParagraph"/>
        <w:rPr>
          <w:rStyle w:val="mi"/>
          <w:rFonts w:ascii="Arial" w:hAnsi="Arial" w:cs="Arial"/>
        </w:rPr>
      </w:pPr>
    </w:p>
    <w:p w14:paraId="20D8B47C" w14:textId="486B59A6" w:rsidR="00CF497E" w:rsidRDefault="00CF497E" w:rsidP="00CF497E">
      <w:pPr>
        <w:pStyle w:val="ListParagraph"/>
        <w:jc w:val="center"/>
        <w:rPr>
          <w:rStyle w:val="mi"/>
          <w:rFonts w:ascii="Arial" w:hAnsi="Arial" w:cs="Arial"/>
        </w:rPr>
      </w:pPr>
      <w:r>
        <w:rPr>
          <w:rFonts w:ascii="Arial" w:hAnsi="Arial" w:cs="Arial"/>
          <w:noProof/>
        </w:rPr>
        <w:drawing>
          <wp:inline distT="0" distB="0" distL="0" distR="0" wp14:anchorId="595B0900" wp14:editId="753277AB">
            <wp:extent cx="1441524" cy="393720"/>
            <wp:effectExtent l="0" t="0" r="6350" b="6350"/>
            <wp:docPr id="3" name="Picture 3" descr="A black tex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text with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41524" cy="393720"/>
                    </a:xfrm>
                    <a:prstGeom prst="rect">
                      <a:avLst/>
                    </a:prstGeom>
                  </pic:spPr>
                </pic:pic>
              </a:graphicData>
            </a:graphic>
          </wp:inline>
        </w:drawing>
      </w:r>
    </w:p>
    <w:p w14:paraId="326D2658" w14:textId="2064DD5B" w:rsidR="00CF497E" w:rsidRDefault="00CF497E" w:rsidP="00CF497E">
      <w:pPr>
        <w:pStyle w:val="ListParagraph"/>
        <w:rPr>
          <w:rStyle w:val="mi"/>
          <w:rFonts w:ascii="Arial" w:hAnsi="Arial" w:cs="Arial"/>
        </w:rPr>
      </w:pPr>
    </w:p>
    <w:p w14:paraId="588CA84D" w14:textId="77777777" w:rsidR="00CF497E" w:rsidRPr="00CF497E" w:rsidRDefault="00CF497E" w:rsidP="00CF497E">
      <w:pPr>
        <w:pStyle w:val="ListParagraph"/>
        <w:rPr>
          <w:rStyle w:val="mi"/>
          <w:rFonts w:ascii="Arial" w:hAnsi="Arial" w:cs="Arial"/>
        </w:rPr>
      </w:pPr>
    </w:p>
    <w:p w14:paraId="2101C7BC" w14:textId="41B935B1" w:rsidR="00FE7A91" w:rsidRDefault="00CF497E" w:rsidP="00CF497E">
      <w:pPr>
        <w:pStyle w:val="ListParagraph"/>
        <w:numPr>
          <w:ilvl w:val="0"/>
          <w:numId w:val="3"/>
        </w:numPr>
        <w:rPr>
          <w:rFonts w:ascii="Arial" w:hAnsi="Arial" w:cs="Arial"/>
        </w:rPr>
      </w:pPr>
      <w:r w:rsidRPr="00CF497E">
        <w:rPr>
          <w:rStyle w:val="mi"/>
          <w:rFonts w:ascii="Arial" w:hAnsi="Arial" w:cs="Arial"/>
          <w:color w:val="333333"/>
          <w:sz w:val="25"/>
          <w:szCs w:val="25"/>
          <w:bdr w:val="none" w:sz="0" w:space="0" w:color="auto" w:frame="1"/>
          <w:shd w:val="clear" w:color="auto" w:fill="FFFFFF"/>
        </w:rPr>
        <w:t>e</w:t>
      </w:r>
      <w:r w:rsidRPr="00CF497E">
        <w:rPr>
          <w:rStyle w:val="mi"/>
          <w:rFonts w:ascii="Arial" w:hAnsi="Arial" w:cs="Arial"/>
          <w:color w:val="333333"/>
          <w:sz w:val="18"/>
          <w:szCs w:val="18"/>
          <w:bdr w:val="none" w:sz="0" w:space="0" w:color="auto" w:frame="1"/>
          <w:shd w:val="clear" w:color="auto" w:fill="FFFFFF"/>
        </w:rPr>
        <w:t>i</w:t>
      </w:r>
      <w:r w:rsidR="00CD01B9" w:rsidRPr="00CF497E">
        <w:rPr>
          <w:rFonts w:ascii="Arial" w:hAnsi="Arial" w:cs="Arial"/>
        </w:rPr>
        <w:t>, is the residual (i.e., the difference between the observed value and the value fitted by the proposed model).</w:t>
      </w:r>
    </w:p>
    <w:p w14:paraId="794D95E6" w14:textId="60E34D76" w:rsidR="00DF1521" w:rsidRDefault="00DF1521" w:rsidP="00DF1521">
      <w:pPr>
        <w:rPr>
          <w:rFonts w:ascii="Arial" w:hAnsi="Arial" w:cs="Arial"/>
        </w:rPr>
      </w:pPr>
    </w:p>
    <w:p w14:paraId="0B1F98CA" w14:textId="77777777" w:rsidR="00DF1521" w:rsidRPr="00DF1521" w:rsidRDefault="00DF1521" w:rsidP="00DF1521">
      <w:pPr>
        <w:rPr>
          <w:rFonts w:ascii="Arial" w:hAnsi="Arial" w:cs="Arial"/>
        </w:rPr>
      </w:pPr>
    </w:p>
    <w:p w14:paraId="55E18FFA" w14:textId="77777777" w:rsidR="00CF497E" w:rsidRPr="00CF497E" w:rsidRDefault="00CF497E" w:rsidP="00CF497E">
      <w:pPr>
        <w:rPr>
          <w:rFonts w:ascii="Arial" w:hAnsi="Arial" w:cs="Arial"/>
        </w:rPr>
      </w:pPr>
    </w:p>
    <w:p w14:paraId="245DC764" w14:textId="4D8C64C5" w:rsidR="00FE7A91" w:rsidRDefault="00A02056" w:rsidP="00A02056">
      <w:pPr>
        <w:jc w:val="center"/>
        <w:rPr>
          <w:rFonts w:ascii="Arial" w:hAnsi="Arial" w:cs="Arial"/>
          <w:b/>
          <w:bCs/>
        </w:rPr>
      </w:pPr>
      <w:r w:rsidRPr="00A02056">
        <w:rPr>
          <w:rFonts w:ascii="Arial" w:hAnsi="Arial" w:cs="Arial"/>
          <w:b/>
          <w:bCs/>
        </w:rPr>
        <w:t>Proc GAM Model</w:t>
      </w:r>
    </w:p>
    <w:p w14:paraId="1E02C16B" w14:textId="6AC2F644" w:rsidR="00A02056" w:rsidRDefault="00A02056" w:rsidP="00A02056">
      <w:pPr>
        <w:jc w:val="center"/>
        <w:rPr>
          <w:rFonts w:ascii="Arial" w:hAnsi="Arial" w:cs="Arial"/>
          <w:b/>
          <w:bCs/>
        </w:rPr>
      </w:pPr>
    </w:p>
    <w:p w14:paraId="4CD70D0A" w14:textId="77777777" w:rsidR="00A02056" w:rsidRDefault="00A02056" w:rsidP="00A02056">
      <w:pPr>
        <w:rPr>
          <w:rFonts w:ascii="Arial" w:hAnsi="Arial" w:cs="Arial"/>
        </w:rPr>
      </w:pPr>
      <w:r w:rsidRPr="00A02056">
        <w:rPr>
          <w:rFonts w:ascii="Arial" w:hAnsi="Arial" w:cs="Arial"/>
        </w:rPr>
        <w:t xml:space="preserve">The MODEL statement specifies the dependent variable and the independent effects you want to use in the model. </w:t>
      </w:r>
    </w:p>
    <w:p w14:paraId="546E8B15" w14:textId="711C1637" w:rsidR="00A02056" w:rsidRDefault="00A02056" w:rsidP="00A02056">
      <w:pPr>
        <w:rPr>
          <w:rFonts w:ascii="Arial" w:hAnsi="Arial" w:cs="Arial"/>
        </w:rPr>
      </w:pPr>
      <w:r w:rsidRPr="00A02056">
        <w:rPr>
          <w:rFonts w:ascii="Arial" w:hAnsi="Arial" w:cs="Arial"/>
        </w:rPr>
        <w:t>Specify the independent parametric variables inside the parentheses of PARAM( ). The parametric variables can be either classification variables or continuous variables.</w:t>
      </w:r>
    </w:p>
    <w:p w14:paraId="5D8D3729" w14:textId="19272147" w:rsidR="00A02056" w:rsidRDefault="00A02056" w:rsidP="00A02056">
      <w:pPr>
        <w:rPr>
          <w:rFonts w:ascii="Arial" w:hAnsi="Arial" w:cs="Arial"/>
        </w:rPr>
      </w:pPr>
    </w:p>
    <w:tbl>
      <w:tblPr>
        <w:tblStyle w:val="TableGrid"/>
        <w:tblW w:w="0" w:type="auto"/>
        <w:tblLook w:val="04A0" w:firstRow="1" w:lastRow="0" w:firstColumn="1" w:lastColumn="0" w:noHBand="0" w:noVBand="1"/>
      </w:tblPr>
      <w:tblGrid>
        <w:gridCol w:w="4628"/>
        <w:gridCol w:w="4722"/>
      </w:tblGrid>
      <w:tr w:rsidR="00A02056" w14:paraId="512B3AEB" w14:textId="77777777" w:rsidTr="00A02056">
        <w:tc>
          <w:tcPr>
            <w:tcW w:w="4788" w:type="dxa"/>
          </w:tcPr>
          <w:p w14:paraId="0487035A" w14:textId="51935564" w:rsidR="00A02056" w:rsidRDefault="00A02056" w:rsidP="00A02056">
            <w:pPr>
              <w:rPr>
                <w:rFonts w:ascii="Arial" w:hAnsi="Arial" w:cs="Arial"/>
              </w:rPr>
            </w:pPr>
            <w:r w:rsidRPr="00A02056">
              <w:rPr>
                <w:rFonts w:ascii="Arial" w:hAnsi="Arial" w:cs="Arial"/>
                <w:b/>
                <w:bCs/>
              </w:rPr>
              <w:t>Smoothing Effect</w:t>
            </w:r>
          </w:p>
        </w:tc>
        <w:tc>
          <w:tcPr>
            <w:tcW w:w="4788" w:type="dxa"/>
          </w:tcPr>
          <w:p w14:paraId="4A985615" w14:textId="2364A017" w:rsidR="00A02056" w:rsidRDefault="00A02056" w:rsidP="00A02056">
            <w:pPr>
              <w:rPr>
                <w:rFonts w:ascii="Arial" w:hAnsi="Arial" w:cs="Arial"/>
              </w:rPr>
            </w:pPr>
            <w:r>
              <w:rPr>
                <w:rFonts w:ascii="Arial" w:hAnsi="Arial" w:cs="Arial"/>
              </w:rPr>
              <w:t>Description</w:t>
            </w:r>
          </w:p>
        </w:tc>
      </w:tr>
      <w:tr w:rsidR="00A02056" w14:paraId="0DD0880E" w14:textId="77777777" w:rsidTr="00A02056">
        <w:tc>
          <w:tcPr>
            <w:tcW w:w="4788" w:type="dxa"/>
          </w:tcPr>
          <w:p w14:paraId="02803AAB" w14:textId="71949B28" w:rsidR="00A02056" w:rsidRDefault="00A02056" w:rsidP="00A02056">
            <w:pPr>
              <w:rPr>
                <w:rFonts w:ascii="Arial" w:hAnsi="Arial" w:cs="Arial"/>
              </w:rPr>
            </w:pPr>
            <w:r>
              <w:rPr>
                <w:rFonts w:ascii="Arial" w:hAnsi="Arial" w:cs="Arial"/>
              </w:rPr>
              <w:t>SPLINE</w:t>
            </w:r>
          </w:p>
        </w:tc>
        <w:tc>
          <w:tcPr>
            <w:tcW w:w="4788" w:type="dxa"/>
          </w:tcPr>
          <w:p w14:paraId="75054A0F" w14:textId="77777777" w:rsidR="00A02056" w:rsidRPr="00A02056" w:rsidRDefault="00A02056" w:rsidP="00A02056">
            <w:pPr>
              <w:pStyle w:val="ListParagraph"/>
              <w:numPr>
                <w:ilvl w:val="0"/>
                <w:numId w:val="3"/>
              </w:numPr>
              <w:rPr>
                <w:rFonts w:ascii="Arial" w:hAnsi="Arial" w:cs="Arial"/>
              </w:rPr>
            </w:pPr>
            <w:r w:rsidRPr="00A02056">
              <w:rPr>
                <w:rFonts w:ascii="Arial" w:hAnsi="Arial" w:cs="Arial"/>
              </w:rPr>
              <w:t>It is used to specify non-parametric smoothing of predictor variable.</w:t>
            </w:r>
          </w:p>
          <w:p w14:paraId="01AF3280" w14:textId="77777777" w:rsidR="00A02056" w:rsidRPr="00A02056" w:rsidRDefault="00A02056" w:rsidP="00A02056">
            <w:pPr>
              <w:pStyle w:val="ListParagraph"/>
              <w:numPr>
                <w:ilvl w:val="0"/>
                <w:numId w:val="3"/>
              </w:numPr>
              <w:rPr>
                <w:rFonts w:ascii="Arial" w:hAnsi="Arial" w:cs="Arial"/>
              </w:rPr>
            </w:pPr>
            <w:r w:rsidRPr="00A02056">
              <w:rPr>
                <w:rFonts w:ascii="Arial" w:hAnsi="Arial" w:cs="Arial"/>
              </w:rPr>
              <w:t>Non-Parametric does not assume a specific mathematical form for the relationship between predictor and response.</w:t>
            </w:r>
          </w:p>
          <w:p w14:paraId="5BE0B3BA" w14:textId="77777777" w:rsidR="00A02056" w:rsidRDefault="00A02056" w:rsidP="00A02056">
            <w:pPr>
              <w:pStyle w:val="ListParagraph"/>
              <w:numPr>
                <w:ilvl w:val="0"/>
                <w:numId w:val="3"/>
              </w:numPr>
              <w:rPr>
                <w:rFonts w:ascii="Arial" w:hAnsi="Arial" w:cs="Arial"/>
              </w:rPr>
            </w:pPr>
            <w:r w:rsidRPr="00A02056">
              <w:rPr>
                <w:rFonts w:ascii="Arial" w:hAnsi="Arial" w:cs="Arial"/>
              </w:rPr>
              <w:t>It allows the data to determine the shape of the curve.</w:t>
            </w:r>
          </w:p>
          <w:p w14:paraId="0C5757D0" w14:textId="0F12BA31" w:rsidR="00A02056" w:rsidRPr="00A02056" w:rsidRDefault="00A02056" w:rsidP="00A02056">
            <w:pPr>
              <w:pStyle w:val="ListParagraph"/>
              <w:numPr>
                <w:ilvl w:val="0"/>
                <w:numId w:val="3"/>
              </w:numPr>
              <w:rPr>
                <w:rFonts w:ascii="Arial" w:hAnsi="Arial" w:cs="Arial"/>
              </w:rPr>
            </w:pPr>
            <w:r>
              <w:rPr>
                <w:rFonts w:ascii="Arial" w:hAnsi="Arial" w:cs="Arial"/>
              </w:rPr>
              <w:t>It uses technique like cubic spline or LOESS to estimate smooth curve.</w:t>
            </w:r>
          </w:p>
        </w:tc>
      </w:tr>
      <w:tr w:rsidR="00A02056" w14:paraId="223C8EE5" w14:textId="77777777" w:rsidTr="00A02056">
        <w:tc>
          <w:tcPr>
            <w:tcW w:w="4788" w:type="dxa"/>
          </w:tcPr>
          <w:p w14:paraId="1400421E" w14:textId="066FA399" w:rsidR="00A02056" w:rsidRDefault="00A02056" w:rsidP="00A02056">
            <w:pPr>
              <w:rPr>
                <w:rFonts w:ascii="Arial" w:hAnsi="Arial" w:cs="Arial"/>
              </w:rPr>
            </w:pPr>
            <w:r>
              <w:rPr>
                <w:rFonts w:ascii="Arial" w:hAnsi="Arial" w:cs="Arial"/>
              </w:rPr>
              <w:t>LOESS</w:t>
            </w:r>
          </w:p>
        </w:tc>
        <w:tc>
          <w:tcPr>
            <w:tcW w:w="4788" w:type="dxa"/>
          </w:tcPr>
          <w:p w14:paraId="68F5369A" w14:textId="6A75D255" w:rsidR="00A02056" w:rsidRDefault="00A02056" w:rsidP="00A02056">
            <w:pPr>
              <w:rPr>
                <w:rFonts w:ascii="Arial" w:hAnsi="Arial" w:cs="Arial"/>
              </w:rPr>
            </w:pPr>
            <w:r w:rsidRPr="00A02056">
              <w:rPr>
                <w:rFonts w:ascii="Arial" w:hAnsi="Arial" w:cs="Arial"/>
              </w:rPr>
              <w:t>Fits a local regression with the variable and with DF=</w:t>
            </w:r>
            <w:r w:rsidRPr="00A02056">
              <w:rPr>
                <w:rFonts w:ascii="Arial" w:hAnsi="Arial" w:cs="Arial"/>
                <w:i/>
                <w:iCs/>
              </w:rPr>
              <w:t>number</w:t>
            </w:r>
          </w:p>
        </w:tc>
      </w:tr>
      <w:tr w:rsidR="00A02056" w14:paraId="713E33E2" w14:textId="77777777" w:rsidTr="00A02056">
        <w:tc>
          <w:tcPr>
            <w:tcW w:w="4788" w:type="dxa"/>
          </w:tcPr>
          <w:p w14:paraId="0842BA5E" w14:textId="7156828D" w:rsidR="00A02056" w:rsidRDefault="00A02056" w:rsidP="00A02056">
            <w:pPr>
              <w:rPr>
                <w:rFonts w:ascii="Arial" w:hAnsi="Arial" w:cs="Arial"/>
              </w:rPr>
            </w:pPr>
            <w:r>
              <w:rPr>
                <w:rFonts w:ascii="Arial" w:hAnsi="Arial" w:cs="Arial"/>
              </w:rPr>
              <w:t>SPLINE2</w:t>
            </w:r>
          </w:p>
        </w:tc>
        <w:tc>
          <w:tcPr>
            <w:tcW w:w="4788" w:type="dxa"/>
          </w:tcPr>
          <w:p w14:paraId="02F44D18" w14:textId="06FC7DF9" w:rsidR="00A02056" w:rsidRDefault="00A02056" w:rsidP="00A02056">
            <w:pPr>
              <w:rPr>
                <w:rFonts w:ascii="Arial" w:hAnsi="Arial" w:cs="Arial"/>
              </w:rPr>
            </w:pPr>
            <w:r w:rsidRPr="00A02056">
              <w:rPr>
                <w:rFonts w:ascii="Arial" w:hAnsi="Arial" w:cs="Arial"/>
              </w:rPr>
              <w:t>Fits a bivariate thin-plate smoothing spline with </w:t>
            </w:r>
            <w:r w:rsidRPr="00A02056">
              <w:rPr>
                <w:rFonts w:ascii="Arial" w:hAnsi="Arial" w:cs="Arial"/>
                <w:i/>
                <w:iCs/>
              </w:rPr>
              <w:t>variable1</w:t>
            </w:r>
            <w:r w:rsidRPr="00A02056">
              <w:rPr>
                <w:rFonts w:ascii="Arial" w:hAnsi="Arial" w:cs="Arial"/>
              </w:rPr>
              <w:t> and </w:t>
            </w:r>
            <w:r w:rsidRPr="00A02056">
              <w:rPr>
                <w:rFonts w:ascii="Arial" w:hAnsi="Arial" w:cs="Arial"/>
                <w:i/>
                <w:iCs/>
              </w:rPr>
              <w:t>variable2</w:t>
            </w:r>
            <w:r w:rsidRPr="00A02056">
              <w:rPr>
                <w:rFonts w:ascii="Arial" w:hAnsi="Arial" w:cs="Arial"/>
              </w:rPr>
              <w:t> and with DF=</w:t>
            </w:r>
            <w:r w:rsidRPr="00A02056">
              <w:rPr>
                <w:rFonts w:ascii="Arial" w:hAnsi="Arial" w:cs="Arial"/>
                <w:i/>
                <w:iCs/>
              </w:rPr>
              <w:t>number</w:t>
            </w:r>
          </w:p>
        </w:tc>
      </w:tr>
      <w:tr w:rsidR="00A02056" w14:paraId="76AF3E1C" w14:textId="77777777" w:rsidTr="00A02056">
        <w:tc>
          <w:tcPr>
            <w:tcW w:w="4788" w:type="dxa"/>
          </w:tcPr>
          <w:p w14:paraId="581E4A69" w14:textId="2D5DE5AF" w:rsidR="00A02056" w:rsidRDefault="00A02056" w:rsidP="00A02056">
            <w:pPr>
              <w:rPr>
                <w:rFonts w:ascii="Arial" w:hAnsi="Arial" w:cs="Arial"/>
              </w:rPr>
            </w:pPr>
            <w:r>
              <w:rPr>
                <w:rFonts w:ascii="Arial" w:hAnsi="Arial" w:cs="Arial"/>
              </w:rPr>
              <w:t>PARAM</w:t>
            </w:r>
          </w:p>
        </w:tc>
        <w:tc>
          <w:tcPr>
            <w:tcW w:w="4788" w:type="dxa"/>
          </w:tcPr>
          <w:p w14:paraId="1FA91E5C" w14:textId="1824B350" w:rsidR="00A02056" w:rsidRDefault="00A02056" w:rsidP="00A02056">
            <w:pPr>
              <w:rPr>
                <w:rFonts w:ascii="Arial" w:hAnsi="Arial" w:cs="Arial"/>
              </w:rPr>
            </w:pPr>
            <w:r>
              <w:rPr>
                <w:rFonts w:ascii="Arial" w:hAnsi="Arial" w:cs="Arial"/>
              </w:rPr>
              <w:t>It specifies a parametric function for a predictor value.</w:t>
            </w:r>
          </w:p>
          <w:p w14:paraId="52FFCE77" w14:textId="13247908" w:rsidR="00A02056" w:rsidRDefault="00A02056" w:rsidP="00A02056">
            <w:pPr>
              <w:rPr>
                <w:rFonts w:ascii="Arial" w:hAnsi="Arial" w:cs="Arial"/>
              </w:rPr>
            </w:pPr>
            <w:r>
              <w:rPr>
                <w:rFonts w:ascii="Arial" w:hAnsi="Arial" w:cs="Arial"/>
              </w:rPr>
              <w:t xml:space="preserve">It assumes relationship between predictor and </w:t>
            </w:r>
          </w:p>
          <w:p w14:paraId="7943E0A0" w14:textId="65251C55" w:rsidR="00A02056" w:rsidRDefault="00A02056" w:rsidP="00A02056">
            <w:pPr>
              <w:rPr>
                <w:rFonts w:ascii="Arial" w:hAnsi="Arial" w:cs="Arial"/>
              </w:rPr>
            </w:pPr>
            <w:r>
              <w:rPr>
                <w:rFonts w:ascii="Arial" w:hAnsi="Arial" w:cs="Arial"/>
              </w:rPr>
              <w:t>Response variable follows a predefine parametric face, such as linear, quadratic or cubic</w:t>
            </w:r>
          </w:p>
          <w:p w14:paraId="1D19827A" w14:textId="775554F4" w:rsidR="00A02056" w:rsidRPr="00A02056" w:rsidRDefault="00A02056" w:rsidP="00A02056">
            <w:pPr>
              <w:rPr>
                <w:rFonts w:ascii="Arial" w:hAnsi="Arial" w:cs="Arial"/>
              </w:rPr>
            </w:pPr>
          </w:p>
        </w:tc>
      </w:tr>
    </w:tbl>
    <w:p w14:paraId="0D34723E" w14:textId="300F7902" w:rsidR="00A02056" w:rsidRDefault="00A02056" w:rsidP="00A02056">
      <w:pPr>
        <w:rPr>
          <w:rFonts w:ascii="Arial" w:hAnsi="Arial" w:cs="Arial"/>
        </w:rPr>
      </w:pPr>
    </w:p>
    <w:p w14:paraId="5CA21C50" w14:textId="52251A0E" w:rsidR="00A02056" w:rsidRDefault="00A02056" w:rsidP="00A02056">
      <w:pPr>
        <w:rPr>
          <w:rFonts w:ascii="Arial" w:hAnsi="Arial" w:cs="Arial"/>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gridCol w:w="36"/>
      </w:tblGrid>
      <w:tr w:rsidR="00A02056" w:rsidRPr="00A02056" w14:paraId="6966132B" w14:textId="77777777" w:rsidTr="00A02056">
        <w:tc>
          <w:tcPr>
            <w:tcW w:w="0" w:type="auto"/>
            <w:tcBorders>
              <w:top w:val="single" w:sz="6" w:space="0" w:color="000000"/>
            </w:tcBorders>
            <w:shd w:val="clear" w:color="auto" w:fill="EBEEF2"/>
          </w:tcPr>
          <w:p w14:paraId="432425F8" w14:textId="0EE4EF0E" w:rsidR="00A02056" w:rsidRPr="00A02056" w:rsidRDefault="00A02056" w:rsidP="00A02056">
            <w:pPr>
              <w:rPr>
                <w:rFonts w:ascii="Arial" w:hAnsi="Arial" w:cs="Arial"/>
                <w:b/>
                <w:bCs/>
              </w:rPr>
            </w:pPr>
          </w:p>
        </w:tc>
        <w:tc>
          <w:tcPr>
            <w:tcW w:w="0" w:type="auto"/>
            <w:tcBorders>
              <w:top w:val="single" w:sz="6" w:space="0" w:color="000000"/>
            </w:tcBorders>
            <w:shd w:val="clear" w:color="auto" w:fill="EBEEF2"/>
          </w:tcPr>
          <w:p w14:paraId="5CD16D97" w14:textId="1F796358" w:rsidR="00A02056" w:rsidRPr="00A02056" w:rsidRDefault="00A02056" w:rsidP="00A02056">
            <w:pPr>
              <w:rPr>
                <w:rFonts w:ascii="Arial" w:hAnsi="Arial" w:cs="Arial"/>
                <w:b/>
                <w:bCs/>
              </w:rPr>
            </w:pPr>
          </w:p>
        </w:tc>
      </w:tr>
      <w:tr w:rsidR="00A02056" w:rsidRPr="00A02056" w14:paraId="212E7CA9" w14:textId="77777777" w:rsidTr="00A02056">
        <w:tc>
          <w:tcPr>
            <w:tcW w:w="0" w:type="auto"/>
            <w:tcBorders>
              <w:top w:val="single" w:sz="6" w:space="0" w:color="000000"/>
            </w:tcBorders>
            <w:shd w:val="clear" w:color="auto" w:fill="FFFFFF"/>
          </w:tcPr>
          <w:p w14:paraId="0BFA463F" w14:textId="277BFA51" w:rsidR="00A02056" w:rsidRPr="00A02056" w:rsidRDefault="00A02056" w:rsidP="00A02056">
            <w:pPr>
              <w:rPr>
                <w:rFonts w:ascii="Arial" w:hAnsi="Arial" w:cs="Arial"/>
              </w:rPr>
            </w:pPr>
          </w:p>
        </w:tc>
        <w:tc>
          <w:tcPr>
            <w:tcW w:w="0" w:type="auto"/>
            <w:tcBorders>
              <w:top w:val="single" w:sz="6" w:space="0" w:color="000000"/>
            </w:tcBorders>
            <w:shd w:val="clear" w:color="auto" w:fill="FFFFFF"/>
          </w:tcPr>
          <w:p w14:paraId="1B658866" w14:textId="7FB39585" w:rsidR="00A02056" w:rsidRPr="00A02056" w:rsidRDefault="00A02056" w:rsidP="00A02056">
            <w:pPr>
              <w:rPr>
                <w:rFonts w:ascii="Arial" w:hAnsi="Arial" w:cs="Arial"/>
              </w:rPr>
            </w:pPr>
          </w:p>
        </w:tc>
      </w:tr>
      <w:tr w:rsidR="00A02056" w:rsidRPr="00A02056" w14:paraId="1CB4538D" w14:textId="77777777" w:rsidTr="00A02056">
        <w:tc>
          <w:tcPr>
            <w:tcW w:w="0" w:type="auto"/>
            <w:shd w:val="clear" w:color="auto" w:fill="FFFFFF"/>
          </w:tcPr>
          <w:p w14:paraId="0F711D70" w14:textId="3315DE3E" w:rsidR="00A02056" w:rsidRPr="00A02056" w:rsidRDefault="00A02056" w:rsidP="00A02056">
            <w:pPr>
              <w:rPr>
                <w:rFonts w:ascii="Arial" w:hAnsi="Arial" w:cs="Arial"/>
              </w:rPr>
            </w:pPr>
          </w:p>
        </w:tc>
        <w:tc>
          <w:tcPr>
            <w:tcW w:w="0" w:type="auto"/>
            <w:shd w:val="clear" w:color="auto" w:fill="FFFFFF"/>
          </w:tcPr>
          <w:p w14:paraId="01831474" w14:textId="5A3EB796" w:rsidR="00A02056" w:rsidRPr="00A02056" w:rsidRDefault="00A02056" w:rsidP="00A02056">
            <w:pPr>
              <w:rPr>
                <w:rFonts w:ascii="Arial" w:hAnsi="Arial" w:cs="Arial"/>
              </w:rPr>
            </w:pPr>
          </w:p>
        </w:tc>
      </w:tr>
      <w:tr w:rsidR="00A02056" w:rsidRPr="00A02056" w14:paraId="07844760" w14:textId="77777777" w:rsidTr="00A02056">
        <w:tc>
          <w:tcPr>
            <w:tcW w:w="0" w:type="auto"/>
            <w:tcBorders>
              <w:bottom w:val="single" w:sz="6" w:space="0" w:color="000000"/>
            </w:tcBorders>
            <w:shd w:val="clear" w:color="auto" w:fill="FFFFFF"/>
          </w:tcPr>
          <w:p w14:paraId="4CF5FE8C" w14:textId="1E2D67DB" w:rsidR="00A02056" w:rsidRPr="00A02056" w:rsidRDefault="00A02056" w:rsidP="00A02056">
            <w:pPr>
              <w:rPr>
                <w:rFonts w:ascii="Arial" w:hAnsi="Arial" w:cs="Arial"/>
              </w:rPr>
            </w:pPr>
          </w:p>
        </w:tc>
        <w:tc>
          <w:tcPr>
            <w:tcW w:w="0" w:type="auto"/>
            <w:tcBorders>
              <w:bottom w:val="single" w:sz="6" w:space="0" w:color="000000"/>
            </w:tcBorders>
            <w:shd w:val="clear" w:color="auto" w:fill="FFFFFF"/>
          </w:tcPr>
          <w:p w14:paraId="14331A4A" w14:textId="68FBC7D0" w:rsidR="00A02056" w:rsidRPr="00A02056" w:rsidRDefault="00A02056" w:rsidP="00A02056">
            <w:pPr>
              <w:rPr>
                <w:rFonts w:ascii="Arial" w:hAnsi="Arial" w:cs="Arial"/>
              </w:rPr>
            </w:pPr>
          </w:p>
        </w:tc>
      </w:tr>
    </w:tbl>
    <w:p w14:paraId="04CACA1B" w14:textId="77777777" w:rsidR="00A02056" w:rsidRPr="00A02056" w:rsidRDefault="00A02056" w:rsidP="00A02056">
      <w:pPr>
        <w:rPr>
          <w:rFonts w:ascii="Arial" w:hAnsi="Arial" w:cs="Arial"/>
        </w:rPr>
      </w:pPr>
    </w:p>
    <w:sectPr w:rsidR="00A02056" w:rsidRPr="00A0205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87AE6" w14:textId="77777777" w:rsidR="00B42943" w:rsidRDefault="00B42943" w:rsidP="00B42943">
      <w:pPr>
        <w:spacing w:after="0" w:line="240" w:lineRule="auto"/>
      </w:pPr>
      <w:r>
        <w:separator/>
      </w:r>
    </w:p>
  </w:endnote>
  <w:endnote w:type="continuationSeparator" w:id="0">
    <w:p w14:paraId="4B98D394" w14:textId="77777777" w:rsidR="00B42943" w:rsidRDefault="00B42943" w:rsidP="00B42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E9BA4" w14:textId="77777777" w:rsidR="00B42943" w:rsidRDefault="00B42943" w:rsidP="00B42943">
      <w:pPr>
        <w:spacing w:after="0" w:line="240" w:lineRule="auto"/>
      </w:pPr>
      <w:r>
        <w:separator/>
      </w:r>
    </w:p>
  </w:footnote>
  <w:footnote w:type="continuationSeparator" w:id="0">
    <w:p w14:paraId="6FA69CB6" w14:textId="77777777" w:rsidR="00B42943" w:rsidRDefault="00B42943" w:rsidP="00B429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AEB34" w14:textId="577452F4" w:rsidR="005B3C1B" w:rsidRDefault="005077C5">
    <w:pPr>
      <w:pStyle w:val="Header"/>
    </w:pPr>
    <w:r>
      <w:rPr>
        <w:noProof/>
      </w:rPr>
      <mc:AlternateContent>
        <mc:Choice Requires="wps">
          <w:drawing>
            <wp:anchor distT="0" distB="0" distL="114300" distR="114300" simplePos="0" relativeHeight="251658240" behindDoc="0" locked="0" layoutInCell="0" allowOverlap="1" wp14:anchorId="2E8DEF5D" wp14:editId="3560A3AF">
              <wp:simplePos x="0" y="0"/>
              <wp:positionH relativeFrom="page">
                <wp:posOffset>0</wp:posOffset>
              </wp:positionH>
              <wp:positionV relativeFrom="page">
                <wp:posOffset>190500</wp:posOffset>
              </wp:positionV>
              <wp:extent cx="7772400" cy="273685"/>
              <wp:effectExtent l="0" t="0" r="0" b="2540"/>
              <wp:wrapNone/>
              <wp:docPr id="4" name="MSIPCM53794b4ea76eafbea1c2b9b9" descr="{&quot;HashCode&quot;:1961948208,&quot;Height&quot;:792.0,&quot;Width&quot;:612.0,&quot;Placement&quot;:&quot;Head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69C1F" w14:textId="533049D2" w:rsidR="005B3C1B" w:rsidRPr="005B3C1B" w:rsidRDefault="005B3C1B" w:rsidP="005B3C1B">
                          <w:pPr>
                            <w:spacing w:after="0"/>
                            <w:rPr>
                              <w:rFonts w:ascii="Calibri" w:hAnsi="Calibri" w:cs="Calibri"/>
                              <w:color w:val="8E6A00"/>
                              <w:sz w:val="24"/>
                            </w:rPr>
                          </w:pPr>
                          <w:r w:rsidRPr="005B3C1B">
                            <w:rPr>
                              <w:rFonts w:ascii="Calibri" w:hAnsi="Calibri" w:cs="Calibri"/>
                              <w:color w:val="8E6A00"/>
                              <w:sz w:val="24"/>
                            </w:rPr>
                            <w:t>Confidential</w:t>
                          </w:r>
                        </w:p>
                      </w:txbxContent>
                    </wps:txbx>
                    <wps:bodyPr rot="0" vert="horz" wrap="square" lIns="25400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8DEF5D" id="_x0000_t202" coordsize="21600,21600" o:spt="202" path="m,l,21600r21600,l21600,xe">
              <v:stroke joinstyle="miter"/>
              <v:path gradientshapeok="t" o:connecttype="rect"/>
            </v:shapetype>
            <v:shape id="MSIPCM53794b4ea76eafbea1c2b9b9" o:spid="_x0000_s1026" type="#_x0000_t202" alt="{&quot;HashCode&quot;:1961948208,&quot;Height&quot;:792.0,&quot;Width&quot;:612.0,&quot;Placement&quot;:&quot;Header&quot;,&quot;Index&quot;:&quot;Primary&quot;,&quot;Section&quot;:1,&quot;Top&quot;:0.0,&quot;Left&quot;:0.0}" style="position:absolute;margin-left:0;margin-top:15pt;width:612pt;height:21.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" o:allowincell="f" filled="f" stroked="f">
              <v:textbox inset="20pt,0,,0">
                <w:txbxContent>
                  <w:p w14:paraId="5BD69C1F" w14:textId="533049D2" w:rsidR="005B3C1B" w:rsidRPr="005B3C1B" w:rsidRDefault="005B3C1B" w:rsidP="005B3C1B">
                    <w:pPr>
                      <w:spacing w:after="0"/>
                      <w:rPr>
                        <w:rFonts w:ascii="Calibri" w:hAnsi="Calibri" w:cs="Calibri"/>
                        <w:color w:val="8E6A00"/>
                        <w:sz w:val="24"/>
                      </w:rPr>
                    </w:pPr>
                    <w:r w:rsidRPr="005B3C1B">
                      <w:rPr>
                        <w:rFonts w:ascii="Calibri" w:hAnsi="Calibri" w:cs="Calibri"/>
                        <w:color w:val="8E6A00"/>
                        <w:sz w:val="24"/>
                      </w:rPr>
                      <w:t>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84FF8"/>
    <w:multiLevelType w:val="hybridMultilevel"/>
    <w:tmpl w:val="B65A3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0849CA"/>
    <w:multiLevelType w:val="hybridMultilevel"/>
    <w:tmpl w:val="2E5CC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845DFF"/>
    <w:multiLevelType w:val="hybridMultilevel"/>
    <w:tmpl w:val="298AF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2129428">
    <w:abstractNumId w:val="2"/>
  </w:num>
  <w:num w:numId="2" w16cid:durableId="642007949">
    <w:abstractNumId w:val="1"/>
  </w:num>
  <w:num w:numId="3" w16cid:durableId="1336420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943"/>
    <w:rsid w:val="005077C5"/>
    <w:rsid w:val="00561BC4"/>
    <w:rsid w:val="005B04F3"/>
    <w:rsid w:val="005B3C1B"/>
    <w:rsid w:val="007602D8"/>
    <w:rsid w:val="008D16BA"/>
    <w:rsid w:val="009D649D"/>
    <w:rsid w:val="00A02056"/>
    <w:rsid w:val="00B42943"/>
    <w:rsid w:val="00CD01B9"/>
    <w:rsid w:val="00CF497E"/>
    <w:rsid w:val="00D56092"/>
    <w:rsid w:val="00DF1521"/>
    <w:rsid w:val="00ED1748"/>
    <w:rsid w:val="00FE7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A278A"/>
  <w15:docId w15:val="{525AACE5-BD5B-44D9-AE2D-6AF09826B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A91"/>
    <w:pPr>
      <w:ind w:left="720"/>
      <w:contextualSpacing/>
    </w:pPr>
  </w:style>
  <w:style w:type="character" w:customStyle="1" w:styleId="mi">
    <w:name w:val="mi"/>
    <w:basedOn w:val="DefaultParagraphFont"/>
    <w:rsid w:val="00CD01B9"/>
  </w:style>
  <w:style w:type="character" w:customStyle="1" w:styleId="mo">
    <w:name w:val="mo"/>
    <w:basedOn w:val="DefaultParagraphFont"/>
    <w:rsid w:val="00CD01B9"/>
  </w:style>
  <w:style w:type="character" w:customStyle="1" w:styleId="mjxassistivemathml">
    <w:name w:val="mjx_assistive_mathml"/>
    <w:basedOn w:val="DefaultParagraphFont"/>
    <w:rsid w:val="00CF497E"/>
  </w:style>
  <w:style w:type="character" w:customStyle="1" w:styleId="mn">
    <w:name w:val="mn"/>
    <w:basedOn w:val="DefaultParagraphFont"/>
    <w:rsid w:val="00CF497E"/>
  </w:style>
  <w:style w:type="paragraph" w:styleId="Header">
    <w:name w:val="header"/>
    <w:basedOn w:val="Normal"/>
    <w:link w:val="HeaderChar"/>
    <w:uiPriority w:val="99"/>
    <w:unhideWhenUsed/>
    <w:rsid w:val="005B3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C1B"/>
  </w:style>
  <w:style w:type="paragraph" w:styleId="Footer">
    <w:name w:val="footer"/>
    <w:basedOn w:val="Normal"/>
    <w:link w:val="FooterChar"/>
    <w:uiPriority w:val="99"/>
    <w:unhideWhenUsed/>
    <w:rsid w:val="005B3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C1B"/>
  </w:style>
  <w:style w:type="table" w:styleId="TableGrid">
    <w:name w:val="Table Grid"/>
    <w:basedOn w:val="TableNormal"/>
    <w:uiPriority w:val="39"/>
    <w:rsid w:val="00A02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1045">
      <w:bodyDiv w:val="1"/>
      <w:marLeft w:val="0"/>
      <w:marRight w:val="0"/>
      <w:marTop w:val="0"/>
      <w:marBottom w:val="0"/>
      <w:divBdr>
        <w:top w:val="none" w:sz="0" w:space="0" w:color="auto"/>
        <w:left w:val="none" w:sz="0" w:space="0" w:color="auto"/>
        <w:bottom w:val="none" w:sz="0" w:space="0" w:color="auto"/>
        <w:right w:val="none" w:sz="0" w:space="0" w:color="auto"/>
      </w:divBdr>
    </w:div>
    <w:div w:id="93281833">
      <w:bodyDiv w:val="1"/>
      <w:marLeft w:val="0"/>
      <w:marRight w:val="0"/>
      <w:marTop w:val="0"/>
      <w:marBottom w:val="0"/>
      <w:divBdr>
        <w:top w:val="none" w:sz="0" w:space="0" w:color="auto"/>
        <w:left w:val="none" w:sz="0" w:space="0" w:color="auto"/>
        <w:bottom w:val="none" w:sz="0" w:space="0" w:color="auto"/>
        <w:right w:val="none" w:sz="0" w:space="0" w:color="auto"/>
      </w:divBdr>
    </w:div>
    <w:div w:id="152188737">
      <w:bodyDiv w:val="1"/>
      <w:marLeft w:val="0"/>
      <w:marRight w:val="0"/>
      <w:marTop w:val="0"/>
      <w:marBottom w:val="0"/>
      <w:divBdr>
        <w:top w:val="none" w:sz="0" w:space="0" w:color="auto"/>
        <w:left w:val="none" w:sz="0" w:space="0" w:color="auto"/>
        <w:bottom w:val="none" w:sz="0" w:space="0" w:color="auto"/>
        <w:right w:val="none" w:sz="0" w:space="0" w:color="auto"/>
      </w:divBdr>
      <w:divsChild>
        <w:div w:id="1062942611">
          <w:marLeft w:val="0"/>
          <w:marRight w:val="0"/>
          <w:marTop w:val="240"/>
          <w:marBottom w:val="240"/>
          <w:divBdr>
            <w:top w:val="none" w:sz="0" w:space="0" w:color="auto"/>
            <w:left w:val="none" w:sz="0" w:space="0" w:color="auto"/>
            <w:bottom w:val="none" w:sz="0" w:space="0" w:color="auto"/>
            <w:right w:val="none" w:sz="0" w:space="0" w:color="auto"/>
          </w:divBdr>
        </w:div>
        <w:div w:id="1192573308">
          <w:marLeft w:val="0"/>
          <w:marRight w:val="0"/>
          <w:marTop w:val="240"/>
          <w:marBottom w:val="240"/>
          <w:divBdr>
            <w:top w:val="none" w:sz="0" w:space="0" w:color="auto"/>
            <w:left w:val="none" w:sz="0" w:space="0" w:color="auto"/>
            <w:bottom w:val="none" w:sz="0" w:space="0" w:color="auto"/>
            <w:right w:val="none" w:sz="0" w:space="0" w:color="auto"/>
          </w:divBdr>
        </w:div>
        <w:div w:id="1488281662">
          <w:marLeft w:val="0"/>
          <w:marRight w:val="0"/>
          <w:marTop w:val="240"/>
          <w:marBottom w:val="240"/>
          <w:divBdr>
            <w:top w:val="none" w:sz="0" w:space="0" w:color="auto"/>
            <w:left w:val="none" w:sz="0" w:space="0" w:color="auto"/>
            <w:bottom w:val="none" w:sz="0" w:space="0" w:color="auto"/>
            <w:right w:val="none" w:sz="0" w:space="0" w:color="auto"/>
          </w:divBdr>
        </w:div>
        <w:div w:id="1641613943">
          <w:marLeft w:val="0"/>
          <w:marRight w:val="0"/>
          <w:marTop w:val="240"/>
          <w:marBottom w:val="240"/>
          <w:divBdr>
            <w:top w:val="none" w:sz="0" w:space="0" w:color="auto"/>
            <w:left w:val="none" w:sz="0" w:space="0" w:color="auto"/>
            <w:bottom w:val="none" w:sz="0" w:space="0" w:color="auto"/>
            <w:right w:val="none" w:sz="0" w:space="0" w:color="auto"/>
          </w:divBdr>
        </w:div>
      </w:divsChild>
    </w:div>
    <w:div w:id="299042653">
      <w:bodyDiv w:val="1"/>
      <w:marLeft w:val="0"/>
      <w:marRight w:val="0"/>
      <w:marTop w:val="0"/>
      <w:marBottom w:val="0"/>
      <w:divBdr>
        <w:top w:val="none" w:sz="0" w:space="0" w:color="auto"/>
        <w:left w:val="none" w:sz="0" w:space="0" w:color="auto"/>
        <w:bottom w:val="none" w:sz="0" w:space="0" w:color="auto"/>
        <w:right w:val="none" w:sz="0" w:space="0" w:color="auto"/>
      </w:divBdr>
    </w:div>
    <w:div w:id="367536061">
      <w:bodyDiv w:val="1"/>
      <w:marLeft w:val="0"/>
      <w:marRight w:val="0"/>
      <w:marTop w:val="0"/>
      <w:marBottom w:val="0"/>
      <w:divBdr>
        <w:top w:val="none" w:sz="0" w:space="0" w:color="auto"/>
        <w:left w:val="none" w:sz="0" w:space="0" w:color="auto"/>
        <w:bottom w:val="none" w:sz="0" w:space="0" w:color="auto"/>
        <w:right w:val="none" w:sz="0" w:space="0" w:color="auto"/>
      </w:divBdr>
    </w:div>
    <w:div w:id="375399809">
      <w:bodyDiv w:val="1"/>
      <w:marLeft w:val="0"/>
      <w:marRight w:val="0"/>
      <w:marTop w:val="0"/>
      <w:marBottom w:val="0"/>
      <w:divBdr>
        <w:top w:val="none" w:sz="0" w:space="0" w:color="auto"/>
        <w:left w:val="none" w:sz="0" w:space="0" w:color="auto"/>
        <w:bottom w:val="none" w:sz="0" w:space="0" w:color="auto"/>
        <w:right w:val="none" w:sz="0" w:space="0" w:color="auto"/>
      </w:divBdr>
      <w:divsChild>
        <w:div w:id="356351525">
          <w:marLeft w:val="0"/>
          <w:marRight w:val="0"/>
          <w:marTop w:val="240"/>
          <w:marBottom w:val="240"/>
          <w:divBdr>
            <w:top w:val="none" w:sz="0" w:space="0" w:color="auto"/>
            <w:left w:val="none" w:sz="0" w:space="0" w:color="auto"/>
            <w:bottom w:val="none" w:sz="0" w:space="0" w:color="auto"/>
            <w:right w:val="none" w:sz="0" w:space="0" w:color="auto"/>
          </w:divBdr>
        </w:div>
        <w:div w:id="789738358">
          <w:marLeft w:val="0"/>
          <w:marRight w:val="0"/>
          <w:marTop w:val="240"/>
          <w:marBottom w:val="240"/>
          <w:divBdr>
            <w:top w:val="none" w:sz="0" w:space="0" w:color="auto"/>
            <w:left w:val="none" w:sz="0" w:space="0" w:color="auto"/>
            <w:bottom w:val="none" w:sz="0" w:space="0" w:color="auto"/>
            <w:right w:val="none" w:sz="0" w:space="0" w:color="auto"/>
          </w:divBdr>
        </w:div>
        <w:div w:id="1545555509">
          <w:marLeft w:val="0"/>
          <w:marRight w:val="0"/>
          <w:marTop w:val="240"/>
          <w:marBottom w:val="240"/>
          <w:divBdr>
            <w:top w:val="none" w:sz="0" w:space="0" w:color="auto"/>
            <w:left w:val="none" w:sz="0" w:space="0" w:color="auto"/>
            <w:bottom w:val="none" w:sz="0" w:space="0" w:color="auto"/>
            <w:right w:val="none" w:sz="0" w:space="0" w:color="auto"/>
          </w:divBdr>
        </w:div>
        <w:div w:id="1758555617">
          <w:marLeft w:val="0"/>
          <w:marRight w:val="0"/>
          <w:marTop w:val="240"/>
          <w:marBottom w:val="240"/>
          <w:divBdr>
            <w:top w:val="none" w:sz="0" w:space="0" w:color="auto"/>
            <w:left w:val="none" w:sz="0" w:space="0" w:color="auto"/>
            <w:bottom w:val="none" w:sz="0" w:space="0" w:color="auto"/>
            <w:right w:val="none" w:sz="0" w:space="0" w:color="auto"/>
          </w:divBdr>
        </w:div>
      </w:divsChild>
    </w:div>
    <w:div w:id="861162283">
      <w:bodyDiv w:val="1"/>
      <w:marLeft w:val="0"/>
      <w:marRight w:val="0"/>
      <w:marTop w:val="0"/>
      <w:marBottom w:val="0"/>
      <w:divBdr>
        <w:top w:val="none" w:sz="0" w:space="0" w:color="auto"/>
        <w:left w:val="none" w:sz="0" w:space="0" w:color="auto"/>
        <w:bottom w:val="none" w:sz="0" w:space="0" w:color="auto"/>
        <w:right w:val="none" w:sz="0" w:space="0" w:color="auto"/>
      </w:divBdr>
      <w:divsChild>
        <w:div w:id="216358232">
          <w:marLeft w:val="0"/>
          <w:marRight w:val="0"/>
          <w:marTop w:val="240"/>
          <w:marBottom w:val="240"/>
          <w:divBdr>
            <w:top w:val="none" w:sz="0" w:space="0" w:color="auto"/>
            <w:left w:val="none" w:sz="0" w:space="0" w:color="auto"/>
            <w:bottom w:val="none" w:sz="0" w:space="0" w:color="auto"/>
            <w:right w:val="none" w:sz="0" w:space="0" w:color="auto"/>
          </w:divBdr>
        </w:div>
        <w:div w:id="409425397">
          <w:marLeft w:val="0"/>
          <w:marRight w:val="0"/>
          <w:marTop w:val="240"/>
          <w:marBottom w:val="240"/>
          <w:divBdr>
            <w:top w:val="none" w:sz="0" w:space="0" w:color="auto"/>
            <w:left w:val="none" w:sz="0" w:space="0" w:color="auto"/>
            <w:bottom w:val="none" w:sz="0" w:space="0" w:color="auto"/>
            <w:right w:val="none" w:sz="0" w:space="0" w:color="auto"/>
          </w:divBdr>
        </w:div>
        <w:div w:id="593628478">
          <w:marLeft w:val="0"/>
          <w:marRight w:val="0"/>
          <w:marTop w:val="240"/>
          <w:marBottom w:val="240"/>
          <w:divBdr>
            <w:top w:val="none" w:sz="0" w:space="0" w:color="auto"/>
            <w:left w:val="none" w:sz="0" w:space="0" w:color="auto"/>
            <w:bottom w:val="none" w:sz="0" w:space="0" w:color="auto"/>
            <w:right w:val="none" w:sz="0" w:space="0" w:color="auto"/>
          </w:divBdr>
        </w:div>
        <w:div w:id="1506507065">
          <w:marLeft w:val="0"/>
          <w:marRight w:val="0"/>
          <w:marTop w:val="24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Mohd Shaanur</dc:creator>
  <cp:keywords/>
  <dc:description/>
  <cp:lastModifiedBy>Rahman, Mohd Shaanur</cp:lastModifiedBy>
  <cp:revision>2</cp:revision>
  <dcterms:created xsi:type="dcterms:W3CDTF">2023-09-15T12:13:00Z</dcterms:created>
  <dcterms:modified xsi:type="dcterms:W3CDTF">2023-09-15T12:13:00Z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c56a699-e9bd-437a-8412-901342082749_Enabled">
    <vt:lpwstr>true</vt:lpwstr>
  </property>
  <property fmtid="{D5CDD505-2E9C-101B-9397-08002B2CF9AE}" pid="3" name="MSIP_Label_2c56a699-e9bd-437a-8412-901342082749_SetDate">
    <vt:lpwstr>2023-09-12T05:20:34Z</vt:lpwstr>
  </property>
  <property fmtid="{D5CDD505-2E9C-101B-9397-08002B2CF9AE}" pid="4" name="MSIP_Label_2c56a699-e9bd-437a-8412-901342082749_Method">
    <vt:lpwstr>Privileged</vt:lpwstr>
  </property>
  <property fmtid="{D5CDD505-2E9C-101B-9397-08002B2CF9AE}" pid="5" name="MSIP_Label_2c56a699-e9bd-437a-8412-901342082749_Name">
    <vt:lpwstr>2c56a699-e9bd-437a-8412-901342082749</vt:lpwstr>
  </property>
  <property fmtid="{D5CDD505-2E9C-101B-9397-08002B2CF9AE}" pid="6" name="MSIP_Label_2c56a699-e9bd-437a-8412-901342082749_SiteId">
    <vt:lpwstr>a00de4ec-48a8-43a6-be74-e31274e2060d</vt:lpwstr>
  </property>
  <property fmtid="{D5CDD505-2E9C-101B-9397-08002B2CF9AE}" pid="7" name="MSIP_Label_2c56a699-e9bd-437a-8412-901342082749_ActionId">
    <vt:lpwstr>c88b9116-3856-4d72-ade0-320e4ea1fedc</vt:lpwstr>
  </property>
  <property fmtid="{D5CDD505-2E9C-101B-9397-08002B2CF9AE}" pid="8" name="MSIP_Label_2c56a699-e9bd-437a-8412-901342082749_ContentBits">
    <vt:lpwstr>1</vt:lpwstr>
  </property>
  <property fmtid="{D5CDD505-2E9C-101B-9397-08002B2CF9AE}" pid="9" name="MerckAIPLabel">
    <vt:lpwstr>Confidential</vt:lpwstr>
  </property>
  <property fmtid="{D5CDD505-2E9C-101B-9397-08002B2CF9AE}" pid="10" name="MerckAIPDataExchange">
    <vt:lpwstr>!MRKMIP@Confidential</vt:lpwstr>
  </property>
</Properties>
</file>