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62" w:rsidRDefault="00DE1FF7">
      <w:r>
        <w:t xml:space="preserve">I) </w:t>
      </w:r>
      <w:r w:rsidR="00E8369B">
        <w:t>Investment Prioritization Framework</w:t>
      </w:r>
    </w:p>
    <w:p w:rsidR="00E8369B" w:rsidRDefault="00E8369B" w:rsidP="00E8369B">
      <w:pPr>
        <w:pStyle w:val="ListParagraph"/>
        <w:numPr>
          <w:ilvl w:val="0"/>
          <w:numId w:val="1"/>
        </w:numPr>
      </w:pPr>
      <w:r>
        <w:t>In-Flight Optimization</w:t>
      </w:r>
    </w:p>
    <w:p w:rsidR="00E8369B" w:rsidRDefault="00E8369B" w:rsidP="00E8369B">
      <w:pPr>
        <w:ind w:firstLine="720"/>
      </w:pPr>
      <w:proofErr w:type="spellStart"/>
      <w:r>
        <w:t>i</w:t>
      </w:r>
      <w:proofErr w:type="spellEnd"/>
      <w:r>
        <w:t>) Diabetes Deep Dive</w:t>
      </w:r>
    </w:p>
    <w:p w:rsidR="00E8369B" w:rsidRDefault="00E8369B" w:rsidP="00E8369B">
      <w:pPr>
        <w:ind w:left="720"/>
      </w:pPr>
      <w:r>
        <w:t xml:space="preserve">Exceeds: </w:t>
      </w:r>
      <w:r>
        <w:t>Major components of objective demonstrably used to inform expense allocation decisions within and/or between product families.</w:t>
      </w:r>
    </w:p>
    <w:p w:rsidR="00E8369B" w:rsidRDefault="00E8369B" w:rsidP="00E8369B">
      <w:pPr>
        <w:pStyle w:val="ListParagraph"/>
        <w:numPr>
          <w:ilvl w:val="0"/>
          <w:numId w:val="1"/>
        </w:numPr>
      </w:pPr>
      <w:r>
        <w:t>Proof of concept PRCs for four product families</w:t>
      </w:r>
    </w:p>
    <w:p w:rsidR="00C747F8" w:rsidRDefault="00C747F8" w:rsidP="00C747F8">
      <w:pPr>
        <w:pStyle w:val="ListParagraph"/>
      </w:pPr>
      <w:r>
        <w:t>Exceeds: Major components of objective demonstrably used to inform expense allocation decisions within and/or between product families.</w:t>
      </w:r>
    </w:p>
    <w:p w:rsidR="00E8369B" w:rsidRDefault="00E8369B" w:rsidP="00E8369B">
      <w:pPr>
        <w:pStyle w:val="ListParagraph"/>
      </w:pPr>
    </w:p>
    <w:p w:rsidR="00E8369B" w:rsidRDefault="00E8369B" w:rsidP="00E8369B">
      <w:pPr>
        <w:pStyle w:val="ListParagraph"/>
        <w:numPr>
          <w:ilvl w:val="0"/>
          <w:numId w:val="1"/>
        </w:numPr>
      </w:pPr>
      <w:r>
        <w:t xml:space="preserve">Consult on agent-based model for </w:t>
      </w:r>
      <w:proofErr w:type="spellStart"/>
      <w:r>
        <w:t>Suvorexant</w:t>
      </w:r>
      <w:proofErr w:type="spellEnd"/>
    </w:p>
    <w:p w:rsidR="00C747F8" w:rsidRDefault="00C747F8" w:rsidP="00C747F8">
      <w:pPr>
        <w:pStyle w:val="ListParagraph"/>
      </w:pPr>
      <w:r>
        <w:t xml:space="preserve">Exceeds: Major components of objective demonstrably used to inform expense allocation decisions </w:t>
      </w:r>
      <w:r>
        <w:t>for the product</w:t>
      </w:r>
      <w:r>
        <w:t>.</w:t>
      </w:r>
    </w:p>
    <w:p w:rsidR="00C747F8" w:rsidRDefault="00C747F8" w:rsidP="00C747F8">
      <w:pPr>
        <w:pStyle w:val="ListParagraph"/>
      </w:pPr>
    </w:p>
    <w:p w:rsidR="00E8369B" w:rsidRDefault="00DE1FF7">
      <w:r>
        <w:t xml:space="preserve">II) </w:t>
      </w:r>
      <w:r w:rsidR="00E8369B">
        <w:t>Customer Engagement Initiatives</w:t>
      </w:r>
    </w:p>
    <w:p w:rsidR="00E8369B" w:rsidRDefault="00E8369B" w:rsidP="00E8369B">
      <w:pPr>
        <w:pStyle w:val="ListParagraph"/>
        <w:numPr>
          <w:ilvl w:val="0"/>
          <w:numId w:val="2"/>
        </w:numPr>
      </w:pPr>
      <w:r>
        <w:t>PL5 Closeout</w:t>
      </w:r>
    </w:p>
    <w:p w:rsidR="00C747F8" w:rsidRDefault="00C747F8" w:rsidP="00C747F8">
      <w:pPr>
        <w:pStyle w:val="ListParagraph"/>
        <w:ind w:left="1080"/>
      </w:pPr>
      <w:r>
        <w:t xml:space="preserve">Exceeds: Major components of objective demonstrably used to </w:t>
      </w:r>
      <w:r>
        <w:t>understand and refine current and future customer engagement processes.</w:t>
      </w:r>
    </w:p>
    <w:p w:rsidR="00E8369B" w:rsidRDefault="00DE1FF7">
      <w:r>
        <w:t xml:space="preserve">III) </w:t>
      </w:r>
      <w:r w:rsidR="00E8369B">
        <w:t>Core Services &amp; Operational Transformation</w:t>
      </w:r>
    </w:p>
    <w:p w:rsidR="00E8369B" w:rsidRDefault="00E8369B" w:rsidP="00E8369B">
      <w:pPr>
        <w:pStyle w:val="ListParagraph"/>
        <w:numPr>
          <w:ilvl w:val="0"/>
          <w:numId w:val="6"/>
        </w:numPr>
      </w:pPr>
      <w:r>
        <w:t>DTC TV</w:t>
      </w:r>
    </w:p>
    <w:p w:rsidR="00E8369B" w:rsidRDefault="00E8369B" w:rsidP="00E8369B">
      <w:pPr>
        <w:ind w:left="360" w:firstLine="720"/>
      </w:pPr>
      <w:r>
        <w:t>Provide consulting and supportive role in measuring DTC TV and Print effectiveness for Zostavax ($50 MM), Dulera ($17 MM) and Nasonex ($22 MM)</w:t>
      </w:r>
    </w:p>
    <w:p w:rsidR="00C747F8" w:rsidRDefault="00C747F8" w:rsidP="00C747F8">
      <w:pPr>
        <w:pStyle w:val="ListParagraph"/>
      </w:pPr>
      <w:r>
        <w:t xml:space="preserve">Exceeds: Major components of objective demonstrably used to inform expense allocation decisions for </w:t>
      </w:r>
      <w:r>
        <w:t xml:space="preserve">each of </w:t>
      </w:r>
      <w:r>
        <w:t>the product.</w:t>
      </w:r>
    </w:p>
    <w:p w:rsidR="00C747F8" w:rsidRDefault="00C747F8" w:rsidP="00C747F8">
      <w:pPr>
        <w:pStyle w:val="ListParagraph"/>
      </w:pPr>
    </w:p>
    <w:p w:rsidR="00C747F8" w:rsidRDefault="00C747F8" w:rsidP="00C747F8">
      <w:pPr>
        <w:pStyle w:val="ListParagraph"/>
        <w:numPr>
          <w:ilvl w:val="0"/>
          <w:numId w:val="6"/>
        </w:numPr>
      </w:pPr>
      <w:r>
        <w:t>Adhoc assessments</w:t>
      </w:r>
    </w:p>
    <w:p w:rsidR="00C747F8" w:rsidRDefault="00C747F8" w:rsidP="00C747F8">
      <w:pPr>
        <w:pStyle w:val="ListParagraph"/>
        <w:ind w:left="1080"/>
      </w:pPr>
      <w:r>
        <w:t>Exceeds: Major components of objective demonstrably used to inform expense allocation decisions within and/or between product families.</w:t>
      </w:r>
    </w:p>
    <w:p w:rsidR="00C747F8" w:rsidRDefault="00AD26D2" w:rsidP="00C747F8">
      <w:r>
        <w:t>IV) Personal Development</w:t>
      </w:r>
    </w:p>
    <w:p w:rsidR="00AD26D2" w:rsidRDefault="00AD26D2" w:rsidP="00C747F8">
      <w:r>
        <w:tab/>
        <w:t>Expand knowledge to implement projects effectively and efficiently by attending trainings and/or conferences</w:t>
      </w:r>
      <w:r w:rsidR="00C61701">
        <w:t>. Example: courses like Propensity Score</w:t>
      </w:r>
      <w:proofErr w:type="gramStart"/>
      <w:r w:rsidR="00C61701">
        <w:t>,  Introduction</w:t>
      </w:r>
      <w:proofErr w:type="gramEnd"/>
      <w:r w:rsidR="00C61701">
        <w:t xml:space="preserve"> to SEM etc.,</w:t>
      </w:r>
    </w:p>
    <w:p w:rsidR="00E8369B" w:rsidRDefault="00E8369B">
      <w:bookmarkStart w:id="0" w:name="_GoBack"/>
      <w:bookmarkEnd w:id="0"/>
    </w:p>
    <w:p w:rsidR="00E8369B" w:rsidRDefault="00E8369B"/>
    <w:sectPr w:rsidR="00E8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71A0D"/>
    <w:multiLevelType w:val="hybridMultilevel"/>
    <w:tmpl w:val="C89EDF64"/>
    <w:lvl w:ilvl="0" w:tplc="8C506E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D54EE"/>
    <w:multiLevelType w:val="hybridMultilevel"/>
    <w:tmpl w:val="CB90FA32"/>
    <w:lvl w:ilvl="0" w:tplc="A6BE72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1715B0"/>
    <w:multiLevelType w:val="hybridMultilevel"/>
    <w:tmpl w:val="AF420B6A"/>
    <w:lvl w:ilvl="0" w:tplc="8D8E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2C26F2"/>
    <w:multiLevelType w:val="hybridMultilevel"/>
    <w:tmpl w:val="BC605FDE"/>
    <w:lvl w:ilvl="0" w:tplc="7C8EF2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067F95"/>
    <w:multiLevelType w:val="hybridMultilevel"/>
    <w:tmpl w:val="9B20C652"/>
    <w:lvl w:ilvl="0" w:tplc="13446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9D59EB"/>
    <w:multiLevelType w:val="hybridMultilevel"/>
    <w:tmpl w:val="146843FC"/>
    <w:lvl w:ilvl="0" w:tplc="B2DAD6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F6506C"/>
    <w:multiLevelType w:val="hybridMultilevel"/>
    <w:tmpl w:val="9AE0E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86"/>
    <w:rsid w:val="00AC1A62"/>
    <w:rsid w:val="00AD26D2"/>
    <w:rsid w:val="00BB4386"/>
    <w:rsid w:val="00C61701"/>
    <w:rsid w:val="00C747F8"/>
    <w:rsid w:val="00DE1FF7"/>
    <w:rsid w:val="00E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6</cp:revision>
  <dcterms:created xsi:type="dcterms:W3CDTF">2013-04-11T15:46:00Z</dcterms:created>
  <dcterms:modified xsi:type="dcterms:W3CDTF">2013-04-11T16:09:00Z</dcterms:modified>
</cp:coreProperties>
</file>