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68" w:rsidRPr="008E5F87" w:rsidRDefault="00BF4D68" w:rsidP="00E86419">
      <w:pPr>
        <w:spacing w:before="100" w:beforeAutospacing="1"/>
        <w:rPr>
          <w:rFonts w:ascii="Calibri" w:hAnsi="Calibri" w:cs="Calibri"/>
          <w:b/>
          <w:sz w:val="20"/>
          <w:szCs w:val="20"/>
        </w:rPr>
      </w:pPr>
      <w:bookmarkStart w:id="0" w:name="_GoBack"/>
      <w:r w:rsidRPr="008E5F87">
        <w:rPr>
          <w:rFonts w:ascii="Calibri" w:hAnsi="Calibri" w:cs="Calibri"/>
          <w:b/>
          <w:sz w:val="20"/>
          <w:szCs w:val="20"/>
        </w:rPr>
        <w:t>Objective Category</w:t>
      </w:r>
    </w:p>
    <w:p w:rsidR="00BF4D68" w:rsidRPr="008E5F87" w:rsidRDefault="00BF4D68" w:rsidP="00E86419">
      <w:pPr>
        <w:ind w:left="36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Objective Name</w:t>
      </w:r>
    </w:p>
    <w:p w:rsidR="00BF4D68" w:rsidRPr="008E5F87" w:rsidRDefault="00BF4D68" w:rsidP="00E86419">
      <w:pPr>
        <w:pStyle w:val="ListParagraph"/>
        <w:numPr>
          <w:ilvl w:val="0"/>
          <w:numId w:val="12"/>
        </w:numPr>
        <w:spacing w:after="100" w:afterAutospacing="1"/>
        <w:ind w:left="108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Objective Description (edit as necessary)</w:t>
      </w:r>
    </w:p>
    <w:p w:rsidR="00ED4203" w:rsidRPr="00FD0FA3" w:rsidRDefault="00ED4203" w:rsidP="00ED4203">
      <w:pPr>
        <w:spacing w:before="100" w:beforeAutospacing="1"/>
        <w:ind w:right="720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FD0FA3">
        <w:rPr>
          <w:rFonts w:ascii="Calibri" w:hAnsi="Calibri" w:cs="Calibri"/>
          <w:b/>
          <w:color w:val="000000" w:themeColor="text1"/>
          <w:sz w:val="20"/>
          <w:szCs w:val="20"/>
        </w:rPr>
        <w:t>Financial Performance</w:t>
      </w:r>
    </w:p>
    <w:p w:rsidR="00ED4203" w:rsidRPr="008E5F87" w:rsidRDefault="00ED4203" w:rsidP="00ED4203">
      <w:pPr>
        <w:ind w:left="360"/>
        <w:rPr>
          <w:rFonts w:ascii="Calibri" w:eastAsia="Times New Roman" w:hAnsi="Calibri" w:cs="Calibri"/>
          <w:color w:val="C00000"/>
          <w:sz w:val="20"/>
          <w:szCs w:val="20"/>
        </w:rPr>
      </w:pP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 xml:space="preserve">Execution of </w:t>
      </w:r>
      <w:r w:rsidRPr="00C84120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 xml:space="preserve">Analytics project </w:t>
      </w:r>
      <w:r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>portfolio to achieve $6</w:t>
      </w: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>0M</w:t>
      </w:r>
      <w:r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>(P&amp;L)/$100M(Working Cap)</w:t>
      </w: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 xml:space="preserve"> value objective </w:t>
      </w:r>
    </w:p>
    <w:p w:rsidR="00ED4203" w:rsidRDefault="00ED4203" w:rsidP="00ED4203">
      <w:pPr>
        <w:numPr>
          <w:ilvl w:val="0"/>
          <w:numId w:val="6"/>
        </w:numPr>
        <w:spacing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>
        <w:rPr>
          <w:rFonts w:ascii="Calibri" w:hAnsi="Calibri" w:cs="Calibri"/>
          <w:color w:val="365F91" w:themeColor="accent1" w:themeShade="BF"/>
          <w:sz w:val="20"/>
          <w:szCs w:val="20"/>
        </w:rPr>
        <w:t>Execute flawlessly on analytics projects and drive project sponsor satisfaction to enable executive advocacy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(tailor to specify projects or domains that you’re working on, e.g clinical operations, supply chain, etc.)</w:t>
      </w:r>
    </w:p>
    <w:p w:rsidR="00ED4203" w:rsidRPr="00C84120" w:rsidRDefault="00ED4203" w:rsidP="00ED4203">
      <w:pPr>
        <w:numPr>
          <w:ilvl w:val="0"/>
          <w:numId w:val="6"/>
        </w:numPr>
        <w:spacing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>Leverage the new Analytics methodology created by the Practice on your initiatives – capture knowledge, code management, common set of tools, etc.</w:t>
      </w:r>
    </w:p>
    <w:p w:rsidR="00ED4203" w:rsidRPr="00FD0FA3" w:rsidRDefault="00ED4203" w:rsidP="00ED4203">
      <w:pPr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FD0FA3">
        <w:rPr>
          <w:rFonts w:ascii="Calibri" w:hAnsi="Calibri" w:cs="Calibri"/>
          <w:b/>
          <w:color w:val="000000" w:themeColor="text1"/>
          <w:sz w:val="20"/>
          <w:szCs w:val="20"/>
        </w:rPr>
        <w:t xml:space="preserve">Financial Performance </w:t>
      </w:r>
    </w:p>
    <w:p w:rsidR="00ED4203" w:rsidRPr="008E5F87" w:rsidRDefault="00ED4203" w:rsidP="00ED4203">
      <w:pPr>
        <w:ind w:left="360"/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 xml:space="preserve">Rainmaking/Business Development </w:t>
      </w: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(everyone should include this objective)</w:t>
      </w:r>
    </w:p>
    <w:p w:rsidR="00ED4203" w:rsidRPr="00D56373" w:rsidRDefault="00ED4203" w:rsidP="00ED4203">
      <w:pPr>
        <w:numPr>
          <w:ilvl w:val="1"/>
          <w:numId w:val="5"/>
        </w:numPr>
        <w:tabs>
          <w:tab w:val="clear" w:pos="1440"/>
        </w:tabs>
        <w:spacing w:after="100" w:afterAutospacing="1"/>
        <w:ind w:left="1080" w:right="72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D56373">
        <w:rPr>
          <w:rFonts w:ascii="Calibri" w:hAnsi="Calibri" w:cs="Calibri"/>
          <w:color w:val="365F91" w:themeColor="accent1" w:themeShade="BF"/>
          <w:sz w:val="20"/>
          <w:szCs w:val="20"/>
        </w:rPr>
        <w:t>Identify at least one new opportunity where Analytics can be applied to make a difference</w:t>
      </w:r>
    </w:p>
    <w:p w:rsidR="00ED4203" w:rsidRDefault="00ED4203" w:rsidP="00ED4203">
      <w:pPr>
        <w:numPr>
          <w:ilvl w:val="1"/>
          <w:numId w:val="5"/>
        </w:numPr>
        <w:tabs>
          <w:tab w:val="clear" w:pos="1440"/>
        </w:tabs>
        <w:spacing w:after="100" w:afterAutospacing="1"/>
        <w:ind w:left="1080" w:right="72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D56373">
        <w:rPr>
          <w:rFonts w:ascii="Calibri" w:hAnsi="Calibri" w:cs="Calibri"/>
          <w:color w:val="365F91" w:themeColor="accent1" w:themeShade="BF"/>
          <w:sz w:val="20"/>
          <w:szCs w:val="20"/>
        </w:rPr>
        <w:t>See that opportunit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>ies</w:t>
      </w:r>
      <w:r w:rsidRPr="00D56373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turn into execution and drive a learning, hopefully a positive return for Merck’s P&amp;L</w:t>
      </w:r>
    </w:p>
    <w:p w:rsidR="00ED4203" w:rsidRPr="00ED4203" w:rsidRDefault="00ED4203" w:rsidP="00ED4203">
      <w:pPr>
        <w:pStyle w:val="ListParagraph"/>
        <w:numPr>
          <w:ilvl w:val="1"/>
          <w:numId w:val="5"/>
        </w:numPr>
        <w:tabs>
          <w:tab w:val="clear" w:pos="1440"/>
        </w:tabs>
        <w:ind w:left="108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ED4203">
        <w:rPr>
          <w:rFonts w:ascii="Calibri" w:hAnsi="Calibri" w:cs="Calibri"/>
          <w:color w:val="365F91" w:themeColor="accent1" w:themeShade="BF"/>
          <w:sz w:val="20"/>
          <w:szCs w:val="20"/>
        </w:rPr>
        <w:t>Find an opportunity to partner with an analytics team embedded in a business organization</w:t>
      </w:r>
    </w:p>
    <w:p w:rsidR="00ED4203" w:rsidRDefault="00ED4203" w:rsidP="00ED4203">
      <w:pPr>
        <w:numPr>
          <w:ilvl w:val="1"/>
          <w:numId w:val="5"/>
        </w:numPr>
        <w:tabs>
          <w:tab w:val="clear" w:pos="1440"/>
        </w:tabs>
        <w:spacing w:after="100" w:afterAutospacing="1"/>
        <w:ind w:left="1080" w:right="720"/>
        <w:rPr>
          <w:rFonts w:ascii="Calibri" w:hAnsi="Calibri" w:cs="Calibri"/>
          <w:color w:val="365F91" w:themeColor="accent1" w:themeShade="BF"/>
          <w:sz w:val="20"/>
          <w:szCs w:val="20"/>
        </w:rPr>
      </w:pPr>
      <w:r>
        <w:rPr>
          <w:rFonts w:ascii="Calibri" w:hAnsi="Calibri" w:cs="Calibri"/>
          <w:color w:val="365F91" w:themeColor="accent1" w:themeShade="BF"/>
          <w:sz w:val="20"/>
          <w:szCs w:val="20"/>
        </w:rPr>
        <w:t xml:space="preserve">Work to </w:t>
      </w:r>
      <w:r w:rsidRPr="00ED4203">
        <w:rPr>
          <w:rFonts w:ascii="Calibri" w:hAnsi="Calibri" w:cs="Calibri"/>
          <w:color w:val="365F91" w:themeColor="accent1" w:themeShade="BF"/>
          <w:sz w:val="20"/>
          <w:szCs w:val="20"/>
        </w:rPr>
        <w:t>secure advocacy of leaders, even Senior Leaders, to support analytics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by participating o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>n Client Service Leadership teams</w:t>
      </w:r>
    </w:p>
    <w:p w:rsidR="00ED4203" w:rsidRPr="008E5F87" w:rsidRDefault="00ED4203" w:rsidP="00ED4203">
      <w:pPr>
        <w:numPr>
          <w:ilvl w:val="1"/>
          <w:numId w:val="5"/>
        </w:numPr>
        <w:spacing w:before="100" w:beforeAutospacing="1" w:after="100" w:afterAutospacing="1"/>
        <w:ind w:left="1080" w:right="72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</w:rPr>
        <w:t>Develop powerful questions as the foundation of an analytics project</w:t>
      </w:r>
    </w:p>
    <w:p w:rsidR="00BF4D68" w:rsidRPr="00FD0FA3" w:rsidRDefault="00BF4D68" w:rsidP="00E86419">
      <w:pPr>
        <w:spacing w:before="100" w:beforeAutospacing="1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FD0FA3">
        <w:rPr>
          <w:rFonts w:ascii="Calibri" w:hAnsi="Calibri" w:cs="Calibri"/>
          <w:b/>
          <w:color w:val="000000" w:themeColor="text1"/>
          <w:sz w:val="20"/>
          <w:szCs w:val="20"/>
        </w:rPr>
        <w:t>Financial Performance</w:t>
      </w:r>
    </w:p>
    <w:p w:rsidR="00BF4D68" w:rsidRPr="008E5F87" w:rsidRDefault="00BF4D68" w:rsidP="00E86419">
      <w:pPr>
        <w:ind w:left="360"/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 xml:space="preserve">Advance the Analytics Practice capabilities </w:t>
      </w: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(everyone should include this objective)</w:t>
      </w:r>
    </w:p>
    <w:p w:rsidR="00C84120" w:rsidRPr="00C84120" w:rsidRDefault="00C84120" w:rsidP="00C84120">
      <w:pPr>
        <w:numPr>
          <w:ilvl w:val="0"/>
          <w:numId w:val="4"/>
        </w:numPr>
        <w:spacing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>Contribute to the creation of the analytics method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>s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>, ensure that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it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supports and enables the way we work</w:t>
      </w:r>
    </w:p>
    <w:p w:rsidR="00C84120" w:rsidRDefault="00C84120" w:rsidP="00C84120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>
        <w:rPr>
          <w:rFonts w:ascii="Calibri" w:hAnsi="Calibri" w:cs="Calibri"/>
          <w:color w:val="365F91" w:themeColor="accent1" w:themeShade="BF"/>
          <w:sz w:val="20"/>
          <w:szCs w:val="20"/>
        </w:rPr>
        <w:t>D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rive 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 xml:space="preserve">training discipline around 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knowledge of analytics across the organization and 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>within your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teams</w:t>
      </w:r>
    </w:p>
    <w:p w:rsidR="00C84120" w:rsidRPr="00C84120" w:rsidRDefault="00C84120" w:rsidP="00C84120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>
        <w:rPr>
          <w:rFonts w:ascii="Calibri" w:hAnsi="Calibri" w:cs="Calibri"/>
          <w:color w:val="365F91" w:themeColor="accent1" w:themeShade="BF"/>
          <w:sz w:val="20"/>
          <w:szCs w:val="20"/>
        </w:rPr>
        <w:t>M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>entor new folks to the Analytics practice (Pra</w:t>
      </w:r>
      <w:r>
        <w:rPr>
          <w:rFonts w:ascii="Calibri" w:hAnsi="Calibri" w:cs="Calibri"/>
          <w:color w:val="365F91" w:themeColor="accent1" w:themeShade="BF"/>
          <w:sz w:val="20"/>
          <w:szCs w:val="20"/>
        </w:rPr>
        <w:t>gue, Singapore, ETR, divisional</w:t>
      </w:r>
      <w:r w:rsidRP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) </w:t>
      </w:r>
    </w:p>
    <w:p w:rsidR="00BF4D68" w:rsidRPr="008E5F87" w:rsidRDefault="00BF4D68" w:rsidP="00C84120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Personal Development – </w:t>
      </w:r>
      <w:r w:rsidR="00C84120">
        <w:rPr>
          <w:rFonts w:ascii="Calibri" w:hAnsi="Calibri" w:cs="Calibri"/>
          <w:color w:val="365F91" w:themeColor="accent1" w:themeShade="BF"/>
          <w:sz w:val="20"/>
          <w:szCs w:val="20"/>
        </w:rPr>
        <w:t>Include a</w:t>
      </w: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nalytics skill development activities in Employee Development Plans</w:t>
      </w:r>
    </w:p>
    <w:p w:rsidR="00BF4D68" w:rsidRPr="008E5F87" w:rsidRDefault="00BF4D68" w:rsidP="00E86419">
      <w:pPr>
        <w:spacing w:before="100" w:beforeAutospacing="1"/>
        <w:rPr>
          <w:rFonts w:ascii="Calibri" w:hAnsi="Calibri" w:cs="Calibri"/>
          <w:b/>
          <w:sz w:val="20"/>
          <w:szCs w:val="20"/>
        </w:rPr>
      </w:pPr>
      <w:r w:rsidRPr="008E5F87">
        <w:rPr>
          <w:rFonts w:ascii="Calibri" w:hAnsi="Calibri" w:cs="Calibri"/>
          <w:b/>
          <w:sz w:val="20"/>
          <w:szCs w:val="20"/>
        </w:rPr>
        <w:t xml:space="preserve">Financial Performance </w:t>
      </w:r>
    </w:p>
    <w:p w:rsidR="00BF4D68" w:rsidRPr="008E5F87" w:rsidRDefault="00BF4D68" w:rsidP="00E86419">
      <w:pPr>
        <w:numPr>
          <w:ilvl w:val="0"/>
          <w:numId w:val="11"/>
        </w:numPr>
        <w:tabs>
          <w:tab w:val="clear" w:pos="720"/>
          <w:tab w:val="num" w:pos="1080"/>
        </w:tabs>
        <w:spacing w:after="100" w:afterAutospacing="1"/>
        <w:ind w:left="108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Deliver on all financial obligations</w:t>
      </w:r>
      <w:r w:rsidR="008E5F87" w:rsidRPr="008E5F87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(all managers with budget responsibility)</w:t>
      </w:r>
    </w:p>
    <w:p w:rsidR="00BF4D68" w:rsidRDefault="00BF4D68" w:rsidP="00BF4D68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Innovation</w:t>
      </w:r>
    </w:p>
    <w:p w:rsidR="00BF4D68" w:rsidRDefault="00BF4D68" w:rsidP="00BF4D68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Platform activities</w:t>
      </w:r>
    </w:p>
    <w:p w:rsidR="00BF4D68" w:rsidRPr="008E5F87" w:rsidRDefault="00BF4D68" w:rsidP="008E5F87">
      <w:pPr>
        <w:spacing w:before="100" w:beforeAutospacing="1"/>
        <w:rPr>
          <w:rFonts w:ascii="Calibri" w:hAnsi="Calibri" w:cs="Calibri"/>
          <w:b/>
          <w:sz w:val="20"/>
          <w:szCs w:val="20"/>
        </w:rPr>
      </w:pPr>
      <w:r w:rsidRPr="008E5F87">
        <w:rPr>
          <w:rFonts w:ascii="Calibri" w:hAnsi="Calibri" w:cs="Calibri"/>
          <w:b/>
          <w:sz w:val="20"/>
          <w:szCs w:val="20"/>
        </w:rPr>
        <w:t>People</w:t>
      </w:r>
    </w:p>
    <w:p w:rsidR="00BF4D68" w:rsidRPr="008E5F87" w:rsidRDefault="00BF4D68" w:rsidP="008E5F87">
      <w:pPr>
        <w:ind w:left="360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Advance ONE IT cultural transformation (everyone should include this objective)</w:t>
      </w:r>
    </w:p>
    <w:p w:rsidR="00C84120" w:rsidRPr="00C84120" w:rsidRDefault="00E86419" w:rsidP="00C84120">
      <w:pPr>
        <w:pStyle w:val="ListParagraph"/>
        <w:numPr>
          <w:ilvl w:val="0"/>
          <w:numId w:val="13"/>
        </w:numPr>
        <w:spacing w:after="100" w:afterAutospacing="1"/>
        <w:ind w:left="1080"/>
        <w:rPr>
          <w:rFonts w:ascii="Calibri" w:hAnsi="Calibri" w:cs="Calibri"/>
          <w:color w:val="1F497D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Foster integration of analytics teams across all 3 hubs</w:t>
      </w:r>
      <w:r w:rsidR="008E5F87" w:rsidRPr="008E5F87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 and divisions</w:t>
      </w:r>
      <w:r w:rsidR="00C84120">
        <w:rPr>
          <w:rFonts w:ascii="Calibri" w:hAnsi="Calibri" w:cs="Calibri"/>
          <w:color w:val="365F91" w:themeColor="accent1" w:themeShade="BF"/>
          <w:sz w:val="20"/>
          <w:szCs w:val="20"/>
        </w:rPr>
        <w:t xml:space="preserve">.  </w:t>
      </w:r>
      <w:r w:rsidR="00C84120" w:rsidRPr="00C84120">
        <w:rPr>
          <w:rFonts w:ascii="Calibri" w:hAnsi="Calibri" w:cs="Calibri"/>
          <w:color w:val="1F497D"/>
          <w:sz w:val="20"/>
          <w:szCs w:val="20"/>
        </w:rPr>
        <w:t>Contribute to driving a culture of working across hubs</w:t>
      </w:r>
    </w:p>
    <w:p w:rsidR="00BF4D68" w:rsidRPr="008E5F87" w:rsidRDefault="00BF4D68" w:rsidP="008E5F87">
      <w:pPr>
        <w:spacing w:before="100" w:beforeAutospacing="1"/>
        <w:ind w:left="360"/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eastAsia="Times New Roman" w:hAnsi="Calibri" w:cs="Calibri"/>
          <w:color w:val="365F91" w:themeColor="accent1" w:themeShade="BF"/>
          <w:sz w:val="20"/>
          <w:szCs w:val="20"/>
        </w:rPr>
        <w:t>People Management (applies to M3s and P5s)</w:t>
      </w:r>
    </w:p>
    <w:p w:rsidR="00BF4D68" w:rsidRPr="008E5F87" w:rsidRDefault="00BF4D68" w:rsidP="008E5F87">
      <w:pPr>
        <w:numPr>
          <w:ilvl w:val="0"/>
          <w:numId w:val="8"/>
        </w:numPr>
        <w:spacing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All team members have an Employee Development Plan (EDP)</w:t>
      </w:r>
    </w:p>
    <w:p w:rsidR="00A3795B" w:rsidRPr="008E5F87" w:rsidRDefault="00BF4D68" w:rsidP="008E5F8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365F91" w:themeColor="accent1" w:themeShade="BF"/>
          <w:sz w:val="20"/>
          <w:szCs w:val="20"/>
        </w:rPr>
      </w:pPr>
      <w:r w:rsidRPr="008E5F87">
        <w:rPr>
          <w:rFonts w:ascii="Calibri" w:hAnsi="Calibri" w:cs="Calibri"/>
          <w:color w:val="365F91" w:themeColor="accent1" w:themeShade="BF"/>
          <w:sz w:val="20"/>
          <w:szCs w:val="20"/>
        </w:rPr>
        <w:t>Project assignments aligned with EDP objectives</w:t>
      </w:r>
      <w:bookmarkEnd w:id="0"/>
    </w:p>
    <w:sectPr w:rsidR="00A3795B" w:rsidRPr="008E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AC" w:rsidRDefault="009F19AC" w:rsidP="00286868">
      <w:r>
        <w:separator/>
      </w:r>
    </w:p>
  </w:endnote>
  <w:endnote w:type="continuationSeparator" w:id="0">
    <w:p w:rsidR="009F19AC" w:rsidRDefault="009F19AC" w:rsidP="0028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AC" w:rsidRDefault="009F19AC" w:rsidP="00286868">
      <w:r>
        <w:separator/>
      </w:r>
    </w:p>
  </w:footnote>
  <w:footnote w:type="continuationSeparator" w:id="0">
    <w:p w:rsidR="009F19AC" w:rsidRDefault="009F19AC" w:rsidP="0028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7D6"/>
    <w:multiLevelType w:val="multilevel"/>
    <w:tmpl w:val="6734D29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BE16FA2"/>
    <w:multiLevelType w:val="multilevel"/>
    <w:tmpl w:val="E5209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1026F"/>
    <w:multiLevelType w:val="multilevel"/>
    <w:tmpl w:val="1512CD3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E930370"/>
    <w:multiLevelType w:val="multilevel"/>
    <w:tmpl w:val="FE489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4A7D7D"/>
    <w:multiLevelType w:val="hybridMultilevel"/>
    <w:tmpl w:val="A08E08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AF57BA9"/>
    <w:multiLevelType w:val="multilevel"/>
    <w:tmpl w:val="8FD085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517BCB"/>
    <w:multiLevelType w:val="hybridMultilevel"/>
    <w:tmpl w:val="F19A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62DDB"/>
    <w:multiLevelType w:val="hybridMultilevel"/>
    <w:tmpl w:val="C42EA820"/>
    <w:lvl w:ilvl="0" w:tplc="615C626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D1DBA"/>
    <w:multiLevelType w:val="multilevel"/>
    <w:tmpl w:val="23E21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2B7901"/>
    <w:multiLevelType w:val="multilevel"/>
    <w:tmpl w:val="FD4E4AC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7F314951"/>
    <w:multiLevelType w:val="multilevel"/>
    <w:tmpl w:val="B392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5D5F3B"/>
    <w:multiLevelType w:val="multilevel"/>
    <w:tmpl w:val="8FD085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68"/>
    <w:rsid w:val="00176AB6"/>
    <w:rsid w:val="00286868"/>
    <w:rsid w:val="00441754"/>
    <w:rsid w:val="004609C3"/>
    <w:rsid w:val="004F6662"/>
    <w:rsid w:val="005A4128"/>
    <w:rsid w:val="006A6C81"/>
    <w:rsid w:val="00747B83"/>
    <w:rsid w:val="007A4C0C"/>
    <w:rsid w:val="008E5F87"/>
    <w:rsid w:val="00901EF7"/>
    <w:rsid w:val="00963412"/>
    <w:rsid w:val="009F19AC"/>
    <w:rsid w:val="00A7730A"/>
    <w:rsid w:val="00AC4812"/>
    <w:rsid w:val="00BF4D68"/>
    <w:rsid w:val="00C84120"/>
    <w:rsid w:val="00CA0574"/>
    <w:rsid w:val="00D56373"/>
    <w:rsid w:val="00E86419"/>
    <w:rsid w:val="00ED4203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6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86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868"/>
  </w:style>
  <w:style w:type="paragraph" w:styleId="Footer">
    <w:name w:val="footer"/>
    <w:basedOn w:val="Normal"/>
    <w:link w:val="FooterChar"/>
    <w:uiPriority w:val="99"/>
    <w:unhideWhenUsed/>
    <w:rsid w:val="00286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6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86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868"/>
  </w:style>
  <w:style w:type="paragraph" w:styleId="Footer">
    <w:name w:val="footer"/>
    <w:basedOn w:val="Normal"/>
    <w:link w:val="FooterChar"/>
    <w:uiPriority w:val="99"/>
    <w:unhideWhenUsed/>
    <w:rsid w:val="00286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77BA39DF-9870-4ACF-9FD0-E3C4478368C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Barney Fountain</dc:creator>
  <cp:lastModifiedBy>Merck &amp; Co., Inc.</cp:lastModifiedBy>
  <cp:revision>4</cp:revision>
  <dcterms:created xsi:type="dcterms:W3CDTF">2016-03-18T12:45:00Z</dcterms:created>
  <dcterms:modified xsi:type="dcterms:W3CDTF">2016-03-18T14:32:00Z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1e8bfa2b-04c7-4e7d-818a-bba2e6c9a462</vt:lpwstr>
  </property>
  <property fmtid="{D5CDD505-2E9C-101B-9397-08002B2CF9AE}" pid="3" name="bjSaver">
    <vt:lpwstr>FVlZbM6DIr/HE8YsfT0Ayc1aoHk9CFT9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AdHocReviewCycleID">
    <vt:i4>-477476311</vt:i4>
  </property>
  <property fmtid="{D5CDD505-2E9C-101B-9397-08002B2CF9AE}" pid="8" name="_NewReviewCycle">
    <vt:lpwstr/>
  </property>
  <property fmtid="{D5CDD505-2E9C-101B-9397-08002B2CF9AE}" pid="9" name="_EmailSubject">
    <vt:lpwstr>Goals &amp; Objectives framework</vt:lpwstr>
  </property>
  <property fmtid="{D5CDD505-2E9C-101B-9397-08002B2CF9AE}" pid="10" name="_AuthorEmail">
    <vt:lpwstr>barnaby_fountain@merck.com</vt:lpwstr>
  </property>
  <property fmtid="{D5CDD505-2E9C-101B-9397-08002B2CF9AE}" pid="11" name="_AuthorEmailDisplayName">
    <vt:lpwstr>Fountain, Barney</vt:lpwstr>
  </property>
</Properties>
</file>