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2A17" w14:textId="111667FC" w:rsidR="00EE3BA4" w:rsidRDefault="00EE3BA4" w:rsidP="00EE3B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1: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Introduction: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Brief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Time</w:t>
      </w:r>
    </w:p>
    <w:p w14:paraId="13249AEF" w14:textId="7BEF7820" w:rsidR="00EE3BA4" w:rsidRDefault="00EE3BA4" w:rsidP="00EE3BA4">
      <w:pPr>
        <w:spacing w:line="480" w:lineRule="auto"/>
        <w:rPr>
          <w:rFonts w:ascii="Times New Roman" w:hAnsi="Times New Roman" w:cs="Times New Roman"/>
          <w:i/>
          <w:iCs/>
        </w:rPr>
      </w:pPr>
      <w:r w:rsidRPr="006471C7">
        <w:rPr>
          <w:rFonts w:ascii="Times New Roman" w:hAnsi="Times New Roman" w:cs="Times New Roman"/>
          <w:i/>
          <w:iCs/>
        </w:rPr>
        <w:t>Stanley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N.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Katz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and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Benjamin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471C7">
        <w:rPr>
          <w:rFonts w:ascii="Times New Roman" w:hAnsi="Times New Roman" w:cs="Times New Roman"/>
          <w:i/>
          <w:iCs/>
        </w:rPr>
        <w:t>Soskis</w:t>
      </w:r>
      <w:proofErr w:type="spellEnd"/>
    </w:p>
    <w:p w14:paraId="6D08031E" w14:textId="18E8D5D7" w:rsidR="00C01C87" w:rsidRPr="009D3026" w:rsidRDefault="007A61E8" w:rsidP="00B065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11A40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oriented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oriented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space</w:t>
      </w:r>
      <w:r w:rsidR="00C01C8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specify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  <w:i/>
          <w:iCs/>
        </w:rPr>
        <w:t>where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given,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to</w:t>
      </w:r>
      <w:r w:rsidR="008D5C61" w:rsidRPr="009D3026">
        <w:rPr>
          <w:rFonts w:ascii="Times New Roman" w:hAnsi="Times New Roman" w:cs="Times New Roman"/>
        </w:rPr>
        <w:t>o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decide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  <w:i/>
          <w:iCs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given.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geographically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proximate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distant,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balance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moral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imperatives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issued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past,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present,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future—the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pull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traditions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founding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charters,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exigencies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needs.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pacing,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timeframe,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duration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represent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consequential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complex</w:t>
      </w:r>
      <w:r w:rsidR="00B065A0">
        <w:rPr>
          <w:rFonts w:ascii="Times New Roman" w:hAnsi="Times New Roman" w:cs="Times New Roman"/>
        </w:rPr>
        <w:t xml:space="preserve"> </w:t>
      </w:r>
      <w:r w:rsidR="00B83B46"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face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7D7C45" w:rsidRPr="009D3026">
        <w:rPr>
          <w:rFonts w:ascii="Times New Roman" w:hAnsi="Times New Roman" w:cs="Times New Roman"/>
        </w:rPr>
        <w:t>assess</w:t>
      </w:r>
      <w:r w:rsidR="00C01C8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certain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moments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salient,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public</w:t>
      </w:r>
      <w:r w:rsidR="008D5C6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scholarly</w:t>
      </w:r>
      <w:r w:rsidR="008D5C6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practice-based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discourse.</w:t>
      </w:r>
    </w:p>
    <w:p w14:paraId="16C93062" w14:textId="292A1AF8" w:rsidR="00C01C87" w:rsidRPr="009D3026" w:rsidRDefault="00A24E2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introductory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midst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gifts,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proper</w:t>
      </w:r>
      <w:r w:rsidR="00B065A0">
        <w:rPr>
          <w:rFonts w:ascii="Times New Roman" w:hAnsi="Times New Roman" w:cs="Times New Roman"/>
        </w:rPr>
        <w:t xml:space="preserve"> “</w:t>
      </w:r>
      <w:r w:rsidR="00D93812" w:rsidRPr="009D3026">
        <w:rPr>
          <w:rFonts w:ascii="Times New Roman" w:hAnsi="Times New Roman" w:cs="Times New Roman"/>
        </w:rPr>
        <w:t>timely</w:t>
      </w:r>
      <w:r w:rsidR="00B065A0">
        <w:rPr>
          <w:rFonts w:ascii="Times New Roman" w:hAnsi="Times New Roman" w:cs="Times New Roman"/>
        </w:rPr>
        <w:t xml:space="preserve">” </w:t>
      </w:r>
      <w:r w:rsidR="00D93812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crises,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legitimacy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obligations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future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fiercely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</w:t>
      </w:r>
      <w:r w:rsidR="0094483E" w:rsidRPr="009D3026">
        <w:rPr>
          <w:rFonts w:ascii="Times New Roman" w:hAnsi="Times New Roman" w:cs="Times New Roman"/>
        </w:rPr>
        <w:t>ic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sectors.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Moreover,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frame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policymakers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understanding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philanthropy</w:t>
      </w:r>
      <w:r w:rsidR="008D5C61" w:rsidRPr="009D3026">
        <w:rPr>
          <w:rFonts w:ascii="Times New Roman" w:hAnsi="Times New Roman" w:cs="Times New Roman"/>
        </w:rPr>
        <w:t>—the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do,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challenges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confronts,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poses.</w:t>
      </w:r>
    </w:p>
    <w:p w14:paraId="461060E1" w14:textId="11EC8265" w:rsidR="0094483E" w:rsidRPr="009D3026" w:rsidRDefault="0094483E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exciting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academic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disciplines</w:t>
      </w:r>
      <w:r w:rsidR="00975523" w:rsidRPr="009D3026">
        <w:rPr>
          <w:rFonts w:ascii="Times New Roman" w:hAnsi="Times New Roman" w:cs="Times New Roman"/>
        </w:rPr>
        <w:t>—</w:t>
      </w:r>
      <w:r w:rsidRPr="009D3026">
        <w:rPr>
          <w:rFonts w:ascii="Times New Roman" w:hAnsi="Times New Roman" w:cs="Times New Roman"/>
        </w:rPr>
        <w:t>history,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science,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brief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introduction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broader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lastRenderedPageBreak/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aspects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</w:t>
      </w:r>
      <w:r w:rsidR="00B11F14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understood</w:t>
      </w:r>
      <w:r w:rsidR="008A5D2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emphasis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States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outline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primary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reasons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why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ha</w:t>
      </w:r>
      <w:r w:rsidR="0052751B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52751B" w:rsidRPr="009D3026">
        <w:rPr>
          <w:rFonts w:ascii="Times New Roman" w:hAnsi="Times New Roman" w:cs="Times New Roman"/>
        </w:rPr>
        <w:t>constellation</w:t>
      </w:r>
      <w:r w:rsidR="00B065A0">
        <w:rPr>
          <w:rFonts w:ascii="Times New Roman" w:hAnsi="Times New Roman" w:cs="Times New Roman"/>
        </w:rPr>
        <w:t xml:space="preserve"> </w:t>
      </w:r>
      <w:r w:rsidR="005275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issue</w:t>
      </w:r>
      <w:r w:rsidR="0052751B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577A1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2577A1" w:rsidRPr="009D3026">
        <w:rPr>
          <w:rFonts w:ascii="Times New Roman" w:hAnsi="Times New Roman" w:cs="Times New Roman"/>
        </w:rPr>
        <w:t>call</w:t>
      </w:r>
      <w:r w:rsidR="00B065A0">
        <w:rPr>
          <w:rFonts w:ascii="Times New Roman" w:hAnsi="Times New Roman" w:cs="Times New Roman"/>
        </w:rPr>
        <w:t xml:space="preserve"> “</w:t>
      </w:r>
      <w:r w:rsidR="008A5D2E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Time</w:t>
      </w:r>
      <w:r w:rsidR="008E1BF8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>”</w:t>
      </w:r>
    </w:p>
    <w:p w14:paraId="7180ADC1" w14:textId="284385AD" w:rsidR="00077CC6" w:rsidRPr="009D3026" w:rsidRDefault="00B60F8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dominant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dictated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immediacy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tug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symp</w:t>
      </w:r>
      <w:r w:rsidR="009D6C95" w:rsidRPr="009D3026">
        <w:rPr>
          <w:rFonts w:ascii="Times New Roman" w:hAnsi="Times New Roman" w:cs="Times New Roman"/>
        </w:rPr>
        <w:t>athy</w:t>
      </w:r>
      <w:r w:rsidR="00B065A0">
        <w:rPr>
          <w:rFonts w:ascii="Times New Roman" w:hAnsi="Times New Roman" w:cs="Times New Roman"/>
        </w:rPr>
        <w:t xml:space="preserve"> </w:t>
      </w:r>
      <w:r w:rsidR="007364D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fellow-feeling.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Men,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97116B" w:rsidRPr="009D3026">
        <w:rPr>
          <w:rFonts w:ascii="Times New Roman" w:hAnsi="Times New Roman" w:cs="Times New Roman"/>
        </w:rPr>
        <w:t>women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children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responded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pressing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encountered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them.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millennia,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extended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scope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ethical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“</w:t>
      </w:r>
      <w:r w:rsidR="00B97A84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before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wills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testaments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developed,</w:t>
      </w:r>
      <w:r w:rsidR="00B065A0">
        <w:rPr>
          <w:rFonts w:ascii="Times New Roman" w:hAnsi="Times New Roman" w:cs="Times New Roman"/>
        </w:rPr>
        <w:t xml:space="preserve">” </w:t>
      </w:r>
      <w:r w:rsidR="008E1BF8" w:rsidRPr="009D3026">
        <w:rPr>
          <w:rFonts w:ascii="Times New Roman" w:hAnsi="Times New Roman" w:cs="Times New Roman"/>
        </w:rPr>
        <w:t>scholar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Marion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Fremont-Smith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“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leaving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paternal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heirs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B97A84" w:rsidRPr="009D3026">
        <w:rPr>
          <w:rFonts w:ascii="Times New Roman" w:hAnsi="Times New Roman" w:cs="Times New Roman"/>
        </w:rPr>
        <w:t>was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religious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Egypt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Chaldea.</w:t>
      </w:r>
      <w:r w:rsidR="00B065A0">
        <w:rPr>
          <w:rFonts w:ascii="Times New Roman" w:hAnsi="Times New Roman" w:cs="Times New Roman"/>
        </w:rPr>
        <w:t xml:space="preserve">” </w:t>
      </w:r>
      <w:r w:rsidR="00B97A84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7364D4" w:rsidRPr="009D3026">
        <w:rPr>
          <w:rFonts w:ascii="Times New Roman" w:hAnsi="Times New Roman" w:cs="Times New Roman"/>
        </w:rPr>
        <w:t>pointed</w:t>
      </w:r>
      <w:r w:rsidR="00B065A0">
        <w:rPr>
          <w:rFonts w:ascii="Times New Roman" w:hAnsi="Times New Roman" w:cs="Times New Roman"/>
        </w:rPr>
        <w:t xml:space="preserve"> </w:t>
      </w:r>
      <w:r w:rsidR="007364D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funding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Oracle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Delphi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Library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Alexandria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precedents</w:t>
      </w:r>
      <w:r w:rsidR="00B065A0">
        <w:rPr>
          <w:rFonts w:ascii="Times New Roman" w:hAnsi="Times New Roman" w:cs="Times New Roman"/>
        </w:rPr>
        <w:t xml:space="preserve"> </w:t>
      </w:r>
      <w:r w:rsidR="00B83B4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50612" w:rsidRPr="009D3026">
        <w:rPr>
          <w:rFonts w:ascii="Times New Roman" w:hAnsi="Times New Roman" w:cs="Times New Roman"/>
        </w:rPr>
        <w:t>endowments</w:t>
      </w:r>
      <w:r w:rsidR="00362954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allowed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individual</w:t>
      </w:r>
      <w:r w:rsidR="008E1BF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contribute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needs</w:t>
      </w:r>
      <w:r w:rsidR="008E1BF8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T</w:t>
      </w:r>
      <w:r w:rsidR="00B97A84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developed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Romans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bequeathing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maintain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burial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sites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memorial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services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larger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corporate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bodies,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neighborhood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associations,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guilds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3A4D7D" w:rsidRPr="009D3026">
        <w:rPr>
          <w:rFonts w:ascii="Times New Roman" w:hAnsi="Times New Roman" w:cs="Times New Roman"/>
          <w:i/>
          <w:iCs/>
        </w:rPr>
        <w:t>collegia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perform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similar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functions.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cases,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ideas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immortality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soul,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  <w:i/>
        </w:rPr>
        <w:t>sub</w:t>
      </w:r>
      <w:r w:rsidR="00B065A0">
        <w:rPr>
          <w:rFonts w:ascii="Times New Roman" w:hAnsi="Times New Roman" w:cs="Times New Roman"/>
          <w:i/>
        </w:rPr>
        <w:t xml:space="preserve"> </w:t>
      </w:r>
      <w:r w:rsidR="00B97A84" w:rsidRPr="009D3026">
        <w:rPr>
          <w:rFonts w:ascii="Times New Roman" w:hAnsi="Times New Roman" w:cs="Times New Roman"/>
          <w:i/>
        </w:rPr>
        <w:t>specie</w:t>
      </w:r>
      <w:r w:rsidR="00B065A0">
        <w:rPr>
          <w:rFonts w:ascii="Times New Roman" w:hAnsi="Times New Roman" w:cs="Times New Roman"/>
          <w:i/>
        </w:rPr>
        <w:t xml:space="preserve"> </w:t>
      </w:r>
      <w:r w:rsidR="00B97A84" w:rsidRPr="009D3026">
        <w:rPr>
          <w:rFonts w:ascii="Times New Roman" w:hAnsi="Times New Roman" w:cs="Times New Roman"/>
          <w:i/>
        </w:rPr>
        <w:t>aeternitatis</w:t>
      </w:r>
      <w:r w:rsidR="00B97A84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</w:t>
      </w:r>
      <w:r w:rsidR="003A4D7D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granted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equal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</w:t>
      </w:r>
      <w:r w:rsidR="0055058B" w:rsidRPr="009D3026">
        <w:rPr>
          <w:rFonts w:ascii="Times New Roman" w:hAnsi="Times New Roman" w:cs="Times New Roman"/>
        </w:rPr>
        <w:t>han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present.</w:t>
      </w:r>
      <w:r w:rsidR="00B97A84" w:rsidRPr="009D3026">
        <w:rPr>
          <w:rStyle w:val="EndnoteReference"/>
          <w:rFonts w:ascii="Times New Roman" w:hAnsi="Times New Roman" w:cs="Times New Roman"/>
        </w:rPr>
        <w:endnoteReference w:id="1"/>
      </w:r>
    </w:p>
    <w:p w14:paraId="67EFF446" w14:textId="0512A775" w:rsidR="00EC028E" w:rsidRPr="009D3026" w:rsidRDefault="00B97A84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Emperor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Constantine,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Church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primary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proportion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Europe,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t</w:t>
      </w:r>
      <w:r w:rsidR="00AE3EB2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Middle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Ages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expansion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permanently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institutions,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dedicating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land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ecclesiastical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widespread</w:t>
      </w:r>
      <w:r w:rsidR="0055058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5058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55058B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late-in-life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deathbed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contributions,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lastRenderedPageBreak/>
        <w:t>guidance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priest.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waqf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Islamic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B22B4" w:rsidRPr="009D3026">
        <w:rPr>
          <w:rFonts w:ascii="Times New Roman" w:hAnsi="Times New Roman" w:cs="Times New Roman"/>
        </w:rPr>
        <w:t>ninth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soon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“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premier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activity</w:t>
      </w:r>
      <w:r w:rsidR="00B065A0">
        <w:rPr>
          <w:rFonts w:ascii="Times New Roman" w:hAnsi="Times New Roman" w:cs="Times New Roman"/>
        </w:rPr>
        <w:t xml:space="preserve">” </w:t>
      </w:r>
      <w:r w:rsidR="008E2F1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Islamic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allowing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“</w:t>
      </w:r>
      <w:r w:rsidR="008E2F10" w:rsidRPr="009D3026">
        <w:rPr>
          <w:rFonts w:ascii="Times New Roman" w:hAnsi="Times New Roman" w:cs="Times New Roman"/>
        </w:rPr>
        <w:t>ongoing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charity,</w:t>
      </w:r>
      <w:r w:rsidR="00B065A0">
        <w:rPr>
          <w:rFonts w:ascii="Times New Roman" w:hAnsi="Times New Roman" w:cs="Times New Roman"/>
        </w:rPr>
        <w:t xml:space="preserve">” </w:t>
      </w:r>
      <w:r w:rsidR="008E2F10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death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donor.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argued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waqfs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served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inspiration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E2ED7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8E2E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2D15" w:rsidRPr="009D3026">
        <w:rPr>
          <w:rFonts w:ascii="Times New Roman" w:hAnsi="Times New Roman" w:cs="Times New Roman"/>
        </w:rPr>
        <w:t>earliest</w:t>
      </w:r>
      <w:r w:rsidR="00B065A0">
        <w:rPr>
          <w:rFonts w:ascii="Times New Roman" w:hAnsi="Times New Roman" w:cs="Times New Roman"/>
        </w:rPr>
        <w:t xml:space="preserve"> </w:t>
      </w:r>
      <w:r w:rsidR="008E2ED7"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="00D42D15" w:rsidRPr="009D3026">
        <w:rPr>
          <w:rFonts w:ascii="Times New Roman" w:hAnsi="Times New Roman" w:cs="Times New Roman"/>
        </w:rPr>
        <w:t>foundations</w:t>
      </w:r>
      <w:r w:rsidR="008E2ED7" w:rsidRPr="009D3026">
        <w:rPr>
          <w:rFonts w:ascii="Times New Roman" w:hAnsi="Times New Roman" w:cs="Times New Roman"/>
        </w:rPr>
        <w:t>.</w:t>
      </w:r>
      <w:r w:rsidR="00DE0D2B" w:rsidRPr="009D3026">
        <w:rPr>
          <w:rStyle w:val="EndnoteReference"/>
          <w:rFonts w:ascii="Times New Roman" w:hAnsi="Times New Roman" w:cs="Times New Roman"/>
        </w:rPr>
        <w:endnoteReference w:id="2"/>
      </w:r>
    </w:p>
    <w:p w14:paraId="5A8C141D" w14:textId="2B1B5C76" w:rsidR="00EB49F6" w:rsidRPr="009D3026" w:rsidRDefault="008E2ED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1601,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England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codification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Elizabethan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Statute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policies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c</w:t>
      </w:r>
      <w:r w:rsidRPr="009D3026">
        <w:rPr>
          <w:rFonts w:ascii="Times New Roman" w:hAnsi="Times New Roman" w:cs="Times New Roman"/>
        </w:rPr>
        <w:t>harity</w:t>
      </w:r>
      <w:r w:rsidR="00B065A0">
        <w:rPr>
          <w:rFonts w:ascii="Times New Roman" w:hAnsi="Times New Roman" w:cs="Times New Roman"/>
        </w:rPr>
        <w:t xml:space="preserve"> </w:t>
      </w:r>
      <w:r w:rsidR="00C34F90" w:rsidRPr="009D3026">
        <w:rPr>
          <w:rFonts w:ascii="Times New Roman" w:hAnsi="Times New Roman" w:cs="Times New Roman"/>
        </w:rPr>
        <w:t>c</w:t>
      </w:r>
      <w:r w:rsidRPr="009D3026">
        <w:rPr>
          <w:rFonts w:ascii="Times New Roman" w:hAnsi="Times New Roman" w:cs="Times New Roman"/>
        </w:rPr>
        <w:t>ommissioners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disputed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further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spread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trusts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a</w:t>
      </w:r>
      <w:r w:rsidR="00F577B9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Rob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demonstrates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provoked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strong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critique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Enlightenment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thinkers</w:t>
      </w:r>
      <w:r w:rsidR="004606C2" w:rsidRPr="009D3026">
        <w:rPr>
          <w:rFonts w:ascii="Times New Roman" w:hAnsi="Times New Roman" w:cs="Times New Roman"/>
        </w:rPr>
        <w:t>;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4606C2" w:rsidRPr="009D3026">
        <w:rPr>
          <w:rFonts w:ascii="Times New Roman" w:hAnsi="Times New Roman" w:cs="Times New Roman"/>
        </w:rPr>
        <w:t>mortmain,</w:t>
      </w:r>
      <w:r w:rsidR="00B065A0">
        <w:rPr>
          <w:rFonts w:ascii="Times New Roman" w:hAnsi="Times New Roman" w:cs="Times New Roman"/>
        </w:rPr>
        <w:t xml:space="preserve">”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4606C2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4606C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extending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grip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future,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shaped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medieval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times,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spread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well</w:t>
      </w:r>
      <w:r w:rsidR="00EB49F6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1736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Mortmain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Act</w:t>
      </w:r>
      <w:r w:rsidR="00236780" w:rsidRPr="009D3026">
        <w:rPr>
          <w:rFonts w:ascii="Times New Roman" w:hAnsi="Times New Roman" w:cs="Times New Roman"/>
        </w:rPr>
        <w:t>—</w:t>
      </w:r>
      <w:r w:rsidR="00C06B13" w:rsidRPr="009D3026">
        <w:rPr>
          <w:rFonts w:ascii="Times New Roman" w:hAnsi="Times New Roman" w:cs="Times New Roman"/>
        </w:rPr>
        <w:t>spurred</w:t>
      </w:r>
      <w:r w:rsidR="00B065A0">
        <w:rPr>
          <w:rFonts w:ascii="Times New Roman" w:hAnsi="Times New Roman" w:cs="Times New Roman"/>
        </w:rPr>
        <w:t xml:space="preserve"> </w:t>
      </w:r>
      <w:r w:rsidR="00E2788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27881"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anti-clerical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sentiment</w:t>
      </w:r>
      <w:r w:rsidR="00236780" w:rsidRPr="009D3026">
        <w:rPr>
          <w:rFonts w:ascii="Times New Roman" w:hAnsi="Times New Roman" w:cs="Times New Roman"/>
        </w:rPr>
        <w:t>—</w:t>
      </w:r>
      <w:r w:rsidR="00EE2BF1" w:rsidRPr="009D3026">
        <w:rPr>
          <w:rFonts w:ascii="Times New Roman" w:hAnsi="Times New Roman" w:cs="Times New Roman"/>
        </w:rPr>
        <w:t>Parliament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prohibited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bequests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land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interests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land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twelve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months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death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donor</w:t>
      </w:r>
      <w:r w:rsidR="00C06B13" w:rsidRPr="009D3026">
        <w:rPr>
          <w:rFonts w:ascii="Times New Roman" w:hAnsi="Times New Roman" w:cs="Times New Roman"/>
        </w:rPr>
        <w:t>.</w:t>
      </w:r>
      <w:r w:rsidR="00590F84" w:rsidRPr="009D3026">
        <w:rPr>
          <w:rStyle w:val="EndnoteReference"/>
          <w:rFonts w:ascii="Times New Roman" w:hAnsi="Times New Roman" w:cs="Times New Roman"/>
        </w:rPr>
        <w:endnoteReference w:id="3"/>
      </w:r>
    </w:p>
    <w:p w14:paraId="275D5B35" w14:textId="398F1608" w:rsidR="00061C89" w:rsidRPr="009D3026" w:rsidRDefault="00851EC8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F</w:t>
      </w:r>
      <w:r w:rsidR="00B97A84" w:rsidRPr="009D3026">
        <w:rPr>
          <w:rFonts w:ascii="Times New Roman" w:hAnsi="Times New Roman" w:cs="Times New Roman"/>
        </w:rPr>
        <w:t>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turn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amplified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emerging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discipline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economy,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adherents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reveled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trac</w:t>
      </w:r>
      <w:r w:rsidR="004606C2" w:rsidRPr="009D3026">
        <w:rPr>
          <w:rFonts w:ascii="Times New Roman" w:hAnsi="Times New Roman" w:cs="Times New Roman"/>
        </w:rPr>
        <w:t>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unintended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consequences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benevolent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action.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Victorian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era,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critics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warned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07322" w:rsidRPr="009D3026">
        <w:rPr>
          <w:rFonts w:ascii="Times New Roman" w:hAnsi="Times New Roman" w:cs="Times New Roman"/>
        </w:rPr>
        <w:t>persistence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obsolete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trusts,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designated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redundant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passage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grow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nonetheless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(funds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dedicated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ransoming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Christian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captives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Barbary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pirates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favorite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example).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controversy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wave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scholarship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essays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endowments,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tended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affirm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estimation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author</w:t>
      </w:r>
      <w:r w:rsidR="00B065A0">
        <w:rPr>
          <w:rFonts w:ascii="Times New Roman" w:hAnsi="Times New Roman" w:cs="Times New Roman"/>
          <w:color w:val="FF0000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1880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prize-winning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essay:</w:t>
      </w:r>
      <w:r w:rsidR="00B065A0">
        <w:rPr>
          <w:rFonts w:ascii="Times New Roman" w:hAnsi="Times New Roman" w:cs="Times New Roman"/>
        </w:rPr>
        <w:t xml:space="preserve"> “</w:t>
      </w:r>
      <w:r w:rsidR="00B97A84" w:rsidRPr="009D3026">
        <w:rPr>
          <w:rFonts w:ascii="Times New Roman" w:hAnsi="Times New Roman" w:cs="Times New Roman"/>
        </w:rPr>
        <w:t>whilst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lastRenderedPageBreak/>
        <w:t>tends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good,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tend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evil.</w:t>
      </w:r>
      <w:r w:rsidR="00B065A0">
        <w:rPr>
          <w:rFonts w:ascii="Times New Roman" w:hAnsi="Times New Roman" w:cs="Times New Roman"/>
        </w:rPr>
        <w:t xml:space="preserve">” </w:t>
      </w:r>
      <w:r w:rsidR="00A10B3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concern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acute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Parliament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intervened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granted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Commissioners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powers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redirect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outdated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t</w:t>
      </w:r>
      <w:r w:rsidR="00F0605A" w:rsidRPr="009D3026">
        <w:rPr>
          <w:rFonts w:ascii="Times New Roman" w:hAnsi="Times New Roman" w:cs="Times New Roman"/>
        </w:rPr>
        <w:t>emporality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central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category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normative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critics.</w:t>
      </w:r>
      <w:r w:rsidR="00B97A84" w:rsidRPr="009D3026">
        <w:rPr>
          <w:rStyle w:val="EndnoteReference"/>
          <w:rFonts w:ascii="Times New Roman" w:hAnsi="Times New Roman" w:cs="Times New Roman"/>
        </w:rPr>
        <w:endnoteReference w:id="4"/>
      </w:r>
    </w:p>
    <w:p w14:paraId="06C77500" w14:textId="600DCE87" w:rsidR="00B47BAA" w:rsidRPr="009D3026" w:rsidRDefault="000E149D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English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including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statutes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colonial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post-Revolution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suspicion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association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privileges,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concentrated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corrupting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Church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threat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posed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republican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ideology.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Courts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suspicious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allowing</w:t>
      </w:r>
      <w:r w:rsidR="00B065A0">
        <w:rPr>
          <w:rFonts w:ascii="Times New Roman" w:hAnsi="Times New Roman" w:cs="Times New Roman"/>
        </w:rPr>
        <w:t xml:space="preserve"> “</w:t>
      </w:r>
      <w:r w:rsidR="002B1398"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citizen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him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good</w:t>
      </w:r>
      <w:r w:rsidR="00B47BA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” </w:t>
      </w:r>
      <w:r w:rsidR="00B47B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restrictive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policies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spread.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Virginia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bequeathed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incorporated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accumulate.</w:t>
      </w:r>
      <w:r w:rsidR="005E36ED" w:rsidRPr="009D3026">
        <w:rPr>
          <w:rStyle w:val="EndnoteReference"/>
          <w:rFonts w:ascii="Times New Roman" w:hAnsi="Times New Roman" w:cs="Times New Roman"/>
        </w:rPr>
        <w:endnoteReference w:id="5"/>
      </w:r>
    </w:p>
    <w:p w14:paraId="1E7AC274" w14:textId="1EA24939" w:rsidR="00154065" w:rsidRPr="009D3026" w:rsidRDefault="00B7699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05E23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intensity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w</w:t>
      </w:r>
      <w:r w:rsidR="0035291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muted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u</w:t>
      </w:r>
      <w:r w:rsidR="00993C05" w:rsidRPr="009D3026">
        <w:rPr>
          <w:rFonts w:ascii="Times New Roman" w:hAnsi="Times New Roman" w:cs="Times New Roman"/>
        </w:rPr>
        <w:t>ntil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second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surplus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993C05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richest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citizens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modest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directed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uses.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t</w:t>
      </w:r>
      <w:r w:rsidR="00993C05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tremendous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industrial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spurred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a</w:t>
      </w:r>
      <w:r w:rsidR="00282E20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engagement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ethics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4A2201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4A2201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swelled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nation.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flurry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preceding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decade,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1900,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higher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education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reached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somewhere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$165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million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$200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million.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Moreover,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definition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attached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assume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form,</w:t>
      </w:r>
      <w:r w:rsidR="00B065A0">
        <w:rPr>
          <w:rFonts w:ascii="Times New Roman" w:hAnsi="Times New Roman" w:cs="Times New Roman"/>
        </w:rPr>
        <w:t xml:space="preserve"> “</w:t>
      </w:r>
      <w:r w:rsidR="004017C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shall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maintained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inviolate,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income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shall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lastRenderedPageBreak/>
        <w:t>alone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used.</w:t>
      </w:r>
      <w:r w:rsidR="00B065A0">
        <w:rPr>
          <w:rFonts w:ascii="Times New Roman" w:hAnsi="Times New Roman" w:cs="Times New Roman"/>
        </w:rPr>
        <w:t xml:space="preserve">” </w:t>
      </w:r>
      <w:r w:rsidR="00E70C3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growing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elite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educational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signal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exclusive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stat</w:t>
      </w:r>
      <w:r w:rsidR="00EB2C19" w:rsidRPr="009D3026">
        <w:rPr>
          <w:rFonts w:ascii="Times New Roman" w:hAnsi="Times New Roman" w:cs="Times New Roman"/>
        </w:rPr>
        <w:t>us</w:t>
      </w:r>
      <w:r w:rsidR="00E70C3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turn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attracted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helped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validate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broadly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ethic</w:t>
      </w:r>
      <w:r w:rsidR="00E70C3A" w:rsidRPr="009D3026">
        <w:rPr>
          <w:rFonts w:ascii="Times New Roman" w:hAnsi="Times New Roman" w:cs="Times New Roman"/>
        </w:rPr>
        <w:t>.</w:t>
      </w:r>
      <w:r w:rsidR="00904D19" w:rsidRPr="009D3026">
        <w:rPr>
          <w:rStyle w:val="EndnoteReference"/>
          <w:rFonts w:ascii="Times New Roman" w:hAnsi="Times New Roman" w:cs="Times New Roman"/>
        </w:rPr>
        <w:endnoteReference w:id="6"/>
      </w:r>
    </w:p>
    <w:p w14:paraId="1E4D046D" w14:textId="674AE1E1" w:rsidR="00E86271" w:rsidRPr="009D3026" w:rsidRDefault="00E8627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counter-pressures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needs.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years,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defined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sectarian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establishment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sequestering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otherwise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applied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moment.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appeals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end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insisted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BC2699"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penny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raised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go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drawing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sums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interest.</w:t>
      </w:r>
      <w:r w:rsidR="00B065A0">
        <w:rPr>
          <w:rFonts w:ascii="Times New Roman" w:hAnsi="Times New Roman" w:cs="Times New Roman"/>
        </w:rPr>
        <w:t xml:space="preserve">” </w:t>
      </w:r>
      <w:r w:rsidR="00BC2699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urgent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communities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diverting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callous,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but,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historian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Mary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Oates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worried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BC2699"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</w:t>
      </w:r>
      <w:r w:rsidR="00D97CA1" w:rsidRPr="009D3026">
        <w:rPr>
          <w:rFonts w:ascii="Times New Roman" w:hAnsi="Times New Roman" w:cs="Times New Roman"/>
        </w:rPr>
        <w:t>ies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routinely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endowed,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parishioners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neglect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lose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spiritual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merits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accompany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benevolence.</w:t>
      </w:r>
      <w:r w:rsidR="00B065A0">
        <w:rPr>
          <w:rFonts w:ascii="Times New Roman" w:hAnsi="Times New Roman" w:cs="Times New Roman"/>
        </w:rPr>
        <w:t xml:space="preserve">” </w:t>
      </w:r>
      <w:r w:rsidR="00BC269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words,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merely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present-day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now,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spiritual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present-day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benefactors.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Lila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Corwin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Berman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relates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similar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favored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20</w:t>
      </w:r>
      <w:r w:rsidR="002F1370" w:rsidRPr="009D3026">
        <w:rPr>
          <w:rFonts w:ascii="Times New Roman" w:hAnsi="Times New Roman" w:cs="Times New Roman"/>
          <w:vertAlign w:val="superscript"/>
        </w:rPr>
        <w:t>th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civic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leaders,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endorsed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money-in,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money-out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institutions</w:t>
      </w:r>
      <w:r w:rsidR="00D97CA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collected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almost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immediately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distributed,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legacies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endowment-building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discouraged</w:t>
      </w:r>
      <w:r w:rsidR="002F1370" w:rsidRPr="009D3026">
        <w:rPr>
          <w:rFonts w:ascii="Times New Roman" w:hAnsi="Times New Roman" w:cs="Times New Roman"/>
        </w:rPr>
        <w:t>.</w:t>
      </w:r>
      <w:r w:rsidR="008C305B" w:rsidRPr="009D3026">
        <w:rPr>
          <w:rStyle w:val="EndnoteReference"/>
          <w:rFonts w:ascii="Times New Roman" w:hAnsi="Times New Roman" w:cs="Times New Roman"/>
        </w:rPr>
        <w:endnoteReference w:id="7"/>
      </w:r>
    </w:p>
    <w:p w14:paraId="42DB7B0B" w14:textId="02A137FB" w:rsidR="005C4A69" w:rsidRPr="009D3026" w:rsidRDefault="004017C8" w:rsidP="009D3026">
      <w:pPr>
        <w:spacing w:line="480" w:lineRule="auto"/>
        <w:rPr>
          <w:rFonts w:ascii="Times New Roman" w:eastAsia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EB2C1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Gilded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Age,</w:t>
      </w:r>
      <w:r w:rsidR="00B065A0">
        <w:rPr>
          <w:rFonts w:ascii="Times New Roman" w:hAnsi="Times New Roman" w:cs="Times New Roman"/>
        </w:rPr>
        <w:t xml:space="preserve"> </w:t>
      </w:r>
      <w:r w:rsidR="00F079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l</w:t>
      </w:r>
      <w:r w:rsidRPr="009D3026">
        <w:rPr>
          <w:rFonts w:ascii="Times New Roman" w:hAnsi="Times New Roman" w:cs="Times New Roman"/>
        </w:rPr>
        <w:t>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system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loosen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regulations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newly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tapped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pressing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problems.</w:t>
      </w:r>
      <w:r w:rsidR="00B065A0">
        <w:rPr>
          <w:rFonts w:ascii="Times New Roman" w:hAnsi="Times New Roman" w:cs="Times New Roman"/>
        </w:rPr>
        <w:t xml:space="preserve"> </w:t>
      </w:r>
      <w:r w:rsidR="00445E2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45E2E" w:rsidRPr="009D3026">
        <w:rPr>
          <w:rFonts w:ascii="Times New Roman" w:hAnsi="Times New Roman" w:cs="Times New Roman"/>
        </w:rPr>
        <w:t>189</w:t>
      </w:r>
      <w:r w:rsidR="008F0DDA" w:rsidRPr="009D3026">
        <w:rPr>
          <w:rFonts w:ascii="Times New Roman" w:hAnsi="Times New Roman" w:cs="Times New Roman"/>
        </w:rPr>
        <w:t>3</w:t>
      </w:r>
      <w:r w:rsidR="00445E2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1528C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Supreme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Court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invalidated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bequest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lastRenderedPageBreak/>
        <w:t>City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library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governor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Samuel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Tilden</w:t>
      </w:r>
      <w:r w:rsidR="00222E5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“</w:t>
      </w:r>
      <w:r w:rsidR="00D940FC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York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law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recognized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valid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only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those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charitable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trusts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which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beneficiaries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were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immediately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ascertainable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persons,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>”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assembly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passed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allowed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101AE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bequests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22E57" w:rsidRPr="009D3026">
        <w:rPr>
          <w:rFonts w:ascii="Times New Roman" w:hAnsi="Times New Roman" w:cs="Times New Roman"/>
          <w:color w:val="000000" w:themeColor="text1"/>
        </w:rPr>
        <w:t>i</w:t>
      </w:r>
      <w:r w:rsidR="005C4A69" w:rsidRPr="009D3026">
        <w:rPr>
          <w:rFonts w:ascii="Times New Roman" w:hAnsi="Times New Roman" w:cs="Times New Roman"/>
          <w:color w:val="000000" w:themeColor="text1"/>
        </w:rPr>
        <w:t>ndefinite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5C4A69" w:rsidRPr="009D3026">
        <w:rPr>
          <w:rFonts w:ascii="Times New Roman" w:hAnsi="Times New Roman" w:cs="Times New Roman"/>
          <w:color w:val="000000" w:themeColor="text1"/>
        </w:rPr>
        <w:t>ends</w:t>
      </w:r>
      <w:r w:rsidR="005C4A69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040A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040AE"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recognition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040AE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22E57" w:rsidRPr="009D3026">
        <w:rPr>
          <w:rFonts w:ascii="Times New Roman" w:hAnsi="Times New Roman" w:cs="Times New Roman"/>
        </w:rPr>
        <w:t>c</w:t>
      </w:r>
      <w:r w:rsidR="005C4A69" w:rsidRPr="009D3026">
        <w:rPr>
          <w:rFonts w:ascii="Times New Roman" w:hAnsi="Times New Roman" w:cs="Times New Roman"/>
        </w:rPr>
        <w:t>ould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precise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delineation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subsequent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trustees.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ruling</w:t>
      </w:r>
      <w:r w:rsidR="00B065A0">
        <w:rPr>
          <w:rFonts w:ascii="Times New Roman" w:hAnsi="Times New Roman" w:cs="Times New Roman"/>
        </w:rPr>
        <w:t xml:space="preserve"> </w:t>
      </w:r>
      <w:r w:rsidR="006F5329" w:rsidRPr="009D3026">
        <w:rPr>
          <w:rFonts w:ascii="Times New Roman" w:hAnsi="Times New Roman" w:cs="Times New Roman"/>
        </w:rPr>
        <w:t>opened</w:t>
      </w:r>
      <w:r w:rsidR="00B065A0">
        <w:rPr>
          <w:rFonts w:ascii="Times New Roman" w:hAnsi="Times New Roman" w:cs="Times New Roman"/>
        </w:rPr>
        <w:t xml:space="preserve"> </w:t>
      </w:r>
      <w:r w:rsidR="006F532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greatly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expanded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vista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9C7384" w:rsidRPr="009D3026">
        <w:rPr>
          <w:rFonts w:ascii="Times New Roman" w:hAnsi="Times New Roman" w:cs="Times New Roman"/>
        </w:rPr>
        <w:t>organized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philanthropy</w:t>
      </w:r>
      <w:r w:rsidR="005C4A69" w:rsidRPr="009D3026">
        <w:rPr>
          <w:rFonts w:ascii="Times New Roman" w:hAnsi="Times New Roman" w:cs="Times New Roman"/>
        </w:rPr>
        <w:t>.</w:t>
      </w:r>
      <w:r w:rsidR="00C53B19" w:rsidRPr="009D3026">
        <w:rPr>
          <w:rStyle w:val="EndnoteReference"/>
          <w:rFonts w:ascii="Times New Roman" w:hAnsi="Times New Roman" w:cs="Times New Roman"/>
        </w:rPr>
        <w:endnoteReference w:id="8"/>
      </w:r>
    </w:p>
    <w:p w14:paraId="4582C4AB" w14:textId="05BE900B" w:rsidR="001F3C0B" w:rsidRPr="009D3026" w:rsidRDefault="00D31B5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banished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turn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define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landscape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shape</w:t>
      </w:r>
      <w:r w:rsidR="00DC3F89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2430D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430D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Cleveland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lawyer</w:t>
      </w:r>
      <w:r w:rsidR="002430DC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Frederick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Goff,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establish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066D7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city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  <w:color w:val="000000" w:themeColor="text1"/>
        </w:rPr>
        <w:t>191</w:t>
      </w:r>
      <w:r w:rsidR="00027E36" w:rsidRPr="009D3026">
        <w:rPr>
          <w:rFonts w:ascii="Times New Roman" w:hAnsi="Times New Roman" w:cs="Times New Roman"/>
          <w:color w:val="000000" w:themeColor="text1"/>
        </w:rPr>
        <w:t>4</w:t>
      </w:r>
      <w:r w:rsidR="00066D7F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witnessed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numerous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committed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obsole</w:t>
      </w:r>
      <w:r w:rsidR="008E2F10" w:rsidRPr="009D3026">
        <w:rPr>
          <w:rFonts w:ascii="Times New Roman" w:hAnsi="Times New Roman" w:cs="Times New Roman"/>
        </w:rPr>
        <w:t>te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causes</w:t>
      </w:r>
      <w:r w:rsidR="002430DC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2430DC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talked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frequently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menacingly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perils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066D7F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066D7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daughter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feared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walking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halls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home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night,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lest</w:t>
      </w:r>
      <w:r w:rsidR="00B065A0">
        <w:rPr>
          <w:rFonts w:ascii="Times New Roman" w:hAnsi="Times New Roman" w:cs="Times New Roman"/>
        </w:rPr>
        <w:t xml:space="preserve"> “</w:t>
      </w:r>
      <w:r w:rsidR="00AE278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hand…reach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grab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her.</w:t>
      </w:r>
      <w:r w:rsidR="00B065A0">
        <w:rPr>
          <w:rFonts w:ascii="Times New Roman" w:hAnsi="Times New Roman" w:cs="Times New Roman"/>
        </w:rPr>
        <w:t xml:space="preserve">” </w:t>
      </w:r>
      <w:r w:rsidR="003A331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designed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t</w:t>
      </w:r>
      <w:r w:rsidR="00066D7F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wider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pool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city</w:t>
      </w:r>
      <w:r w:rsidR="00B065A0">
        <w:rPr>
          <w:rFonts w:ascii="Times New Roman" w:hAnsi="Times New Roman" w:cs="Times New Roman"/>
        </w:rPr>
        <w:t>’</w:t>
      </w:r>
      <w:r w:rsidR="00066D7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residents,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including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small,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avoid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clutches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415AF3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415AF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corps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C0A22" w:rsidRPr="009D3026">
        <w:rPr>
          <w:rFonts w:ascii="Times New Roman" w:hAnsi="Times New Roman" w:cs="Times New Roman"/>
        </w:rPr>
        <w:t>respectable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trustees,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relied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worthy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ends,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future</w:t>
      </w:r>
      <w:r w:rsidR="00AE2788" w:rsidRPr="009D3026">
        <w:rPr>
          <w:rFonts w:ascii="Times New Roman" w:hAnsi="Times New Roman" w:cs="Times New Roman"/>
        </w:rPr>
        <w:t>.</w:t>
      </w:r>
      <w:r w:rsidR="00066D7F" w:rsidRPr="009D3026">
        <w:rPr>
          <w:rStyle w:val="EndnoteReference"/>
          <w:rFonts w:ascii="Times New Roman" w:hAnsi="Times New Roman" w:cs="Times New Roman"/>
        </w:rPr>
        <w:endnoteReference w:id="9"/>
      </w:r>
    </w:p>
    <w:p w14:paraId="2200FF22" w14:textId="48DEF201" w:rsidR="001F3C0B" w:rsidRPr="009D3026" w:rsidRDefault="001F3C0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color w:val="000000"/>
        </w:rPr>
        <w:t>Yet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for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all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fear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inspired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Goff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household,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it</w:t>
      </w:r>
      <w:r w:rsidR="00B065A0">
        <w:rPr>
          <w:rFonts w:ascii="Times New Roman" w:hAnsi="Times New Roman" w:cs="Times New Roman"/>
          <w:color w:val="000000"/>
        </w:rPr>
        <w:t>’</w:t>
      </w:r>
      <w:r w:rsidRPr="009D3026">
        <w:rPr>
          <w:rFonts w:ascii="Times New Roman" w:hAnsi="Times New Roman" w:cs="Times New Roman"/>
          <w:color w:val="000000"/>
        </w:rPr>
        <w:t>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clear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“</w:t>
      </w:r>
      <w:r w:rsidRPr="009D3026">
        <w:rPr>
          <w:rFonts w:ascii="Times New Roman" w:hAnsi="Times New Roman" w:cs="Times New Roman"/>
          <w:color w:val="000000"/>
        </w:rPr>
        <w:t>dead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hand</w:t>
      </w:r>
      <w:r w:rsidR="00B065A0">
        <w:rPr>
          <w:rFonts w:ascii="Times New Roman" w:hAnsi="Times New Roman" w:cs="Times New Roman"/>
          <w:color w:val="000000"/>
        </w:rPr>
        <w:t xml:space="preserve">” </w:t>
      </w:r>
      <w:r w:rsidRPr="009D3026">
        <w:rPr>
          <w:rFonts w:ascii="Times New Roman" w:hAnsi="Times New Roman" w:cs="Times New Roman"/>
          <w:color w:val="000000"/>
        </w:rPr>
        <w:t>was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less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bogeyman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among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U.S.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charitable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leaders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had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been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Britain</w:t>
      </w:r>
      <w:r w:rsidR="00AC099B" w:rsidRPr="009D3026">
        <w:rPr>
          <w:rFonts w:ascii="Times New Roman" w:hAnsi="Times New Roman" w:cs="Times New Roman"/>
          <w:color w:val="000000"/>
        </w:rPr>
        <w:t>.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="00AC099B" w:rsidRPr="009D3026">
        <w:rPr>
          <w:rFonts w:ascii="Times New Roman" w:hAnsi="Times New Roman" w:cs="Times New Roman"/>
          <w:color w:val="000000"/>
        </w:rPr>
        <w:t>I</w:t>
      </w:r>
      <w:r w:rsidRPr="009D3026">
        <w:rPr>
          <w:rFonts w:ascii="Times New Roman" w:hAnsi="Times New Roman" w:cs="Times New Roman"/>
          <w:color w:val="000000"/>
        </w:rPr>
        <w:t>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was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neutralized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main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features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would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come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to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define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grantmaking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philanthropic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foundation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United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States: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self-perpetuating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board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of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trustees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(bolstered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above-mentioned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Tilden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Act)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which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could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continually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interpret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donor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intent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light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of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contemporary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needs</w:t>
      </w:r>
      <w:r w:rsidR="00AC099B" w:rsidRPr="009D3026">
        <w:rPr>
          <w:rFonts w:ascii="Times New Roman" w:hAnsi="Times New Roman" w:cs="Times New Roman"/>
          <w:color w:val="000000"/>
        </w:rPr>
        <w:t>,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and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general-purpose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charter.</w:t>
      </w:r>
    </w:p>
    <w:p w14:paraId="583B4B78" w14:textId="09C3E03D" w:rsidR="00DC3F89" w:rsidRPr="009D3026" w:rsidRDefault="002F4FE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eponymous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lawyers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highlighted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features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guarantors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fit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made.</w:t>
      </w:r>
      <w:r w:rsidR="00B065A0">
        <w:rPr>
          <w:rFonts w:ascii="Times New Roman" w:hAnsi="Times New Roman" w:cs="Times New Roman"/>
        </w:rPr>
        <w:t xml:space="preserve"> “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fourteenth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” </w:t>
      </w:r>
      <w:r w:rsidR="005741E4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lawyer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Starr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Murphy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told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Senate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c</w:t>
      </w:r>
      <w:r w:rsidR="005741E4" w:rsidRPr="009D3026">
        <w:rPr>
          <w:rFonts w:ascii="Times New Roman" w:hAnsi="Times New Roman" w:cs="Times New Roman"/>
        </w:rPr>
        <w:t>ommittee</w:t>
      </w:r>
      <w:r w:rsidR="005A3D9C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“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twenty-first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</w:t>
      </w:r>
      <w:r w:rsidR="0044357F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“</w:t>
      </w:r>
      <w:r w:rsidR="0044357F" w:rsidRPr="009D3026">
        <w:rPr>
          <w:rFonts w:ascii="Times New Roman" w:hAnsi="Times New Roman" w:cs="Times New Roman"/>
        </w:rPr>
        <w:t>eminently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desirable,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Murphy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explained,</w:t>
      </w:r>
      <w:r w:rsidR="00B065A0">
        <w:rPr>
          <w:rFonts w:ascii="Times New Roman" w:hAnsi="Times New Roman" w:cs="Times New Roman"/>
        </w:rPr>
        <w:t xml:space="preserve"> “</w:t>
      </w:r>
      <w:r w:rsidR="0044357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determine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specific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objects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[charitable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bequests]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applied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men,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judge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necessities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light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knowledge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contemporaries….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men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always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exceed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man,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however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wise,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dead.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indefiniteness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53F2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44357F" w:rsidRPr="009D3026">
        <w:rPr>
          <w:rFonts w:ascii="Times New Roman" w:hAnsi="Times New Roman" w:cs="Times New Roman"/>
        </w:rPr>
        <w:t>elasticity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>’</w:t>
      </w:r>
      <w:r w:rsidR="0044357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purposes,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liability,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governed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men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(although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channel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="00B91F54" w:rsidRPr="009D3026">
        <w:rPr>
          <w:rFonts w:ascii="Times New Roman" w:hAnsi="Times New Roman" w:cs="Times New Roman"/>
        </w:rPr>
        <w:t>outlive</w:t>
      </w:r>
      <w:r w:rsidR="00B065A0">
        <w:rPr>
          <w:rFonts w:ascii="Times New Roman" w:hAnsi="Times New Roman" w:cs="Times New Roman"/>
        </w:rPr>
        <w:t xml:space="preserve"> </w:t>
      </w:r>
      <w:r w:rsidR="00B91F54" w:rsidRPr="009D3026">
        <w:rPr>
          <w:rFonts w:ascii="Times New Roman" w:hAnsi="Times New Roman" w:cs="Times New Roman"/>
        </w:rPr>
        <w:t>them)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adapt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times</w:t>
      </w:r>
      <w:r w:rsidR="005A3D9C" w:rsidRPr="009D3026">
        <w:rPr>
          <w:rFonts w:ascii="Times New Roman" w:hAnsi="Times New Roman" w:cs="Times New Roman"/>
        </w:rPr>
        <w:t>.</w:t>
      </w:r>
      <w:r w:rsidR="00B91F54" w:rsidRPr="009D3026">
        <w:rPr>
          <w:rStyle w:val="EndnoteReference"/>
          <w:rFonts w:ascii="Times New Roman" w:hAnsi="Times New Roman" w:cs="Times New Roman"/>
        </w:rPr>
        <w:endnoteReference w:id="10"/>
      </w:r>
    </w:p>
    <w:p w14:paraId="4F847ACF" w14:textId="2BEB8CDB" w:rsidR="002F4FE7" w:rsidRPr="009D3026" w:rsidRDefault="00DC3F8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92436C" w:rsidRPr="009D3026">
        <w:rPr>
          <w:rFonts w:ascii="Times New Roman" w:hAnsi="Times New Roman" w:cs="Times New Roman"/>
        </w:rPr>
        <w:t>T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preoccupy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</w:t>
      </w:r>
      <w:r w:rsidR="008D0387" w:rsidRPr="009D3026">
        <w:rPr>
          <w:rFonts w:ascii="Times New Roman" w:hAnsi="Times New Roman" w:cs="Times New Roman"/>
        </w:rPr>
        <w:t>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critics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hinged</w:t>
      </w:r>
      <w:r w:rsidR="00B065A0">
        <w:rPr>
          <w:rFonts w:ascii="Times New Roman" w:hAnsi="Times New Roman" w:cs="Times New Roman"/>
        </w:rPr>
        <w:t xml:space="preserve"> </w:t>
      </w:r>
      <w:r w:rsidR="00BF17AF"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hold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Sears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Roebuck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Julius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termed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2F4FE7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>”</w:t>
      </w:r>
      <w:r w:rsidR="002F4FE7" w:rsidRPr="009D3026">
        <w:rPr>
          <w:rFonts w:ascii="Times New Roman" w:hAnsi="Times New Roman" w:cs="Times New Roman"/>
        </w:rPr>
        <w:t>—that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is,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relative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day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future</w:t>
      </w:r>
      <w:r w:rsidR="002F4FE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admonitory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ethic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497C83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understood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it,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DB76D3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DB76D3" w:rsidRPr="009D3026">
        <w:rPr>
          <w:rFonts w:ascii="Times New Roman" w:hAnsi="Times New Roman" w:cs="Times New Roman"/>
        </w:rPr>
        <w:t>affirmative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one</w:t>
      </w:r>
      <w:r w:rsidR="00455F1D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21B6B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often,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shape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21B6B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821B6B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4E2810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4E2810" w:rsidRPr="009D3026">
        <w:rPr>
          <w:rFonts w:ascii="Times New Roman" w:hAnsi="Times New Roman" w:cs="Times New Roman"/>
        </w:rPr>
        <w:t>disbursement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A0898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funds</w:t>
      </w:r>
      <w:r w:rsidR="002F4FE7" w:rsidRPr="009D3026">
        <w:rPr>
          <w:rFonts w:ascii="Times New Roman" w:hAnsi="Times New Roman" w:cs="Times New Roman"/>
        </w:rPr>
        <w:t>.</w:t>
      </w:r>
      <w:r w:rsidR="00F9072D" w:rsidRPr="009D3026">
        <w:rPr>
          <w:rStyle w:val="EndnoteReference"/>
          <w:rFonts w:ascii="Times New Roman" w:hAnsi="Times New Roman" w:cs="Times New Roman"/>
        </w:rPr>
        <w:endnoteReference w:id="11"/>
      </w:r>
    </w:p>
    <w:p w14:paraId="1A3F6503" w14:textId="678FA5F3" w:rsidR="00304DAE" w:rsidRPr="009D3026" w:rsidRDefault="002F4FE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demonstrate</w:t>
      </w:r>
      <w:r w:rsidR="00005BD6" w:rsidRPr="009D3026">
        <w:rPr>
          <w:rFonts w:ascii="Times New Roman" w:hAnsi="Times New Roman" w:cs="Times New Roman"/>
        </w:rPr>
        <w:t>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</w:t>
      </w:r>
      <w:r w:rsidR="00005BD6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sh</w:t>
      </w:r>
      <w:r w:rsidRPr="009D3026">
        <w:rPr>
          <w:rFonts w:ascii="Times New Roman" w:hAnsi="Times New Roman" w:cs="Times New Roman"/>
        </w:rPr>
        <w:t>ould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inform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lifespan.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end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stood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Andrew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Carnegie</w:t>
      </w:r>
      <w:r w:rsidR="00FF2F00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Scots-born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steel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FF2F00" w:rsidRPr="009D3026">
        <w:rPr>
          <w:rFonts w:ascii="Times New Roman" w:hAnsi="Times New Roman" w:cs="Times New Roman"/>
        </w:rPr>
        <w:t>magnate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leading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devotee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lastRenderedPageBreak/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was,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historian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“</w:t>
      </w:r>
      <w:r w:rsidR="00FF2F00" w:rsidRPr="009D3026">
        <w:rPr>
          <w:rFonts w:ascii="Times New Roman" w:hAnsi="Times New Roman" w:cs="Times New Roman"/>
        </w:rPr>
        <w:t>characteristic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basal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Mr.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="00FF2F00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concept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” </w:t>
      </w:r>
      <w:r w:rsidR="00FF2F0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feature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established.</w:t>
      </w:r>
      <w:r w:rsidR="00B065A0">
        <w:rPr>
          <w:rFonts w:ascii="Times New Roman" w:hAnsi="Times New Roman" w:cs="Times New Roman"/>
        </w:rPr>
        <w:t xml:space="preserve"> “</w:t>
      </w:r>
      <w:r w:rsidR="00FF2F00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desire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FF2F00" w:rsidRPr="009D3026">
        <w:rPr>
          <w:rFonts w:ascii="Times New Roman" w:hAnsi="Times New Roman" w:cs="Times New Roman"/>
        </w:rPr>
        <w:t>hav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carrying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on…shall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continue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generations,</w:t>
      </w:r>
      <w:r w:rsidR="00B065A0">
        <w:rPr>
          <w:rFonts w:ascii="Times New Roman" w:hAnsi="Times New Roman" w:cs="Times New Roman"/>
        </w:rPr>
        <w:t xml:space="preserve">” </w:t>
      </w:r>
      <w:r w:rsidR="00FF2F00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wrote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1911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letter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Corporation,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using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phonetic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spelling.</w:t>
      </w:r>
      <w:r w:rsidR="00B065A0">
        <w:rPr>
          <w:rFonts w:ascii="Times New Roman" w:hAnsi="Times New Roman" w:cs="Times New Roman"/>
        </w:rPr>
        <w:t xml:space="preserve"> “</w:t>
      </w:r>
      <w:r w:rsidR="00FF2F00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chief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happiness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write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lines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lies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thot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pass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FF2F00" w:rsidRPr="009D3026">
        <w:rPr>
          <w:rFonts w:ascii="Times New Roman" w:hAnsi="Times New Roman" w:cs="Times New Roman"/>
        </w:rPr>
        <w:t>welth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came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administer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sacred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fellow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men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continue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humanity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untold.</w:t>
      </w:r>
      <w:r w:rsidR="00B065A0">
        <w:rPr>
          <w:rFonts w:ascii="Times New Roman" w:hAnsi="Times New Roman" w:cs="Times New Roman"/>
        </w:rPr>
        <w:t>”</w:t>
      </w:r>
      <w:r w:rsidR="00094500" w:rsidRPr="009D3026">
        <w:rPr>
          <w:rStyle w:val="EndnoteReference"/>
          <w:rFonts w:ascii="Times New Roman" w:hAnsi="Times New Roman" w:cs="Times New Roman"/>
        </w:rPr>
        <w:endnoteReference w:id="12"/>
      </w:r>
    </w:p>
    <w:p w14:paraId="761367B8" w14:textId="3985A292" w:rsidR="006314C5" w:rsidRPr="009D3026" w:rsidRDefault="00094500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embrace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ignore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egoistic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C098F" w:rsidRPr="009D3026">
        <w:rPr>
          <w:rFonts w:ascii="Times New Roman" w:hAnsi="Times New Roman" w:cs="Times New Roman"/>
        </w:rPr>
        <w:t>immortality</w:t>
      </w:r>
      <w:r w:rsidR="00B065A0">
        <w:rPr>
          <w:rFonts w:ascii="Times New Roman" w:hAnsi="Times New Roman" w:cs="Times New Roman"/>
        </w:rPr>
        <w:t xml:space="preserve"> </w:t>
      </w:r>
      <w:r w:rsidR="00FC098F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benevolent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impulses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intertwined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D223BE" w:rsidRPr="009D3026">
        <w:rPr>
          <w:rFonts w:ascii="Times New Roman" w:hAnsi="Times New Roman" w:cs="Times New Roman"/>
        </w:rPr>
        <w:t>compulsi</w:t>
      </w:r>
      <w:r w:rsidR="005061AE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self-promotion.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captured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motto: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6D1458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6D1458" w:rsidRPr="009D3026">
        <w:rPr>
          <w:rFonts w:ascii="Times New Roman" w:hAnsi="Times New Roman" w:cs="Times New Roman"/>
        </w:rPr>
        <w:t>carried</w:t>
      </w:r>
      <w:r w:rsidR="00B065A0">
        <w:rPr>
          <w:rFonts w:ascii="Times New Roman" w:hAnsi="Times New Roman" w:cs="Times New Roman"/>
        </w:rPr>
        <w:t xml:space="preserve"> </w:t>
      </w:r>
      <w:r w:rsidR="006D1458" w:rsidRPr="009D3026">
        <w:rPr>
          <w:rFonts w:ascii="Times New Roman" w:hAnsi="Times New Roman" w:cs="Times New Roman"/>
        </w:rPr>
        <w:t>along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gradual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unspooling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adaptability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perfectibility.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1919,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International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startlingly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hopeful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proviso,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bloodshed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swept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Western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world.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When…war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discarded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disgraceful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civilized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men…the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please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degrading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banishment…would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elevation,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happiness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lies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kernel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harbor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millennial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represented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epoch.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incremental—and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progressive—view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uplift.</w:t>
      </w:r>
      <w:r w:rsidR="006314C5" w:rsidRPr="009D3026">
        <w:rPr>
          <w:rStyle w:val="EndnoteReference"/>
          <w:rFonts w:ascii="Times New Roman" w:hAnsi="Times New Roman" w:cs="Times New Roman"/>
        </w:rPr>
        <w:endnoteReference w:id="13"/>
      </w:r>
    </w:p>
    <w:p w14:paraId="5DE25B2E" w14:textId="0EFCAFC5" w:rsidR="006314C5" w:rsidRPr="009D3026" w:rsidRDefault="006314C5" w:rsidP="009D302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Related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reason—or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perspicacity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="00235296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understanding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dominated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flux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constancy.</w:t>
      </w:r>
      <w:r w:rsidR="00B065A0">
        <w:rPr>
          <w:rFonts w:ascii="Times New Roman" w:hAnsi="Times New Roman" w:cs="Times New Roman"/>
        </w:rPr>
        <w:t xml:space="preserve"> “</w:t>
      </w:r>
      <w:r w:rsidR="00235296" w:rsidRPr="009D3026">
        <w:rPr>
          <w:rFonts w:ascii="Times New Roman" w:hAnsi="Times New Roman" w:cs="Times New Roman"/>
        </w:rPr>
        <w:t>Conditions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235296" w:rsidRPr="009D3026">
        <w:rPr>
          <w:rFonts w:ascii="Times New Roman" w:hAnsi="Times New Roman" w:cs="Times New Roman"/>
        </w:rPr>
        <w:t>Erth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inevitably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change,</w:t>
      </w:r>
      <w:r w:rsidR="00B065A0">
        <w:rPr>
          <w:rFonts w:ascii="Times New Roman" w:hAnsi="Times New Roman" w:cs="Times New Roman"/>
        </w:rPr>
        <w:t xml:space="preserve">” </w:t>
      </w:r>
      <w:r w:rsidR="00235296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insisted,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decency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judiciousness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lead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not.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Pritchett,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long-serving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Advancement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Teaching,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favor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men.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According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Pritchett,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permanent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promotion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agencies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maximum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efficiency;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organisms,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commonplace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performance.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looking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confidence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successive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groups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responsibilities.</w:t>
      </w:r>
      <w:r w:rsidR="00B065A0">
        <w:rPr>
          <w:rFonts w:ascii="Times New Roman" w:hAnsi="Times New Roman" w:cs="Times New Roman"/>
        </w:rPr>
        <w:t>”</w:t>
      </w:r>
      <w:r w:rsidRPr="009D3026">
        <w:rPr>
          <w:rStyle w:val="EndnoteReference"/>
          <w:rFonts w:ascii="Times New Roman" w:hAnsi="Times New Roman" w:cs="Times New Roman"/>
        </w:rPr>
        <w:endnoteReference w:id="14"/>
      </w:r>
    </w:p>
    <w:p w14:paraId="5AD01E0F" w14:textId="7847AB90" w:rsidR="00841805" w:rsidRPr="009D3026" w:rsidRDefault="007C5771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pole,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365EBE" w:rsidRPr="009D3026">
        <w:rPr>
          <w:rFonts w:ascii="Times New Roman" w:hAnsi="Times New Roman" w:cs="Times New Roman"/>
        </w:rPr>
        <w:t>Sears,</w:t>
      </w:r>
      <w:r w:rsidR="00B065A0">
        <w:rPr>
          <w:rFonts w:ascii="Times New Roman" w:hAnsi="Times New Roman" w:cs="Times New Roman"/>
        </w:rPr>
        <w:t xml:space="preserve"> </w:t>
      </w:r>
      <w:r w:rsidR="00365EBE" w:rsidRPr="009D3026">
        <w:rPr>
          <w:rFonts w:ascii="Times New Roman" w:hAnsi="Times New Roman" w:cs="Times New Roman"/>
        </w:rPr>
        <w:t>Roebuck</w:t>
      </w:r>
      <w:r w:rsidR="00B065A0">
        <w:rPr>
          <w:rFonts w:ascii="Times New Roman" w:hAnsi="Times New Roman" w:cs="Times New Roman"/>
        </w:rPr>
        <w:t>’</w:t>
      </w:r>
      <w:r w:rsidR="00365EBE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Rosenwald,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6314C5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preeminent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critic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461B8" w:rsidRPr="009D3026">
        <w:rPr>
          <w:rFonts w:ascii="Times New Roman" w:hAnsi="Times New Roman" w:cs="Times New Roman"/>
        </w:rPr>
        <w:t>leading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champion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philanthropy</w:t>
      </w:r>
      <w:r w:rsidR="006314C5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Fund,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1917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known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funding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  <w:color w:val="000000" w:themeColor="text1"/>
        </w:rPr>
        <w:t>thousands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elementary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schools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African-Americans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South,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1948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first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private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foundation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fund</w:t>
      </w:r>
      <w:r w:rsidR="000461B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go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existence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accordance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expressed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founder</w:t>
      </w:r>
      <w:r w:rsidR="00371EE6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1949</w:t>
      </w:r>
      <w:r w:rsidR="00B065A0">
        <w:rPr>
          <w:rFonts w:ascii="Times New Roman" w:hAnsi="Times New Roman" w:cs="Times New Roman"/>
        </w:rPr>
        <w:t xml:space="preserve"> </w:t>
      </w:r>
      <w:r w:rsidR="00841805" w:rsidRPr="009D3026">
        <w:rPr>
          <w:rFonts w:ascii="Times New Roman" w:hAnsi="Times New Roman" w:cs="Times New Roman"/>
        </w:rPr>
        <w:t>retrospective</w:t>
      </w:r>
      <w:r w:rsidR="006369A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director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co-author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explained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Fund</w:t>
      </w:r>
      <w:r w:rsidR="00841805" w:rsidRPr="009D3026">
        <w:rPr>
          <w:rFonts w:ascii="Times New Roman" w:hAnsi="Times New Roman" w:cs="Times New Roman"/>
        </w:rPr>
        <w:t>:</w:t>
      </w:r>
    </w:p>
    <w:p w14:paraId="42DAC16E" w14:textId="7948C540" w:rsidR="006369AA" w:rsidRPr="009D3026" w:rsidRDefault="00B065A0" w:rsidP="009D3026">
      <w:pPr>
        <w:spacing w:line="480" w:lineRule="auto"/>
        <w:ind w:left="72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="00841805" w:rsidRPr="009D3026">
        <w:rPr>
          <w:rFonts w:ascii="Times New Roman" w:eastAsia="Times New Roman" w:hAnsi="Times New Roman" w:cs="Times New Roman"/>
        </w:rPr>
        <w:t>[The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foundation</w:t>
      </w:r>
      <w:r>
        <w:rPr>
          <w:rFonts w:ascii="Times New Roman" w:eastAsia="Times New Roman" w:hAnsi="Times New Roman" w:cs="Times New Roman"/>
        </w:rPr>
        <w:t>’</w:t>
      </w:r>
      <w:r w:rsidR="00841805" w:rsidRPr="009D3026">
        <w:rPr>
          <w:rFonts w:ascii="Times New Roman" w:eastAsia="Times New Roman" w:hAnsi="Times New Roman" w:cs="Times New Roman"/>
        </w:rPr>
        <w:t>s]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officers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trustees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preoccupied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saving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funds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conserving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capital.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grow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stale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nor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themselves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routinized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bureaucracy.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able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throw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resources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done.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all,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lastRenderedPageBreak/>
        <w:t>life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short,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Fund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constantly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striving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effort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continuing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society.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educational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programs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very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beginning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parts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schools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colleges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institutions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constituency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wide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assure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continued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support.</w:t>
      </w:r>
      <w:r>
        <w:rPr>
          <w:rFonts w:ascii="Times New Roman" w:eastAsia="Times New Roman" w:hAnsi="Times New Roman" w:cs="Times New Roman"/>
        </w:rPr>
        <w:t>”</w:t>
      </w:r>
      <w:r w:rsidR="00841805" w:rsidRPr="009D3026">
        <w:rPr>
          <w:rStyle w:val="EndnoteReference"/>
          <w:rFonts w:ascii="Times New Roman" w:eastAsia="Times New Roman" w:hAnsi="Times New Roman" w:cs="Times New Roman"/>
        </w:rPr>
        <w:endnoteReference w:id="15"/>
      </w:r>
    </w:p>
    <w:p w14:paraId="703E7183" w14:textId="2C12BA33" w:rsidR="00A83347" w:rsidRPr="009D3026" w:rsidRDefault="00841805" w:rsidP="009D3026">
      <w:pPr>
        <w:spacing w:line="480" w:lineRule="auto"/>
        <w:ind w:right="720" w:firstLine="720"/>
        <w:rPr>
          <w:rFonts w:ascii="Times New Roman" w:eastAsia="Times New Roman" w:hAnsi="Times New Roman" w:cs="Times New Roman"/>
        </w:rPr>
      </w:pPr>
      <w:r w:rsidRPr="009D3026">
        <w:rPr>
          <w:rFonts w:ascii="Times New Roman" w:eastAsia="Times New Roman" w:hAnsi="Times New Roman" w:cs="Times New Roman"/>
        </w:rPr>
        <w:t>Here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we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find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early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articulation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basic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claims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would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made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behalf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limited-life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philanthropy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for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next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half-century: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promotes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more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vital,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flexible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style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giving;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directs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additional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funds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toward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urgent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problems;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prevents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development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bureaucracy;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better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attuned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to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importance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grantee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self-sufficiency.</w:t>
      </w:r>
    </w:p>
    <w:p w14:paraId="3040FB37" w14:textId="2CA1C97F" w:rsidR="00C2737F" w:rsidRPr="009D3026" w:rsidRDefault="00371EE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1929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articles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Atlantic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Monthly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  <w:i/>
          <w:iCs/>
        </w:rPr>
        <w:t>The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Saturday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Evening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="008D601B" w:rsidRPr="009D3026">
        <w:rPr>
          <w:rFonts w:ascii="Times New Roman" w:hAnsi="Times New Roman" w:cs="Times New Roman"/>
          <w:i/>
          <w:iCs/>
        </w:rPr>
        <w:t>Post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8C305B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explicit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defining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ethic</w:t>
      </w:r>
      <w:r w:rsidR="008C305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8C305B" w:rsidRPr="009D3026">
        <w:rPr>
          <w:rFonts w:ascii="Times New Roman" w:hAnsi="Times New Roman" w:cs="Times New Roman"/>
        </w:rPr>
        <w:t>warp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woof</w:t>
      </w:r>
      <w:r w:rsidR="00B065A0">
        <w:rPr>
          <w:rFonts w:ascii="Times New Roman" w:hAnsi="Times New Roman" w:cs="Times New Roman"/>
        </w:rPr>
        <w:t xml:space="preserve">” </w:t>
      </w:r>
      <w:r w:rsidR="008C305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foundation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advocacy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rooted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traditional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cautionary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rationale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danger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8D601B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” </w:t>
      </w:r>
      <w:r w:rsidR="008D601B" w:rsidRPr="009D3026">
        <w:rPr>
          <w:rFonts w:ascii="Times New Roman" w:hAnsi="Times New Roman" w:cs="Times New Roman"/>
        </w:rPr>
        <w:t>th</w:t>
      </w:r>
      <w:r w:rsidR="005F6CB9" w:rsidRPr="009D3026">
        <w:rPr>
          <w:rFonts w:ascii="Times New Roman" w:hAnsi="Times New Roman" w:cs="Times New Roman"/>
        </w:rPr>
        <w:t>e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extending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moral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preferences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priorities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inefficiency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waste,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AD33C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D33C0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AD33C0" w:rsidRPr="009D3026">
        <w:rPr>
          <w:rFonts w:ascii="Times New Roman" w:hAnsi="Times New Roman" w:cs="Times New Roman"/>
        </w:rPr>
        <w:t>insistence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affinity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age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lived.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practical—and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epistemic—level,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simply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function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orbit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familiarity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intelligibility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extended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future</w:t>
      </w:r>
      <w:r w:rsidR="00A8334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wrote,</w:t>
      </w:r>
      <w:r w:rsidR="00B065A0">
        <w:rPr>
          <w:rFonts w:ascii="Times New Roman" w:hAnsi="Times New Roman" w:cs="Times New Roman"/>
        </w:rPr>
        <w:t xml:space="preserve"> “</w:t>
      </w:r>
      <w:r w:rsidR="00A83347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certain,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seek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serve.</w:t>
      </w:r>
      <w:r w:rsidR="00B065A0">
        <w:rPr>
          <w:rFonts w:ascii="Times New Roman" w:hAnsi="Times New Roman" w:cs="Times New Roman"/>
        </w:rPr>
        <w:t>”</w:t>
      </w:r>
      <w:r w:rsidR="00A83347" w:rsidRPr="009D3026">
        <w:rPr>
          <w:rStyle w:val="EndnoteReference"/>
          <w:rFonts w:ascii="Times New Roman" w:hAnsi="Times New Roman" w:cs="Times New Roman"/>
        </w:rPr>
        <w:endnoteReference w:id="16"/>
      </w:r>
    </w:p>
    <w:p w14:paraId="35A059AF" w14:textId="3156A1AE" w:rsidR="005D3F94" w:rsidRPr="009D3026" w:rsidRDefault="00A8334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connected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</w:t>
      </w:r>
      <w:r w:rsidR="006369AA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millionaire,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wrote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Saturday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Evening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Post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generosity.</w:t>
      </w:r>
      <w:r w:rsidR="00B065A0">
        <w:rPr>
          <w:rFonts w:ascii="Times New Roman" w:hAnsi="Times New Roman" w:cs="Times New Roman"/>
        </w:rPr>
        <w:t xml:space="preserve">”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lastRenderedPageBreak/>
        <w:t>giver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driven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confident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find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benefactors.</w:t>
      </w:r>
      <w:r w:rsidR="00B065A0">
        <w:rPr>
          <w:rFonts w:ascii="Times New Roman" w:hAnsi="Times New Roman" w:cs="Times New Roman"/>
        </w:rPr>
        <w:t xml:space="preserve"> “</w:t>
      </w:r>
      <w:r w:rsidR="00F731D7" w:rsidRPr="009D3026">
        <w:rPr>
          <w:rFonts w:ascii="Times New Roman" w:hAnsi="Times New Roman" w:cs="Times New Roman"/>
        </w:rPr>
        <w:t>[T]he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F731D7" w:rsidRPr="009D3026">
        <w:rPr>
          <w:rFonts w:ascii="Times New Roman" w:hAnsi="Times New Roman" w:cs="Times New Roman"/>
        </w:rPr>
        <w:t>crying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demands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Negro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schools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colleges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reasons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throwing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needs,</w:t>
      </w:r>
      <w:r w:rsidR="00B065A0">
        <w:rPr>
          <w:rFonts w:ascii="Times New Roman" w:hAnsi="Times New Roman" w:cs="Times New Roman"/>
        </w:rPr>
        <w:t xml:space="preserve">” </w:t>
      </w:r>
      <w:r w:rsidR="00F731D7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wrote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  <w:i/>
          <w:iCs/>
        </w:rPr>
        <w:t>Atlantic</w:t>
      </w:r>
      <w:r w:rsidR="00F731D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“</w:t>
      </w:r>
      <w:r w:rsidR="00F731D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leaving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coming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meeting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requirements,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certain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to-day.</w:t>
      </w:r>
      <w:r w:rsidR="00B065A0">
        <w:rPr>
          <w:rFonts w:ascii="Times New Roman" w:hAnsi="Times New Roman" w:cs="Times New Roman"/>
        </w:rPr>
        <w:t xml:space="preserve">” </w:t>
      </w:r>
      <w:r w:rsidR="00C2737F"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="00C2737F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insisted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biblical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manna,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Children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Israel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sate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hunger,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melted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day.</w:t>
      </w:r>
      <w:r w:rsidR="00B065A0">
        <w:rPr>
          <w:rFonts w:ascii="Times New Roman" w:hAnsi="Times New Roman" w:cs="Times New Roman"/>
        </w:rPr>
        <w:t>”</w:t>
      </w:r>
      <w:r w:rsidR="005D3F94" w:rsidRPr="009D3026">
        <w:rPr>
          <w:rStyle w:val="EndnoteReference"/>
          <w:rFonts w:ascii="Times New Roman" w:hAnsi="Times New Roman" w:cs="Times New Roman"/>
        </w:rPr>
        <w:endnoteReference w:id="17"/>
      </w:r>
    </w:p>
    <w:p w14:paraId="769D4A66" w14:textId="7AD2202A" w:rsidR="00604C0C" w:rsidRPr="009D3026" w:rsidRDefault="00A8334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evanescence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virtue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regeneration.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bolstered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opposite.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confident,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argued,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enlightened,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energetic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safely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” </w:t>
      </w:r>
      <w:r w:rsidR="00604C0C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belief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translated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reluctance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attached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condition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Chicago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year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interest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principal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spent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full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F64E8D" w:rsidRPr="009D3026">
        <w:rPr>
          <w:rFonts w:ascii="Times New Roman" w:hAnsi="Times New Roman" w:cs="Times New Roman"/>
        </w:rPr>
        <w:t>exhausted</w:t>
      </w:r>
      <w:r w:rsidR="00604C0C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admitted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disbursed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yield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fifty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hence,</w:t>
      </w:r>
      <w:r w:rsidR="00B065A0">
        <w:rPr>
          <w:rFonts w:ascii="Times New Roman" w:hAnsi="Times New Roman" w:cs="Times New Roman"/>
        </w:rPr>
        <w:t xml:space="preserve">” </w:t>
      </w:r>
      <w:r w:rsidR="00604C0C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added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reassuringly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fifty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generation.</w:t>
      </w:r>
      <w:r w:rsidR="00B065A0">
        <w:rPr>
          <w:rFonts w:ascii="Times New Roman" w:hAnsi="Times New Roman" w:cs="Times New Roman"/>
        </w:rPr>
        <w:t>”</w:t>
      </w:r>
      <w:r w:rsidR="00C2737F" w:rsidRPr="009D3026">
        <w:rPr>
          <w:rStyle w:val="EndnoteReference"/>
          <w:rFonts w:ascii="Times New Roman" w:hAnsi="Times New Roman" w:cs="Times New Roman"/>
        </w:rPr>
        <w:endnoteReference w:id="18"/>
      </w:r>
    </w:p>
    <w:p w14:paraId="075E116E" w14:textId="57CFA2D9" w:rsidR="00554B89" w:rsidRPr="009D3026" w:rsidRDefault="00C964EA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5F6CB9"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championed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limited-lif</w:t>
      </w:r>
      <w:r w:rsidR="0064105F" w:rsidRPr="009D3026">
        <w:rPr>
          <w:rFonts w:ascii="Times New Roman" w:hAnsi="Times New Roman" w:cs="Times New Roman"/>
        </w:rPr>
        <w:t>e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s</w:t>
      </w:r>
      <w:r w:rsidRPr="009D3026">
        <w:rPr>
          <w:rFonts w:ascii="Times New Roman" w:hAnsi="Times New Roman" w:cs="Times New Roman"/>
        </w:rPr>
        <w:t>omewhere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middle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sat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554B89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various</w:t>
      </w:r>
      <w:r w:rsidR="00B065A0">
        <w:rPr>
          <w:rFonts w:ascii="Times New Roman" w:hAnsi="Times New Roman" w:cs="Times New Roman"/>
        </w:rPr>
        <w:t xml:space="preserve"> </w:t>
      </w:r>
      <w:r w:rsidR="00C926EE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C926EE" w:rsidRPr="009D3026">
        <w:rPr>
          <w:rFonts w:ascii="Times New Roman" w:hAnsi="Times New Roman" w:cs="Times New Roman"/>
        </w:rPr>
        <w:t>boards,</w:t>
      </w:r>
      <w:r w:rsidR="00B065A0">
        <w:rPr>
          <w:rFonts w:ascii="Times New Roman" w:hAnsi="Times New Roman" w:cs="Times New Roman"/>
        </w:rPr>
        <w:t xml:space="preserve"> </w:t>
      </w:r>
      <w:r w:rsidR="00C926E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directed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them,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exhibited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lifespans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corresponding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practices,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opposed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single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uniform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position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pole.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1909,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Rockefeller,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released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Education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Board,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lastRenderedPageBreak/>
        <w:t>of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created,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maintaining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life,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closed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doors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1964.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issued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GEB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dissolution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states,</w:t>
      </w:r>
      <w:r w:rsidR="00B065A0">
        <w:rPr>
          <w:rFonts w:ascii="Times New Roman" w:hAnsi="Times New Roman" w:cs="Times New Roman"/>
        </w:rPr>
        <w:t xml:space="preserve"> “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deliberately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chose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meet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challenge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worthy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causes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preserve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disposal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indefinite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” </w:t>
      </w:r>
      <w:r w:rsidR="00FE4C4B" w:rsidRPr="009D3026">
        <w:rPr>
          <w:rFonts w:ascii="Times New Roman" w:eastAsia="Times New Roman" w:hAnsi="Times New Roman" w:cs="Times New Roman"/>
        </w:rPr>
        <w:t>In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doing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so,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balanced</w:t>
      </w:r>
      <w:r w:rsidR="00B065A0">
        <w:rPr>
          <w:rFonts w:ascii="Times New Roman" w:eastAsia="Times New Roman" w:hAnsi="Times New Roman" w:cs="Times New Roman"/>
        </w:rPr>
        <w:t xml:space="preserve"> “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needs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and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uncertainties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years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ahead…against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concrete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opportunities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afforded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by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first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half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twentieth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century.</w:t>
      </w:r>
      <w:r w:rsidR="00B065A0">
        <w:rPr>
          <w:rFonts w:ascii="Times New Roman" w:eastAsia="Times New Roman" w:hAnsi="Times New Roman" w:cs="Times New Roman"/>
        </w:rPr>
        <w:t>”</w:t>
      </w:r>
      <w:r w:rsidR="00C71327" w:rsidRPr="009D3026">
        <w:rPr>
          <w:rStyle w:val="EndnoteReference"/>
          <w:rFonts w:ascii="Times New Roman" w:eastAsia="Times New Roman" w:hAnsi="Times New Roman" w:cs="Times New Roman"/>
        </w:rPr>
        <w:endnoteReference w:id="19"/>
      </w:r>
    </w:p>
    <w:p w14:paraId="3ECF5F6F" w14:textId="5C319A99" w:rsidR="00554B89" w:rsidRPr="009D3026" w:rsidRDefault="00554B8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model,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life-time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100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concession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(the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offer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rejected)</w:t>
      </w:r>
      <w:r w:rsidRPr="009D3026">
        <w:rPr>
          <w:rFonts w:ascii="Times New Roman" w:hAnsi="Times New Roman" w:cs="Times New Roman"/>
        </w:rPr>
        <w:t>.</w:t>
      </w:r>
      <w:r w:rsidR="00F65F99" w:rsidRPr="009D3026">
        <w:rPr>
          <w:rStyle w:val="EndnoteReference"/>
          <w:rFonts w:ascii="Times New Roman" w:hAnsi="Times New Roman" w:cs="Times New Roman"/>
        </w:rPr>
        <w:endnoteReference w:id="20"/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Instead,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indeterminateness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urgency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opportunity—the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aftermath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instance—might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resolution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timeframe.</w:t>
      </w:r>
    </w:p>
    <w:p w14:paraId="3AF5EBA6" w14:textId="6E383E3D" w:rsidR="00554B89" w:rsidRPr="009D3026" w:rsidRDefault="00554B89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ignored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question;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contrary,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loomed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work.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</w:t>
      </w:r>
      <w:r w:rsidRPr="009D3026">
        <w:rPr>
          <w:rFonts w:ascii="Times New Roman" w:hAnsi="Times New Roman" w:cs="Times New Roman"/>
        </w:rPr>
        <w:t>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settled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1946,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polled,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expressed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terminating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quarter-century,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develop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meeting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urgency.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1964,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frequently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conditions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needs.</w:t>
      </w:r>
      <w:r w:rsidR="00B065A0">
        <w:rPr>
          <w:rFonts w:ascii="Times New Roman" w:hAnsi="Times New Roman" w:cs="Times New Roman"/>
        </w:rPr>
        <w:t>”</w:t>
      </w:r>
      <w:r w:rsidR="006D3362" w:rsidRPr="009D3026">
        <w:rPr>
          <w:rStyle w:val="EndnoteReference"/>
          <w:rFonts w:ascii="Times New Roman" w:hAnsi="Times New Roman" w:cs="Times New Roman"/>
        </w:rPr>
        <w:endnoteReference w:id="21"/>
      </w:r>
    </w:p>
    <w:p w14:paraId="2AC3A1A6" w14:textId="3C74488E" w:rsidR="00F260DF" w:rsidRPr="009D3026" w:rsidRDefault="005F6CB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</w:r>
      <w:r w:rsidR="004D7B5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D7B57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4D7B5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>’</w:t>
      </w:r>
      <w:r w:rsidR="004D7B5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D7B57" w:rsidRPr="009D3026">
        <w:rPr>
          <w:rFonts w:ascii="Times New Roman" w:hAnsi="Times New Roman" w:cs="Times New Roman"/>
        </w:rPr>
        <w:t>ope</w:t>
      </w:r>
      <w:r w:rsidR="00BA674E" w:rsidRPr="009D3026">
        <w:rPr>
          <w:rFonts w:ascii="Times New Roman" w:hAnsi="Times New Roman" w:cs="Times New Roman"/>
        </w:rPr>
        <w:t>n-ended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reflected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broader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trends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midcentury.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1952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determined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larger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probed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charters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featuring</w:t>
      </w:r>
      <w:r w:rsidR="00B065A0">
        <w:rPr>
          <w:rFonts w:ascii="Times New Roman" w:hAnsi="Times New Roman" w:cs="Times New Roman"/>
        </w:rPr>
        <w:t xml:space="preserve"> “</w:t>
      </w:r>
      <w:r w:rsidR="00F260DF" w:rsidRPr="009D3026">
        <w:rPr>
          <w:rFonts w:ascii="Times New Roman" w:hAnsi="Times New Roman" w:cs="Times New Roman"/>
        </w:rPr>
        <w:t>optional</w:t>
      </w:r>
      <w:r w:rsidR="00B065A0">
        <w:rPr>
          <w:rFonts w:ascii="Times New Roman" w:hAnsi="Times New Roman" w:cs="Times New Roman"/>
        </w:rPr>
        <w:t xml:space="preserve">” </w:t>
      </w:r>
      <w:r w:rsidR="00F260DF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“</w:t>
      </w:r>
      <w:r w:rsidR="00F260DF" w:rsidRPr="009D3026">
        <w:rPr>
          <w:rFonts w:ascii="Times New Roman" w:hAnsi="Times New Roman" w:cs="Times New Roman"/>
        </w:rPr>
        <w:t>discretionary</w:t>
      </w:r>
      <w:r w:rsidR="00B065A0">
        <w:rPr>
          <w:rFonts w:ascii="Times New Roman" w:hAnsi="Times New Roman" w:cs="Times New Roman"/>
        </w:rPr>
        <w:t xml:space="preserve">” </w:t>
      </w:r>
      <w:r w:rsidR="00F260DF" w:rsidRPr="009D3026">
        <w:rPr>
          <w:rFonts w:ascii="Times New Roman" w:hAnsi="Times New Roman" w:cs="Times New Roman"/>
        </w:rPr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survey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conducted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early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1960s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Library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Center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confirmed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finding.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32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responses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received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from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foundations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regarding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lifespan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decisions,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13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reported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commitment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perpetual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life,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while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another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17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reported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status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some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version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discretionary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perpetuity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(8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wrote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substantial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amount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capital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already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expended).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Only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one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reported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explicit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commitment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limited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life,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with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actual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termination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set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donor</w:t>
      </w:r>
      <w:r w:rsidR="004D7B57" w:rsidRPr="009D3026">
        <w:rPr>
          <w:rFonts w:ascii="Times New Roman" w:hAnsi="Times New Roman" w:cs="Times New Roman"/>
          <w:lang w:eastAsia="ja-JP"/>
        </w:rPr>
        <w:t>.</w:t>
      </w:r>
      <w:r w:rsidR="00BA674E" w:rsidRPr="009D3026">
        <w:rPr>
          <w:rStyle w:val="EndnoteReference"/>
          <w:rFonts w:ascii="Times New Roman" w:hAnsi="Times New Roman" w:cs="Times New Roman"/>
          <w:lang w:eastAsia="ja-JP"/>
        </w:rPr>
        <w:endnoteReference w:id="22"/>
      </w:r>
    </w:p>
    <w:p w14:paraId="5E7FB6DB" w14:textId="426ADF2E" w:rsidR="001D502C" w:rsidRPr="009D3026" w:rsidRDefault="00BA674E" w:rsidP="009D3026">
      <w:pPr>
        <w:spacing w:line="480" w:lineRule="auto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</w:rPr>
        <w:tab/>
      </w:r>
      <w:r w:rsidR="00CA5613" w:rsidRPr="009D3026">
        <w:rPr>
          <w:rFonts w:ascii="Times New Roman" w:hAnsi="Times New Roman" w:cs="Times New Roman"/>
        </w:rPr>
        <w:t>T</w:t>
      </w:r>
      <w:r w:rsidR="003732AA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3732AA" w:rsidRPr="009D3026">
        <w:rPr>
          <w:rFonts w:ascii="Times New Roman" w:hAnsi="Times New Roman" w:cs="Times New Roman"/>
        </w:rPr>
        <w:t>discretionary</w:t>
      </w:r>
      <w:r w:rsidR="00B065A0">
        <w:rPr>
          <w:rFonts w:ascii="Times New Roman" w:hAnsi="Times New Roman" w:cs="Times New Roman"/>
        </w:rPr>
        <w:t xml:space="preserve">” </w:t>
      </w:r>
      <w:r w:rsidR="003732AA"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open-ended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status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ensured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E32B1C" w:rsidRPr="009D3026">
        <w:rPr>
          <w:rFonts w:ascii="Times New Roman" w:hAnsi="Times New Roman" w:cs="Times New Roman"/>
        </w:rPr>
        <w:t>timeliness</w:t>
      </w:r>
      <w:r w:rsidR="003732A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particularly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lifespan,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remained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forefront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practice.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1D502C" w:rsidRPr="009D3026">
        <w:rPr>
          <w:rFonts w:ascii="Times New Roman" w:hAnsi="Times New Roman" w:cs="Times New Roman"/>
        </w:rPr>
        <w:t>McGeorge</w:t>
      </w:r>
      <w:r w:rsidR="00B065A0">
        <w:rPr>
          <w:rFonts w:ascii="Times New Roman" w:hAnsi="Times New Roman" w:cs="Times New Roman"/>
        </w:rPr>
        <w:t xml:space="preserve"> </w:t>
      </w:r>
      <w:r w:rsidR="001D502C" w:rsidRPr="009D3026">
        <w:rPr>
          <w:rFonts w:ascii="Times New Roman" w:hAnsi="Times New Roman" w:cs="Times New Roman"/>
        </w:rPr>
        <w:t>Bundy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dec</w:t>
      </w:r>
      <w:r w:rsidR="00434DA2" w:rsidRPr="009D3026">
        <w:rPr>
          <w:rFonts w:ascii="Times New Roman" w:hAnsi="Times New Roman" w:cs="Times New Roman"/>
        </w:rPr>
        <w:t>lared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Ford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1966,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="001D502C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should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regularly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ask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itself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if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could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do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more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good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dead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than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alive.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="00FA6E1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significance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these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questions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reinforced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1950s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1960s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series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Congressional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investigations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foundations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culminated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1969,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regulatory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regime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(including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mandatory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rates).</w:t>
      </w:r>
      <w:r w:rsidR="00FA6E1F" w:rsidRPr="009D3026">
        <w:rPr>
          <w:rStyle w:val="EndnoteReference"/>
          <w:rFonts w:ascii="Times New Roman" w:hAnsi="Times New Roman" w:cs="Times New Roman"/>
          <w:lang w:eastAsia="ja-JP"/>
        </w:rPr>
        <w:endnoteReference w:id="23"/>
      </w:r>
    </w:p>
    <w:p w14:paraId="79D6CC2F" w14:textId="139693DB" w:rsidR="006D1458" w:rsidRPr="009D3026" w:rsidRDefault="006D1458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1950s,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1960s,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abuses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mounted,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betrayal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served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framework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critics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abrogated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public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era,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mid-century.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committee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Tennessee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congressman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Carroll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Reece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recommended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25-year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instance.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Texas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Patman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cudgel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1962,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advocated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25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years.</w:t>
      </w:r>
      <w:r w:rsidR="00A5234A" w:rsidRPr="009D3026">
        <w:rPr>
          <w:rStyle w:val="EndnoteReference"/>
          <w:rFonts w:ascii="Times New Roman" w:hAnsi="Times New Roman" w:cs="Times New Roman"/>
        </w:rPr>
        <w:endnoteReference w:id="24"/>
      </w:r>
    </w:p>
    <w:p w14:paraId="4064216F" w14:textId="24F692D2" w:rsidR="006D1458" w:rsidRPr="009D3026" w:rsidRDefault="006D1458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</w:rPr>
        <w:t>Patman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compelled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Treasury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Department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culmination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1965.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Treasury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endorsing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identify,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critiques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fueled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legitimate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specific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remedy.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contended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interposition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active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pursuits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entails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undue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delay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transmission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society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should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derive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from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contributions,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stated.</w:t>
      </w:r>
      <w:r w:rsidR="008513A2" w:rsidRPr="009D3026">
        <w:rPr>
          <w:rStyle w:val="EndnoteReference"/>
          <w:rFonts w:ascii="Times New Roman" w:hAnsi="Times New Roman" w:cs="Times New Roman"/>
          <w:lang w:eastAsia="ja-JP"/>
        </w:rPr>
        <w:endnoteReference w:id="25"/>
      </w:r>
    </w:p>
    <w:p w14:paraId="7AEAA30D" w14:textId="74DF72FD" w:rsidR="00E60A50" w:rsidRPr="009D3026" w:rsidRDefault="006D1458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course,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articulation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violated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ethic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timeliness,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highlighting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Pr="009D3026">
        <w:rPr>
          <w:rFonts w:ascii="Times New Roman" w:hAnsi="Times New Roman" w:cs="Times New Roman"/>
          <w:lang w:eastAsia="ja-JP"/>
        </w:rPr>
        <w:t>undue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delay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Pr="009D3026">
        <w:rPr>
          <w:rFonts w:ascii="Times New Roman" w:hAnsi="Times New Roman" w:cs="Times New Roman"/>
          <w:lang w:eastAsia="ja-JP"/>
        </w:rPr>
        <w:t>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operationalized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benefits.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delay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understood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during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period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through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fiscal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framework—between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conferral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</w:t>
      </w:r>
      <w:r w:rsidR="00041288"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41288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accru</w:t>
      </w:r>
      <w:r w:rsidR="00041288" w:rsidRPr="009D3026">
        <w:rPr>
          <w:rFonts w:ascii="Times New Roman" w:hAnsi="Times New Roman" w:cs="Times New Roman"/>
          <w:lang w:eastAsia="ja-JP"/>
        </w:rPr>
        <w:t>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public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had,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effect,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subsidized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donation,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through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dollars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reaching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operating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charities.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9D3026">
        <w:rPr>
          <w:rFonts w:ascii="Times New Roman" w:hAnsi="Times New Roman" w:cs="Times New Roman"/>
          <w:lang w:eastAsia="ja-JP"/>
        </w:rPr>
        <w:t>fiscalized</w:t>
      </w:r>
      <w:proofErr w:type="spellEnd"/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understanding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timeliness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grew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prominence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during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1960s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concerns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about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abuses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became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increasingly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D747AB" w:rsidRPr="009D3026">
        <w:rPr>
          <w:rFonts w:ascii="Times New Roman" w:hAnsi="Times New Roman" w:cs="Times New Roman"/>
          <w:lang w:eastAsia="ja-JP"/>
        </w:rPr>
        <w:t>entwined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D747AB" w:rsidRPr="009D3026">
        <w:rPr>
          <w:rFonts w:ascii="Times New Roman" w:hAnsi="Times New Roman" w:cs="Times New Roman"/>
          <w:lang w:eastAsia="ja-JP"/>
        </w:rPr>
        <w:t>with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issue</w:t>
      </w:r>
      <w:r w:rsidR="00D747AB"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avoidance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evasion</w:t>
      </w:r>
      <w:r w:rsidR="00D747AB" w:rsidRPr="009D3026">
        <w:rPr>
          <w:rFonts w:ascii="Times New Roman" w:hAnsi="Times New Roman" w:cs="Times New Roman"/>
          <w:lang w:eastAsia="ja-JP"/>
        </w:rPr>
        <w:t>.</w:t>
      </w:r>
    </w:p>
    <w:p w14:paraId="17893058" w14:textId="4DE56331" w:rsidR="006D1458" w:rsidRPr="009D3026" w:rsidRDefault="006D1458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lang w:eastAsia="ja-JP"/>
        </w:rPr>
        <w:tab/>
        <w:t>After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publication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Treasury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momentum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toward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reform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stalled.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picked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up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decade</w:t>
      </w:r>
      <w:r w:rsidR="00B065A0">
        <w:rPr>
          <w:rFonts w:ascii="Times New Roman" w:hAnsi="Times New Roman" w:cs="Times New Roman"/>
          <w:lang w:eastAsia="ja-JP"/>
        </w:rPr>
        <w:t>’</w:t>
      </w:r>
      <w:r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final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years,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through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convergence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abuse,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imagined</w:t>
      </w:r>
      <w:r w:rsidR="00A60176"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Congress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began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consider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reform.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again,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ethic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timeliness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emerged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central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effort.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limits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did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make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House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bill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ultimately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become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Reform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1969,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lastRenderedPageBreak/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borrowed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heavily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from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Treasury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issue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raised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Senate,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amendment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added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Sen.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Al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Gore,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Sr.</w:t>
      </w:r>
      <w:r w:rsidR="00B065A0">
        <w:rPr>
          <w:rFonts w:ascii="Times New Roman" w:hAnsi="Times New Roman" w:cs="Times New Roman"/>
          <w:color w:val="FF0000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that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would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impose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40-year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tax-exemption</w:t>
      </w:r>
      <w:r w:rsidR="00B065A0">
        <w:rPr>
          <w:rFonts w:ascii="Times New Roman" w:hAnsi="Times New Roman" w:cs="Times New Roman"/>
        </w:rPr>
        <w:t xml:space="preserve"> </w:t>
      </w:r>
      <w:r w:rsidR="004D3D23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income,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4D3D23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</w:t>
      </w:r>
      <w:r w:rsidR="009A7E01" w:rsidRPr="009D3026">
        <w:rPr>
          <w:rFonts w:ascii="Times New Roman" w:hAnsi="Times New Roman" w:cs="Times New Roman"/>
        </w:rPr>
        <w:t>Gore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originally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straight-up</w:t>
      </w:r>
      <w:r w:rsidR="00B065A0">
        <w:rPr>
          <w:rFonts w:ascii="Times New Roman" w:hAnsi="Times New Roman" w:cs="Times New Roman"/>
        </w:rPr>
        <w:t xml:space="preserve"> </w:t>
      </w:r>
      <w:r w:rsidR="009F77E7" w:rsidRPr="009D3026">
        <w:rPr>
          <w:rFonts w:ascii="Times New Roman" w:hAnsi="Times New Roman" w:cs="Times New Roman"/>
        </w:rPr>
        <w:t>25-year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life-limit).</w:t>
      </w:r>
      <w:r w:rsidR="00B065A0">
        <w:rPr>
          <w:rFonts w:ascii="Times New Roman" w:hAnsi="Times New Roman" w:cs="Times New Roman"/>
          <w:color w:val="FF0000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Debate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about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proposal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represented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most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direct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legislative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engagements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with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questions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surrounding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Pr="009D3026">
        <w:rPr>
          <w:rFonts w:ascii="Times New Roman" w:hAnsi="Times New Roman" w:cs="Times New Roman"/>
          <w:lang w:eastAsia="ja-JP"/>
        </w:rPr>
        <w:t>giving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041288" w:rsidRPr="009D3026">
        <w:rPr>
          <w:rFonts w:ascii="Times New Roman" w:hAnsi="Times New Roman" w:cs="Times New Roman"/>
          <w:lang w:eastAsia="ja-JP"/>
        </w:rPr>
        <w:t>.</w:t>
      </w:r>
      <w:r w:rsidR="00B065A0">
        <w:rPr>
          <w:rFonts w:ascii="Times New Roman" w:hAnsi="Times New Roman" w:cs="Times New Roman"/>
          <w:lang w:eastAsia="ja-JP"/>
        </w:rPr>
        <w:t>”</w:t>
      </w:r>
      <w:r w:rsidR="00041288" w:rsidRPr="009D3026">
        <w:rPr>
          <w:rStyle w:val="EndnoteReference"/>
          <w:rFonts w:ascii="Times New Roman" w:hAnsi="Times New Roman" w:cs="Times New Roman"/>
          <w:lang w:eastAsia="ja-JP"/>
        </w:rPr>
        <w:endnoteReference w:id="26"/>
      </w:r>
    </w:p>
    <w:p w14:paraId="5529E362" w14:textId="2A5A2EB1" w:rsidR="00E219BA" w:rsidRPr="009D3026" w:rsidRDefault="009F77E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justify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limit,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Gore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allies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raised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both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specter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Pr="009D3026">
        <w:rPr>
          <w:rFonts w:ascii="Times New Roman" w:hAnsi="Times New Roman" w:cs="Times New Roman"/>
          <w:lang w:eastAsia="ja-JP"/>
        </w:rPr>
        <w:t>dead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hand,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well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troubling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temporal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distance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donors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who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gave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foundations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took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their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breaks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those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funds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actually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reached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charities.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Gore</w:t>
      </w:r>
      <w:r w:rsidR="00B065A0">
        <w:rPr>
          <w:rFonts w:ascii="Times New Roman" w:hAnsi="Times New Roman" w:cs="Times New Roman"/>
          <w:lang w:eastAsia="ja-JP"/>
        </w:rPr>
        <w:t>’</w:t>
      </w:r>
      <w:r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allies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cited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research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majority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nonprofits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facing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budgetary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crises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increased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payout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best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means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guaranteeing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fiscal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security.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opponents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time-limits,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Sen</w:t>
      </w:r>
      <w:r w:rsidR="008748BD" w:rsidRPr="009D3026">
        <w:rPr>
          <w:rFonts w:ascii="Times New Roman" w:hAnsi="Times New Roman" w:cs="Times New Roman"/>
          <w:lang w:eastAsia="ja-JP"/>
        </w:rPr>
        <w:t>s</w:t>
      </w:r>
      <w:r w:rsidRPr="009D3026">
        <w:rPr>
          <w:rFonts w:ascii="Times New Roman" w:hAnsi="Times New Roman" w:cs="Times New Roman"/>
          <w:lang w:eastAsia="ja-JP"/>
        </w:rPr>
        <w:t>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Walter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Mondale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(D-MN)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Charles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Percy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(R-IL)</w:t>
      </w:r>
      <w:r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ready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answers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these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challenge</w:t>
      </w:r>
      <w:r w:rsidR="00415377" w:rsidRPr="009D3026">
        <w:rPr>
          <w:rFonts w:ascii="Times New Roman" w:hAnsi="Times New Roman" w:cs="Times New Roman"/>
          <w:lang w:eastAsia="ja-JP"/>
        </w:rPr>
        <w:t>s</w:t>
      </w:r>
      <w:r w:rsidR="0064105F"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based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</w:rPr>
        <w:t>alternative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64105F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>”</w:t>
      </w:r>
      <w:r w:rsidR="008748BD" w:rsidRPr="009D3026">
        <w:rPr>
          <w:rStyle w:val="EndnoteReference"/>
          <w:rFonts w:ascii="Times New Roman" w:hAnsi="Times New Roman" w:cs="Times New Roman"/>
        </w:rPr>
        <w:endnoteReference w:id="27"/>
      </w:r>
    </w:p>
    <w:p w14:paraId="2269F86B" w14:textId="50459B9F" w:rsidR="00B065A0" w:rsidRDefault="0064105F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time-limit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provisio</w:t>
      </w:r>
      <w:r w:rsidRPr="009D3026">
        <w:rPr>
          <w:rFonts w:ascii="Times New Roman" w:hAnsi="Times New Roman" w:cs="Times New Roman"/>
        </w:rPr>
        <w:t>n,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="00095107" w:rsidRPr="009D3026">
        <w:rPr>
          <w:rFonts w:ascii="Times New Roman" w:hAnsi="Times New Roman" w:cs="Times New Roman"/>
          <w:lang w:eastAsia="ja-JP"/>
        </w:rPr>
        <w:t>wholesale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indiscriminate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40-year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death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sentence</w:t>
      </w:r>
      <w:r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>”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Mondale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“</w:t>
      </w:r>
      <w:r w:rsidR="00095107" w:rsidRPr="009D3026">
        <w:rPr>
          <w:rFonts w:ascii="Times New Roman" w:hAnsi="Times New Roman" w:cs="Times New Roman"/>
        </w:rPr>
        <w:t>destroy</w:t>
      </w:r>
      <w:r w:rsidR="00B065A0">
        <w:rPr>
          <w:rFonts w:ascii="Times New Roman" w:hAnsi="Times New Roman" w:cs="Times New Roman"/>
        </w:rPr>
        <w:t xml:space="preserve">” </w:t>
      </w:r>
      <w:r w:rsidR="00095107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“</w:t>
      </w:r>
      <w:r w:rsidR="00095107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creative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dynamic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unique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life.</w:t>
      </w:r>
      <w:r w:rsidR="00B065A0">
        <w:rPr>
          <w:rFonts w:ascii="Times New Roman" w:hAnsi="Times New Roman" w:cs="Times New Roman"/>
        </w:rPr>
        <w:t xml:space="preserve">” </w:t>
      </w:r>
      <w:r w:rsidR="0009510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Senate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floor,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Mondale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allies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dismissed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fears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095107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” </w:t>
      </w:r>
      <w:r w:rsidR="00095107" w:rsidRPr="009D3026">
        <w:rPr>
          <w:rFonts w:ascii="Times New Roman" w:hAnsi="Times New Roman" w:cs="Times New Roman"/>
        </w:rPr>
        <w:t>insisting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vast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expansive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charter,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exceptionally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responsive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times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Mondale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added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courts</w:t>
      </w:r>
      <w:r w:rsidR="00B065A0">
        <w:rPr>
          <w:rFonts w:ascii="Times New Roman" w:hAnsi="Times New Roman" w:cs="Times New Roman"/>
        </w:rPr>
        <w:t xml:space="preserve">’ </w:t>
      </w:r>
      <w:r w:rsidR="00095107" w:rsidRPr="009D3026">
        <w:rPr>
          <w:rFonts w:ascii="Times New Roman" w:hAnsi="Times New Roman" w:cs="Times New Roman"/>
        </w:rPr>
        <w:t>willingness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utilize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doctrine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  <w:i/>
        </w:rPr>
        <w:t>cy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="00095107" w:rsidRPr="009D3026">
        <w:rPr>
          <w:rFonts w:ascii="Times New Roman" w:hAnsi="Times New Roman" w:cs="Times New Roman"/>
          <w:i/>
        </w:rPr>
        <w:t>pres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fears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restricted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serve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themselves).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record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argued,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demonstrated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vast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="00095107" w:rsidRPr="009D3026">
        <w:rPr>
          <w:rFonts w:ascii="Times New Roman" w:hAnsi="Times New Roman" w:cs="Times New Roman"/>
          <w:lang w:eastAsia="ja-JP"/>
        </w:rPr>
        <w:t>are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run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vital,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modern,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responsive,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living,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continuously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changing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trustees,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who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reflect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guiding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interests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founding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donors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only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extent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truly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visionary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wise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enough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foster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lastRenderedPageBreak/>
        <w:t>evolution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>’</w:t>
      </w:r>
      <w:r w:rsidR="00095107"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activities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purposes.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="00095107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words,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most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foundations,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asserted,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followed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ethic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="00095107" w:rsidRPr="009D3026">
        <w:rPr>
          <w:rFonts w:ascii="Times New Roman" w:hAnsi="Times New Roman" w:cs="Times New Roman"/>
          <w:lang w:eastAsia="ja-JP"/>
        </w:rPr>
        <w:t>timeliness.</w:t>
      </w:r>
      <w:r w:rsidR="00B065A0">
        <w:rPr>
          <w:rFonts w:ascii="Times New Roman" w:hAnsi="Times New Roman" w:cs="Times New Roman"/>
          <w:lang w:eastAsia="ja-JP"/>
        </w:rPr>
        <w:t>”</w:t>
      </w:r>
    </w:p>
    <w:p w14:paraId="5A6FD628" w14:textId="44D10998" w:rsidR="0034753B" w:rsidRPr="009D3026" w:rsidRDefault="00095107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  <w:lang w:eastAsia="ja-JP"/>
        </w:rPr>
        <w:t>But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Mondale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offered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argument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reframed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such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ethic.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reminded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colleagues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merely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citizens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of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the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current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gramStart"/>
      <w:r w:rsidRPr="009D3026">
        <w:rPr>
          <w:rFonts w:ascii="Times New Roman" w:hAnsi="Times New Roman" w:cs="Times New Roman"/>
          <w:color w:val="000000" w:themeColor="text1"/>
          <w:lang w:eastAsia="ja-JP"/>
        </w:rPr>
        <w:t>moment</w:t>
      </w:r>
      <w:r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but</w:t>
      </w:r>
      <w:proofErr w:type="gramEnd"/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future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generation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legatees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previously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imagined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Carnegie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Rockefeller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their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citizens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beneficiar</w:t>
      </w:r>
      <w:r w:rsidR="008748BD" w:rsidRPr="009D3026">
        <w:rPr>
          <w:rFonts w:ascii="Times New Roman" w:hAnsi="Times New Roman" w:cs="Times New Roman"/>
        </w:rPr>
        <w:t>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Rockefeller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granted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40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years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tax-exempt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life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forced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shut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doors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1952,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82EAE" w:rsidRPr="009D3026">
        <w:rPr>
          <w:rFonts w:ascii="Times New Roman" w:hAnsi="Times New Roman" w:cs="Times New Roman"/>
          <w:lang w:eastAsia="ja-JP"/>
        </w:rPr>
        <w:t>Mondale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82EAE" w:rsidRPr="009D3026">
        <w:rPr>
          <w:rFonts w:ascii="Times New Roman" w:hAnsi="Times New Roman" w:cs="Times New Roman"/>
          <w:lang w:eastAsia="ja-JP"/>
        </w:rPr>
        <w:t>pointed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82EAE" w:rsidRPr="009D3026">
        <w:rPr>
          <w:rFonts w:ascii="Times New Roman" w:hAnsi="Times New Roman" w:cs="Times New Roman"/>
          <w:lang w:eastAsia="ja-JP"/>
        </w:rPr>
        <w:t>out,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spark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Green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Revolution.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Carnegie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Corporation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closed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after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40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years,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1951,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opportunity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fund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work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preschool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education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public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television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programming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children.</w:t>
      </w:r>
      <w:r w:rsidRPr="009D3026">
        <w:rPr>
          <w:rStyle w:val="EndnoteReference"/>
          <w:rFonts w:ascii="Times New Roman" w:hAnsi="Times New Roman" w:cs="Times New Roman"/>
          <w:lang w:eastAsia="ja-JP"/>
        </w:rPr>
        <w:endnoteReference w:id="28"/>
      </w:r>
    </w:p>
    <w:p w14:paraId="08CFFBEA" w14:textId="68725B45" w:rsidR="00BF0904" w:rsidRPr="009D3026" w:rsidRDefault="0034753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lang w:eastAsia="ja-JP"/>
        </w:rPr>
        <w:t>These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arguments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carried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day,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limit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provision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defeated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handily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Senate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floor,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</w:rPr>
        <w:t>69-15.</w:t>
      </w:r>
      <w:r w:rsidR="001561E3" w:rsidRPr="009D3026">
        <w:rPr>
          <w:rStyle w:val="EndnoteReference"/>
          <w:rFonts w:ascii="Times New Roman" w:hAnsi="Times New Roman" w:cs="Times New Roman"/>
        </w:rPr>
        <w:endnoteReference w:id="29"/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helped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guarantee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failure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another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provision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Act,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minimum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imposed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(initially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6</w:t>
      </w:r>
      <w:r w:rsidR="00B065A0">
        <w:rPr>
          <w:rFonts w:ascii="Times New Roman" w:hAnsi="Times New Roman" w:cs="Times New Roman"/>
        </w:rPr>
        <w:t xml:space="preserve"> percent</w:t>
      </w:r>
      <w:r w:rsidR="004615C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then,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1975,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lowered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percent</w:t>
      </w:r>
      <w:r w:rsidR="004615C7" w:rsidRPr="009D3026">
        <w:rPr>
          <w:rFonts w:ascii="Times New Roman" w:hAnsi="Times New Roman" w:cs="Times New Roman"/>
        </w:rPr>
        <w:t>),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effectively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addressed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raised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>’</w:t>
      </w:r>
      <w:r w:rsidR="004615C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adversaries.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(As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Lila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Corwin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Berman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details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disparity</w:t>
      </w:r>
      <w:r w:rsidR="00B065A0">
        <w:rPr>
          <w:rFonts w:ascii="Times New Roman" w:hAnsi="Times New Roman" w:cs="Times New Roman"/>
        </w:rPr>
        <w:t xml:space="preserve"> </w:t>
      </w:r>
      <w:r w:rsidR="00460996" w:rsidRPr="009D3026">
        <w:rPr>
          <w:rFonts w:ascii="Times New Roman" w:hAnsi="Times New Roman" w:cs="Times New Roman"/>
        </w:rPr>
        <w:t>thereby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carried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requirement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charities,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not,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provided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opening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funds).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privately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funded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commission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initially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policy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reasonable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percentage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well-managed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portfolio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maintain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size,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productive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contributions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society,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represented</w:t>
      </w:r>
      <w:r w:rsidR="00B065A0">
        <w:rPr>
          <w:rFonts w:ascii="Times New Roman" w:hAnsi="Times New Roman" w:cs="Times New Roman"/>
        </w:rPr>
        <w:t xml:space="preserve"> “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balancing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priorities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>”</w:t>
      </w:r>
      <w:r w:rsidR="00BF0904" w:rsidRPr="009D3026">
        <w:rPr>
          <w:rStyle w:val="EndnoteReference"/>
          <w:rFonts w:ascii="Times New Roman" w:hAnsi="Times New Roman" w:cs="Times New Roman"/>
        </w:rPr>
        <w:endnoteReference w:id="30"/>
      </w:r>
    </w:p>
    <w:p w14:paraId="1ADFA297" w14:textId="6507BC05" w:rsidR="003A73B1" w:rsidRPr="009D3026" w:rsidRDefault="00131DAC" w:rsidP="009D302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D3026">
        <w:rPr>
          <w:rFonts w:ascii="Times New Roman" w:hAnsi="Times New Roman" w:cs="Times New Roman"/>
        </w:rPr>
        <w:lastRenderedPageBreak/>
        <w:tab/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balance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460996" w:rsidRPr="009D3026">
        <w:rPr>
          <w:rFonts w:ascii="Times New Roman" w:hAnsi="Times New Roman" w:cs="Times New Roman"/>
        </w:rPr>
        <w:t>quelled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intensity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3A73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rate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translated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many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those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discussions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into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more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technical</w:t>
      </w:r>
      <w:r w:rsidR="00415AAE" w:rsidRPr="009D3026">
        <w:rPr>
          <w:rFonts w:ascii="Times New Roman" w:hAnsi="Times New Roman" w:cs="Times New Roman"/>
          <w:color w:val="000000" w:themeColor="text1"/>
        </w:rPr>
        <w:t>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15AAE" w:rsidRPr="009D3026">
        <w:rPr>
          <w:rFonts w:ascii="Times New Roman" w:hAnsi="Times New Roman" w:cs="Times New Roman"/>
          <w:color w:val="000000" w:themeColor="text1"/>
        </w:rPr>
        <w:t>administrative</w:t>
      </w:r>
      <w:proofErr w:type="gramEnd"/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legalistic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terms.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Indeed,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</w:t>
      </w:r>
      <w:r w:rsidRPr="009D3026">
        <w:rPr>
          <w:rFonts w:ascii="Times New Roman" w:hAnsi="Times New Roman" w:cs="Times New Roman"/>
          <w:color w:val="000000" w:themeColor="text1"/>
        </w:rPr>
        <w:t>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foundation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regulations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passed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as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part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Tax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Reform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Act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1969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empowered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tax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lawyers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accountants—foundations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’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legal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accounting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expenses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nearly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doubled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between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1968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1970—who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often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regarded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prudent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stewardship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philanthropic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resources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their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chief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professional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responsibility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deferred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3D23A6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D23A6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unspoken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presumption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perpetuity,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60996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often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without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elaboration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strong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theory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timeliness.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course,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presumption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perpetuity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served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private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interests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fees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trustees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financial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managers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were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typically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based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endowment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size.</w:t>
      </w:r>
      <w:r w:rsidR="003A73B1" w:rsidRPr="009D3026">
        <w:rPr>
          <w:rStyle w:val="EndnoteReference"/>
          <w:rFonts w:ascii="Times New Roman" w:hAnsi="Times New Roman" w:cs="Times New Roman"/>
        </w:rPr>
        <w:endnoteReference w:id="31"/>
      </w:r>
    </w:p>
    <w:p w14:paraId="78B9D076" w14:textId="379B50F2" w:rsidR="006D1458" w:rsidRPr="009D3026" w:rsidRDefault="003D23A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ab/>
        <w:t>This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suggest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that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“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giving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time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disappeared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theme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philanthropic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discourse.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following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decades,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occasional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efforts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reform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payout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requirements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renewed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defenses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perpetuity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178F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reminders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importance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D126B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foundations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D126B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065A0">
        <w:rPr>
          <w:rFonts w:ascii="Times New Roman" w:hAnsi="Times New Roman" w:cs="Times New Roman"/>
        </w:rPr>
        <w:t>“</w:t>
      </w:r>
      <w:r w:rsidR="006D126B" w:rsidRPr="009D3026">
        <w:rPr>
          <w:rFonts w:ascii="Times New Roman" w:hAnsi="Times New Roman" w:cs="Times New Roman"/>
        </w:rPr>
        <w:t>island[s]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long-term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turbulent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sea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short-term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culture,</w:t>
      </w:r>
      <w:r w:rsidR="00B065A0">
        <w:rPr>
          <w:rFonts w:ascii="Times New Roman" w:hAnsi="Times New Roman" w:cs="Times New Roman"/>
        </w:rPr>
        <w:t xml:space="preserve">” </w:t>
      </w:r>
      <w:r w:rsidR="00C178F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words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advocate.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E</w:t>
      </w:r>
      <w:r w:rsidR="006D126B" w:rsidRPr="009D3026">
        <w:rPr>
          <w:rFonts w:ascii="Times New Roman" w:hAnsi="Times New Roman" w:cs="Times New Roman"/>
        </w:rPr>
        <w:t>conomic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downturns</w:t>
      </w:r>
      <w:r w:rsidR="006D126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cut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  <w:color w:val="000000" w:themeColor="text1"/>
        </w:rPr>
        <w:t>assets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internal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external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reconsiderations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rising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corps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conservative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worried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that</w:t>
      </w:r>
      <w:r w:rsidR="00C178F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tended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drift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founders</w:t>
      </w:r>
      <w:r w:rsidR="00C178FE" w:rsidRPr="009D3026">
        <w:rPr>
          <w:rFonts w:ascii="Times New Roman" w:hAnsi="Times New Roman" w:cs="Times New Roman"/>
        </w:rPr>
        <w:t>—almost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always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progressive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direction</w:t>
      </w:r>
      <w:r w:rsidR="00C178FE" w:rsidRPr="009D3026">
        <w:rPr>
          <w:rFonts w:ascii="Times New Roman" w:hAnsi="Times New Roman" w:cs="Times New Roman"/>
        </w:rPr>
        <w:t>—</w:t>
      </w:r>
      <w:r w:rsidR="00FE65F3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elevation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issues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organizations</w:t>
      </w:r>
      <w:r w:rsidR="00C5795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foundations</w:t>
      </w:r>
      <w:r w:rsidR="00FE65F3" w:rsidRPr="009D3026">
        <w:rPr>
          <w:rFonts w:ascii="Times New Roman" w:hAnsi="Times New Roman" w:cs="Times New Roman"/>
        </w:rPr>
        <w:t>.</w:t>
      </w:r>
      <w:r w:rsidR="00C178FE" w:rsidRPr="009D3026">
        <w:rPr>
          <w:rStyle w:val="EndnoteReference"/>
          <w:rFonts w:ascii="Times New Roman" w:hAnsi="Times New Roman" w:cs="Times New Roman"/>
        </w:rPr>
        <w:endnoteReference w:id="32"/>
      </w:r>
    </w:p>
    <w:p w14:paraId="63E9FB0D" w14:textId="6F43A87D" w:rsidR="00261DB7" w:rsidRPr="009D3026" w:rsidRDefault="00AC534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="00075EFA" w:rsidRPr="009D3026">
        <w:rPr>
          <w:rFonts w:ascii="Times New Roman" w:hAnsi="Times New Roman" w:cs="Times New Roman"/>
        </w:rPr>
        <w:t>longer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prominent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contentious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topics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deliberations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1969.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opening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millennium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approach,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perhaps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surpass,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level.</w:t>
      </w:r>
    </w:p>
    <w:p w14:paraId="1E5A0854" w14:textId="4B67C183" w:rsidR="00261DB7" w:rsidRPr="009D3026" w:rsidRDefault="00B450C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ebbed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course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speak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definitions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261DB7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” </w:t>
      </w:r>
      <w:r w:rsidR="00261DB7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grown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pronounced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discourse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last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decade</w:t>
      </w:r>
      <w:r w:rsidR="00261DB7" w:rsidRPr="009D3026">
        <w:rPr>
          <w:rFonts w:ascii="Times New Roman" w:hAnsi="Times New Roman" w:cs="Times New Roman"/>
        </w:rPr>
        <w:t>.</w:t>
      </w:r>
      <w:r w:rsidR="00261DB7" w:rsidRPr="009D3026">
        <w:rPr>
          <w:rStyle w:val="EndnoteReference"/>
          <w:rFonts w:ascii="Times New Roman" w:hAnsi="Times New Roman" w:cs="Times New Roman"/>
        </w:rPr>
        <w:endnoteReference w:id="33"/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First,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denote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elevation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mode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favoring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relationship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High-profile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center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legitimacy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endowments;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embracing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perpetuity;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merits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disbursing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later;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  <w:color w:val="000000" w:themeColor="text1"/>
        </w:rPr>
        <w:t>tug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ethics,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including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proper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assign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near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distant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s</w:t>
      </w:r>
      <w:r w:rsidR="00261DB7" w:rsidRPr="009D3026">
        <w:rPr>
          <w:rFonts w:ascii="Times New Roman" w:hAnsi="Times New Roman" w:cs="Times New Roman"/>
        </w:rPr>
        <w:t>econd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definition</w:t>
      </w:r>
      <w:r w:rsidR="00261DB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designate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  <w:color w:val="000000" w:themeColor="text1"/>
        </w:rPr>
        <w:t>relation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insist</w:t>
      </w:r>
      <w:r w:rsidR="00617E0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giver</w:t>
      </w:r>
      <w:r w:rsidR="00B065A0">
        <w:rPr>
          <w:rFonts w:ascii="Times New Roman" w:hAnsi="Times New Roman" w:cs="Times New Roman"/>
        </w:rPr>
        <w:t>’</w:t>
      </w:r>
      <w:r w:rsidR="00261DB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stakes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closely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exigencies.</w:t>
      </w:r>
    </w:p>
    <w:p w14:paraId="5AF975E0" w14:textId="593DF42D" w:rsidR="00253DCF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A55F9E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category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orientation?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overlapping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mutual</w:t>
      </w:r>
      <w:r w:rsidR="00A55F9E" w:rsidRPr="009D3026">
        <w:rPr>
          <w:rFonts w:ascii="Times New Roman" w:hAnsi="Times New Roman" w:cs="Times New Roman"/>
        </w:rPr>
        <w:t>ly</w:t>
      </w:r>
      <w:r w:rsidR="00B623B4" w:rsidRPr="009D3026">
        <w:rPr>
          <w:rFonts w:ascii="Times New Roman" w:hAnsi="Times New Roman" w:cs="Times New Roman"/>
        </w:rPr>
        <w:tab/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reinforcing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reasons.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Below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outline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them.</w:t>
      </w:r>
    </w:p>
    <w:p w14:paraId="3999C6F1" w14:textId="7DB5900B" w:rsidR="00253DCF" w:rsidRPr="009D3026" w:rsidRDefault="00253DCF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</w:p>
    <w:p w14:paraId="7EFE3F06" w14:textId="64DE29AC" w:rsidR="00261DB7" w:rsidRPr="009D3026" w:rsidRDefault="00B623B4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booster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pervasive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urgent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crisis,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building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fueled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real-world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stoked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media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outlets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incentivized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raise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constant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alarm.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attached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existential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peril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posed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extends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broadly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cover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host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lastRenderedPageBreak/>
        <w:t>harms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recently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  <w:color w:val="000000" w:themeColor="text1"/>
        </w:rPr>
        <w:t>amplified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coronavirus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pandemic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protests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police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brutality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EA6D57" w:rsidRPr="009D3026">
        <w:rPr>
          <w:rFonts w:ascii="Times New Roman" w:hAnsi="Times New Roman" w:cs="Times New Roman"/>
        </w:rPr>
        <w:t>African</w:t>
      </w:r>
      <w:r w:rsidR="00B065A0">
        <w:rPr>
          <w:rFonts w:ascii="Times New Roman" w:hAnsi="Times New Roman" w:cs="Times New Roman"/>
        </w:rPr>
        <w:t xml:space="preserve"> </w:t>
      </w:r>
      <w:r w:rsidR="00EA6D57" w:rsidRPr="009D3026">
        <w:rPr>
          <w:rFonts w:ascii="Times New Roman" w:hAnsi="Times New Roman" w:cs="Times New Roman"/>
        </w:rPr>
        <w:t>Americans</w:t>
      </w:r>
      <w:r w:rsidR="00261DB7" w:rsidRPr="009D3026">
        <w:rPr>
          <w:rFonts w:ascii="Times New Roman" w:hAnsi="Times New Roman" w:cs="Times New Roman"/>
        </w:rPr>
        <w:t>.</w:t>
      </w:r>
    </w:p>
    <w:p w14:paraId="6903A314" w14:textId="304935BC" w:rsidR="001C1A5D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demands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reweighting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present.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reorientation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recognizable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disasters,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military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conflicts,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epidemics,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upheavals.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characteristic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dedicated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change.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environment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global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train,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Beldon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unethical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appreciate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>’</w:t>
      </w:r>
      <w:r w:rsidR="001C1A5D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maintain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broad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horizon</w:t>
      </w:r>
      <w:r w:rsidR="00B065A0">
        <w:rPr>
          <w:rFonts w:ascii="Times New Roman" w:hAnsi="Times New Roman" w:cs="Times New Roman"/>
        </w:rPr>
        <w:t xml:space="preserve"> </w:t>
      </w:r>
      <w:r w:rsidR="00E5374F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invoke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developing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change.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Larry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Kramer,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Hewlett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Foundation</w:t>
      </w:r>
      <w:r w:rsidR="00522520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galvanize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cause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invoking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522520"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” </w:t>
      </w:r>
      <w:r w:rsidR="0052252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E5374F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defend</w:t>
      </w:r>
      <w:r w:rsidR="00E5374F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merits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insists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running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prevent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irreversible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damage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avoid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doom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loop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undermine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nearly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hopes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achieve.</w:t>
      </w:r>
      <w:r w:rsidR="00B065A0">
        <w:rPr>
          <w:rFonts w:ascii="Times New Roman" w:hAnsi="Times New Roman" w:cs="Times New Roman"/>
        </w:rPr>
        <w:t xml:space="preserve"> “</w:t>
      </w:r>
      <w:r w:rsidR="00522520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>’</w:t>
      </w:r>
      <w:r w:rsidR="00522520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stop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fiddling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help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put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fire,</w:t>
      </w:r>
      <w:r w:rsidR="00B065A0">
        <w:rPr>
          <w:rFonts w:ascii="Times New Roman" w:hAnsi="Times New Roman" w:cs="Times New Roman"/>
        </w:rPr>
        <w:t xml:space="preserve">” </w:t>
      </w:r>
      <w:r w:rsidR="0052252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insisted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philanthropies,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urging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dramatically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funding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change.</w:t>
      </w:r>
      <w:r w:rsidR="001C1A5D" w:rsidRPr="009D3026">
        <w:rPr>
          <w:rStyle w:val="EndnoteReference"/>
          <w:rFonts w:ascii="Times New Roman" w:hAnsi="Times New Roman" w:cs="Times New Roman"/>
        </w:rPr>
        <w:endnoteReference w:id="34"/>
      </w:r>
    </w:p>
    <w:p w14:paraId="7DF82BD6" w14:textId="7671137B" w:rsidR="00E30570" w:rsidRPr="009D3026" w:rsidRDefault="00EA11CD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623BDE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defined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delimited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constitutes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actionable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scrutiny.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Looking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temporally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circumscribed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calamity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disaster,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begun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understand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consequences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longer-lasting,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systems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oppression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domination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demand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attention.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philanthrop</w:t>
      </w:r>
      <w:r w:rsidR="00A22463" w:rsidRPr="009D3026">
        <w:rPr>
          <w:rFonts w:ascii="Times New Roman" w:hAnsi="Times New Roman" w:cs="Times New Roman"/>
        </w:rPr>
        <w:t>ies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economic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precarity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racial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injustice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ha</w:t>
      </w:r>
      <w:r w:rsidR="0019482C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reconsideration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norms</w:t>
      </w:r>
      <w:r w:rsidR="00623BD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challeng</w:t>
      </w:r>
      <w:r w:rsidR="00623BDE" w:rsidRPr="009D3026">
        <w:rPr>
          <w:rFonts w:ascii="Times New Roman" w:hAnsi="Times New Roman" w:cs="Times New Roman"/>
        </w:rPr>
        <w:t>ing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high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valuation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lastRenderedPageBreak/>
        <w:t>deliberateness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patience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favor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distributive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immediacy.</w:t>
      </w:r>
      <w:r w:rsidR="00BC78EC" w:rsidRPr="009D3026">
        <w:rPr>
          <w:rStyle w:val="EndnoteReference"/>
          <w:rFonts w:ascii="Times New Roman" w:hAnsi="Times New Roman" w:cs="Times New Roman"/>
        </w:rPr>
        <w:endnoteReference w:id="35"/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merely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regards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highest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priority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getting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possible.</w:t>
      </w:r>
    </w:p>
    <w:p w14:paraId="57FDEEFC" w14:textId="16A857A3" w:rsidR="00B415E3" w:rsidRPr="009D3026" w:rsidRDefault="00BC78EC" w:rsidP="009D3026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dictate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distributive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immediacy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donors,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6D634B" w:rsidRPr="009D3026">
        <w:rPr>
          <w:rFonts w:ascii="Times New Roman" w:hAnsi="Times New Roman" w:cs="Times New Roman"/>
        </w:rPr>
        <w:t>MacKenzie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Scott,</w:t>
      </w:r>
      <w:r w:rsidR="00B065A0">
        <w:rPr>
          <w:rFonts w:ascii="Times New Roman" w:hAnsi="Times New Roman" w:cs="Times New Roman"/>
        </w:rPr>
        <w:t xml:space="preserve"> </w:t>
      </w:r>
      <w:r w:rsidR="0089760F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wife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Amazon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founder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Jeff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Bezos,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unprecedented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levels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(although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failed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keep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pace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explosive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the</w:t>
      </w:r>
      <w:r w:rsidR="00656559" w:rsidRPr="009D3026">
        <w:rPr>
          <w:rFonts w:ascii="Times New Roman" w:hAnsi="Times New Roman" w:cs="Times New Roman"/>
        </w:rPr>
        <w:t>ir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growing</w:t>
      </w:r>
      <w:r w:rsidR="006D634B" w:rsidRPr="009D3026">
        <w:rPr>
          <w:rFonts w:ascii="Times New Roman" w:hAnsi="Times New Roman" w:cs="Times New Roman"/>
        </w:rPr>
        <w:t>).</w:t>
      </w:r>
      <w:r w:rsidR="00B065A0">
        <w:rPr>
          <w:rFonts w:ascii="Times New Roman" w:hAnsi="Times New Roman" w:cs="Times New Roman"/>
        </w:rPr>
        <w:t xml:space="preserve"> “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have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no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doubt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that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tremendous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value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comes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when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people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act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quickly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on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impulse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give,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Scott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has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declared.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9C4A60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9C4A60" w:rsidRPr="009D3026">
        <w:rPr>
          <w:rFonts w:ascii="Times New Roman" w:eastAsia="Times New Roman" w:hAnsi="Times New Roman" w:cs="Times New Roman"/>
        </w:rPr>
        <w:t>similar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9C4A60" w:rsidRPr="009D3026">
        <w:rPr>
          <w:rFonts w:ascii="Times New Roman" w:eastAsia="Times New Roman" w:hAnsi="Times New Roman" w:cs="Times New Roman"/>
        </w:rPr>
        <w:t>attitude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spread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rapid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constructed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minimal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bureaucratic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processes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grantmaking,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aim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get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possible,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cash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transfers,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hold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possibility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speedy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disbursement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assistance</w:t>
      </w:r>
      <w:r w:rsidR="00C42897" w:rsidRPr="009D3026">
        <w:rPr>
          <w:rFonts w:ascii="Times New Roman" w:hAnsi="Times New Roman" w:cs="Times New Roman"/>
        </w:rPr>
        <w:t>.</w:t>
      </w:r>
      <w:r w:rsidR="00764F3A" w:rsidRPr="009D3026">
        <w:rPr>
          <w:rStyle w:val="EndnoteReference"/>
          <w:rFonts w:ascii="Times New Roman" w:hAnsi="Times New Roman" w:cs="Times New Roman"/>
        </w:rPr>
        <w:endnoteReference w:id="36"/>
      </w:r>
    </w:p>
    <w:p w14:paraId="4A6124F2" w14:textId="375B0B69" w:rsidR="00261DB7" w:rsidRPr="009D3026" w:rsidRDefault="00253DCF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</w:p>
    <w:p w14:paraId="12E381F7" w14:textId="60E436BD" w:rsidR="008B425C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Another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heightened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Benjamin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Soskis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concomitant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Living.</w:t>
      </w:r>
    </w:p>
    <w:p w14:paraId="7FC2D492" w14:textId="12111380" w:rsidR="008B425C" w:rsidRPr="009D3026" w:rsidRDefault="00624E30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citizens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turned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1990s,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’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systematically,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earlier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careers.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8B425C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1999,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notable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philanthropy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scholar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could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write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in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i/>
          <w:iCs/>
          <w:color w:val="000000" w:themeColor="text1"/>
        </w:rPr>
        <w:t>Washington</w:t>
      </w:r>
      <w:r w:rsid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i/>
          <w:iCs/>
          <w:color w:val="000000" w:themeColor="text1"/>
        </w:rPr>
        <w:t>Post</w:t>
      </w:r>
      <w:r w:rsidR="008B425C" w:rsidRPr="009D3026">
        <w:rPr>
          <w:rFonts w:ascii="Times New Roman" w:hAnsi="Times New Roman" w:cs="Times New Roman"/>
          <w:color w:val="000000" w:themeColor="text1"/>
        </w:rPr>
        <w:t>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with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hint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surprise,</w:t>
      </w:r>
      <w:r w:rsid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8B425C" w:rsidRPr="009D3026">
        <w:rPr>
          <w:rFonts w:ascii="Times New Roman" w:hAnsi="Times New Roman" w:cs="Times New Roman"/>
          <w:color w:val="111111"/>
        </w:rPr>
        <w:t>Philanthropy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has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become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a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controversial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matter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these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days,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lastRenderedPageBreak/>
        <w:t>particularly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when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donors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make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their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own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decisions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about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how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and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when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to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spend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their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money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rather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than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leaving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those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details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to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professionals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in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foundations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have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set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up.</w:t>
      </w:r>
      <w:r w:rsidR="00B065A0">
        <w:rPr>
          <w:rFonts w:ascii="Times New Roman" w:hAnsi="Times New Roman" w:cs="Times New Roman"/>
          <w:color w:val="111111"/>
        </w:rPr>
        <w:t>”</w:t>
      </w:r>
      <w:r w:rsidR="008B425C" w:rsidRPr="009D3026">
        <w:rPr>
          <w:rStyle w:val="EndnoteReference"/>
          <w:rFonts w:ascii="Times New Roman" w:hAnsi="Times New Roman" w:cs="Times New Roman"/>
          <w:color w:val="111111"/>
        </w:rPr>
        <w:endnoteReference w:id="37"/>
      </w:r>
    </w:p>
    <w:p w14:paraId="294288EE" w14:textId="79436CD7" w:rsidR="00261DB7" w:rsidRPr="009D3026" w:rsidRDefault="007F22B4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millennium,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enormous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tech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finance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industries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relatively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young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ages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gave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parts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non-twilight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portion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lives</w:t>
      </w:r>
      <w:r w:rsidR="00287F38" w:rsidRPr="009D3026">
        <w:rPr>
          <w:rFonts w:ascii="Times New Roman" w:hAnsi="Times New Roman" w:cs="Times New Roman"/>
        </w:rPr>
        <w:t>—in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commentator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termed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repudiation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287F38" w:rsidRPr="009D3026">
        <w:rPr>
          <w:rFonts w:ascii="Times New Roman" w:hAnsi="Times New Roman" w:cs="Times New Roman"/>
        </w:rPr>
        <w:t>earn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now,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figure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later</w:t>
      </w:r>
      <w:r w:rsidR="00B065A0">
        <w:rPr>
          <w:rFonts w:ascii="Times New Roman" w:hAnsi="Times New Roman" w:cs="Times New Roman"/>
        </w:rPr>
        <w:t xml:space="preserve">” </w:t>
      </w:r>
      <w:r w:rsidR="00287F38" w:rsidRPr="009D3026">
        <w:rPr>
          <w:rFonts w:ascii="Times New Roman" w:hAnsi="Times New Roman" w:cs="Times New Roman"/>
        </w:rPr>
        <w:t>approach.</w:t>
      </w:r>
      <w:r w:rsidR="00287F38" w:rsidRPr="009D3026">
        <w:rPr>
          <w:rStyle w:val="EndnoteReference"/>
          <w:rFonts w:ascii="Times New Roman" w:hAnsi="Times New Roman" w:cs="Times New Roman"/>
        </w:rPr>
        <w:endnoteReference w:id="38"/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mega-</w:t>
      </w:r>
      <w:r w:rsidR="00261DB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rival,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respects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dominate,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landscape,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where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legacy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once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presided.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course,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legacy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“</w:t>
      </w:r>
      <w:r w:rsidR="00261DB7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261DB7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operate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framework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  <w:color w:val="000000" w:themeColor="text1"/>
        </w:rPr>
        <w:t>rise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shift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in</w:t>
      </w:r>
      <w:r w:rsidR="00261DB7" w:rsidRPr="009D3026">
        <w:rPr>
          <w:rFonts w:ascii="Times New Roman" w:hAnsi="Times New Roman" w:cs="Times New Roman"/>
        </w:rPr>
        <w:t>—and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to</w:t>
      </w:r>
      <w:r w:rsidR="00261DB7" w:rsidRPr="009D3026">
        <w:rPr>
          <w:rFonts w:ascii="Times New Roman" w:hAnsi="Times New Roman" w:cs="Times New Roman"/>
        </w:rPr>
        <w:t>—tempora</w:t>
      </w:r>
      <w:r w:rsidR="00287F38" w:rsidRPr="009D3026">
        <w:rPr>
          <w:rFonts w:ascii="Times New Roman" w:hAnsi="Times New Roman" w:cs="Times New Roman"/>
        </w:rPr>
        <w:t>lity</w:t>
      </w:r>
      <w:r w:rsidR="00261DB7" w:rsidRPr="009D3026">
        <w:rPr>
          <w:rFonts w:ascii="Times New Roman" w:hAnsi="Times New Roman" w:cs="Times New Roman"/>
        </w:rPr>
        <w:t>.</w:t>
      </w:r>
    </w:p>
    <w:p w14:paraId="5D3B34E4" w14:textId="21BF5F26" w:rsidR="003D43DB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significantly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boosted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significance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timeframes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associated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lifetime.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context,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deliberations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versus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later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translate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>’</w:t>
      </w:r>
      <w:r w:rsidR="00287F3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initiate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intensify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program,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bounds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mortality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establishing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assumed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terminal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point.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Additionally</w:t>
      </w:r>
      <w:r w:rsidR="00287F38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g</w:t>
      </w:r>
      <w:r w:rsidR="003D43DB" w:rsidRPr="009D3026">
        <w:rPr>
          <w:rFonts w:ascii="Times New Roman" w:hAnsi="Times New Roman" w:cs="Times New Roman"/>
        </w:rPr>
        <w:t>iven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careers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earlier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lives,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intersects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novel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constellation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events;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Mark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Priscilla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Chan,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pledged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99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fortune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daughter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born,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3D43DB" w:rsidRPr="009D3026">
        <w:rPr>
          <w:rFonts w:ascii="Times New Roman" w:hAnsi="Times New Roman" w:cs="Times New Roman"/>
        </w:rPr>
        <w:t>MacKenzie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Scott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developed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aftermath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divorce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Jeff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Bezos.</w:t>
      </w:r>
      <w:r w:rsidR="003D43DB" w:rsidRPr="009D3026">
        <w:rPr>
          <w:rStyle w:val="EndnoteReference"/>
          <w:rFonts w:ascii="Times New Roman" w:hAnsi="Times New Roman" w:cs="Times New Roman"/>
        </w:rPr>
        <w:endnoteReference w:id="39"/>
      </w:r>
    </w:p>
    <w:p w14:paraId="255B1F7A" w14:textId="16FB3518" w:rsidR="00613DC0" w:rsidRPr="009D3026" w:rsidRDefault="00287F38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Starting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earlier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lives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large-scale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horizons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deliberate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experimentation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risk-taking.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Chan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pledged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vast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>’</w:t>
      </w:r>
      <w:r w:rsidR="00480CBE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Facebook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fortune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“</w:t>
      </w:r>
      <w:r w:rsidR="00480CBE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lives,</w:t>
      </w:r>
      <w:r w:rsidR="00B065A0">
        <w:rPr>
          <w:rFonts w:ascii="Times New Roman" w:hAnsi="Times New Roman" w:cs="Times New Roman"/>
        </w:rPr>
        <w:t xml:space="preserve">” </w:t>
      </w:r>
      <w:r w:rsidR="00480CBE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done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lastRenderedPageBreak/>
        <w:t>over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stressing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importance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maintaining</w:t>
      </w:r>
      <w:r w:rsidR="00B065A0">
        <w:rPr>
          <w:rFonts w:ascii="Times New Roman" w:hAnsi="Times New Roman" w:cs="Times New Roman"/>
        </w:rPr>
        <w:t xml:space="preserve"> “</w:t>
      </w:r>
      <w:r w:rsidR="00480CBE"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horizons</w:t>
      </w:r>
      <w:r w:rsidR="00B065A0">
        <w:rPr>
          <w:rFonts w:ascii="Times New Roman" w:hAnsi="Times New Roman" w:cs="Times New Roman"/>
        </w:rPr>
        <w:t xml:space="preserve">” </w:t>
      </w:r>
      <w:r w:rsidR="00480CB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highlighting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480CBE" w:rsidRPr="009D3026">
        <w:rPr>
          <w:rFonts w:ascii="Times New Roman" w:hAnsi="Times New Roman" w:cs="Times New Roman"/>
        </w:rPr>
        <w:t>short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term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thinking.</w:t>
      </w:r>
      <w:r w:rsidR="00B065A0">
        <w:rPr>
          <w:rFonts w:ascii="Times New Roman" w:hAnsi="Times New Roman" w:cs="Times New Roman"/>
        </w:rPr>
        <w:t>”</w:t>
      </w:r>
      <w:r w:rsidR="00012B8F" w:rsidRPr="009D3026">
        <w:rPr>
          <w:rStyle w:val="EndnoteReference"/>
          <w:rFonts w:ascii="Times New Roman" w:hAnsi="Times New Roman" w:cs="Times New Roman"/>
        </w:rPr>
        <w:endnoteReference w:id="40"/>
      </w:r>
    </w:p>
    <w:p w14:paraId="3C8AA572" w14:textId="1736AB92" w:rsidR="0097589E" w:rsidRPr="009D3026" w:rsidRDefault="00012B8F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wider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vista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combines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virtues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associated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patience)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317F0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ensures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debate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fulfilling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dictates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="00317F0B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leaves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="00C83417"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="00C8341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83417" w:rsidRPr="009D3026">
        <w:rPr>
          <w:rFonts w:ascii="Times New Roman" w:hAnsi="Times New Roman" w:cs="Times New Roman"/>
        </w:rPr>
        <w:t>fulfilment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does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not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necessarily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entail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close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tethering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philanthropic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respon</w:t>
      </w:r>
      <w:r w:rsidR="00FD3316" w:rsidRPr="009D3026">
        <w:rPr>
          <w:rFonts w:ascii="Times New Roman" w:hAnsi="Times New Roman" w:cs="Times New Roman"/>
          <w:color w:val="000000" w:themeColor="text1"/>
        </w:rPr>
        <w:t>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exigencies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D3316" w:rsidRPr="009D3026">
        <w:rPr>
          <w:rFonts w:ascii="Times New Roman" w:hAnsi="Times New Roman" w:cs="Times New Roman"/>
          <w:color w:val="000000" w:themeColor="text1"/>
        </w:rPr>
        <w:t>particular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moment.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D3316" w:rsidRPr="009D3026">
        <w:rPr>
          <w:rFonts w:ascii="Times New Roman" w:hAnsi="Times New Roman" w:cs="Times New Roman"/>
          <w:color w:val="000000" w:themeColor="text1"/>
        </w:rPr>
        <w:t>Indeed,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D3316" w:rsidRPr="009D3026">
        <w:rPr>
          <w:rFonts w:ascii="Times New Roman" w:hAnsi="Times New Roman" w:cs="Times New Roman"/>
        </w:rPr>
        <w:t>w</w:t>
      </w:r>
      <w:r w:rsidR="00317F0B" w:rsidRPr="009D3026">
        <w:rPr>
          <w:rFonts w:ascii="Times New Roman" w:hAnsi="Times New Roman" w:cs="Times New Roman"/>
        </w:rPr>
        <w:t>hen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Bill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Melinda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Gates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Warren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Buffett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debating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Pledge,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campaign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convince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>’</w:t>
      </w:r>
      <w:r w:rsidR="00261DB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billionaires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lifetimes,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whether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founding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principles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="00317F0B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Now</w:t>
      </w:r>
      <w:r w:rsidR="00FD3316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” </w:t>
      </w:r>
      <w:r w:rsidR="00A862D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suggestion</w:t>
      </w:r>
      <w:r w:rsidR="00FD3316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dismissed.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Pledge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insist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strong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weighting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future</w:t>
      </w:r>
      <w:r w:rsidR="00E723D8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defined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individual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lifetime.</w:t>
      </w:r>
      <w:r w:rsidR="00317F0B" w:rsidRPr="009D3026">
        <w:rPr>
          <w:rStyle w:val="EndnoteReference"/>
          <w:rFonts w:ascii="Times New Roman" w:hAnsi="Times New Roman" w:cs="Times New Roman"/>
        </w:rPr>
        <w:endnoteReference w:id="41"/>
      </w:r>
    </w:p>
    <w:p w14:paraId="24B1EDFF" w14:textId="3CC32B1F" w:rsidR="00317F0B" w:rsidRPr="009D3026" w:rsidRDefault="0097589E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origins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technology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fueled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determine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>’ “</w:t>
      </w:r>
      <w:r w:rsidRPr="009D3026">
        <w:rPr>
          <w:rFonts w:ascii="Times New Roman" w:hAnsi="Times New Roman" w:cs="Times New Roman"/>
        </w:rPr>
        <w:t>return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D64556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ROI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underscored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dimensions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directing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ripple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effects</w:t>
      </w:r>
      <w:r w:rsidR="00B065A0">
        <w:rPr>
          <w:rFonts w:ascii="Times New Roman" w:hAnsi="Times New Roman" w:cs="Times New Roman"/>
        </w:rPr>
        <w:t xml:space="preserve">” </w:t>
      </w:r>
      <w:r w:rsidR="006E31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E3100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Tony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chapter),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produce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compounding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="00770AB5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770AB5" w:rsidRPr="009D3026">
        <w:rPr>
          <w:rFonts w:ascii="Times New Roman" w:hAnsi="Times New Roman" w:cs="Times New Roman"/>
        </w:rPr>
        <w:t>years</w:t>
      </w:r>
      <w:r w:rsidR="007A3F6E" w:rsidRPr="009D3026">
        <w:rPr>
          <w:rFonts w:ascii="Times New Roman" w:hAnsi="Times New Roman" w:cs="Times New Roman"/>
        </w:rPr>
        <w:t>.</w:t>
      </w:r>
      <w:r w:rsidR="00D64556" w:rsidRPr="009D3026">
        <w:rPr>
          <w:rStyle w:val="EndnoteReference"/>
          <w:rFonts w:ascii="Times New Roman" w:hAnsi="Times New Roman" w:cs="Times New Roman"/>
        </w:rPr>
        <w:endnoteReference w:id="42"/>
      </w:r>
    </w:p>
    <w:p w14:paraId="32A199C3" w14:textId="5C86DD0C" w:rsidR="00E04A3B" w:rsidRPr="009D3026" w:rsidRDefault="00B2154A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Challenges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</w:p>
    <w:p w14:paraId="63C0975B" w14:textId="279E924F" w:rsidR="00C42897" w:rsidRPr="009D3026" w:rsidRDefault="00E04A3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mega-donor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coincided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surge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challenges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C4289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another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development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increas</w:t>
      </w:r>
      <w:r w:rsidR="00031340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directed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considerations.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Joel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Fleishman,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Director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Duke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>’</w:t>
      </w:r>
      <w:r w:rsidR="00C4289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Center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Strategy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Civil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Society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Philanthropies,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“</w:t>
      </w:r>
      <w:r w:rsidR="00C42897" w:rsidRPr="009D3026">
        <w:rPr>
          <w:rFonts w:ascii="Times New Roman" w:hAnsi="Times New Roman" w:cs="Times New Roman"/>
        </w:rPr>
        <w:t>[T]he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single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taken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place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1990</w:t>
      </w:r>
      <w:r w:rsidR="00B065A0">
        <w:rPr>
          <w:rFonts w:ascii="Times New Roman" w:hAnsi="Times New Roman" w:cs="Times New Roman"/>
        </w:rPr>
        <w:t xml:space="preserve">” </w:t>
      </w:r>
      <w:r w:rsidR="00C4289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C42897" w:rsidRPr="009D3026">
        <w:rPr>
          <w:rFonts w:ascii="Times New Roman" w:hAnsi="Times New Roman" w:cs="Times New Roman"/>
        </w:rPr>
        <w:t>prospective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appear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favoring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either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roughly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concurrent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disposition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substantial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lifetimes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involvement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all.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seismic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shift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practice.</w:t>
      </w:r>
      <w:r w:rsidR="00B065A0">
        <w:rPr>
          <w:rFonts w:ascii="Times New Roman" w:hAnsi="Times New Roman" w:cs="Times New Roman"/>
        </w:rPr>
        <w:t>”</w:t>
      </w:r>
      <w:r w:rsidR="00C42897" w:rsidRPr="009D3026">
        <w:rPr>
          <w:rStyle w:val="EndnoteReference"/>
          <w:rFonts w:ascii="Times New Roman" w:hAnsi="Times New Roman" w:cs="Times New Roman"/>
        </w:rPr>
        <w:endnoteReference w:id="43"/>
      </w:r>
    </w:p>
    <w:p w14:paraId="058AD851" w14:textId="64037EA9" w:rsidR="00C42897" w:rsidRPr="009D3026" w:rsidRDefault="00C4289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necessarily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entail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concomitant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tension,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channel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enlargement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bureaucracy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9456C2" w:rsidRPr="009D3026">
        <w:rPr>
          <w:rFonts w:ascii="Times New Roman" w:hAnsi="Times New Roman" w:cs="Times New Roman"/>
        </w:rPr>
        <w:t>potentially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sideline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donor.</w:t>
      </w:r>
      <w:r w:rsidR="00031340" w:rsidRPr="009D3026">
        <w:rPr>
          <w:rStyle w:val="EndnoteReference"/>
          <w:rFonts w:ascii="Times New Roman" w:hAnsi="Times New Roman" w:cs="Times New Roman"/>
        </w:rPr>
        <w:endnoteReference w:id="44"/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Fleishman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457D17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unmistakable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consonance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</w:t>
      </w:r>
      <w:r w:rsidR="00D2484C" w:rsidRPr="009D3026">
        <w:rPr>
          <w:rFonts w:ascii="Times New Roman" w:hAnsi="Times New Roman" w:cs="Times New Roman"/>
        </w:rPr>
        <w:t>rprising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22477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F2247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2247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1237F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grown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tandem.</w:t>
      </w:r>
    </w:p>
    <w:p w14:paraId="65ABADF1" w14:textId="6A473F99" w:rsidR="00AA288E" w:rsidRPr="009D3026" w:rsidRDefault="009C786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S</w:t>
      </w:r>
      <w:r w:rsidR="00457D17" w:rsidRPr="009D3026">
        <w:rPr>
          <w:rFonts w:ascii="Times New Roman" w:hAnsi="Times New Roman" w:cs="Times New Roman"/>
        </w:rPr>
        <w:t>ince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1990s,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analysts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claimed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detected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stirrings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wholesale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transformation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norms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never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materialized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dominant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existing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foundations</w:t>
      </w:r>
      <w:r w:rsidR="00755091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</w:t>
      </w:r>
      <w:r w:rsidR="00F22644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</w:rPr>
        <w:t>2010s,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presumption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challenged,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Bill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Melinda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Gates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Mark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Priscilla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Chan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expressed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</w:t>
      </w:r>
      <w:r w:rsidR="00AA288E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rationales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lastRenderedPageBreak/>
        <w:t>offered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grounded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exacting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definition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insist</w:t>
      </w:r>
      <w:r w:rsidR="008B0DA6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age.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Chuck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Feeney,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Philanthropies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largest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close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doors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September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2020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vocal</w:t>
      </w:r>
      <w:r w:rsidR="00B065A0">
        <w:rPr>
          <w:rFonts w:ascii="Times New Roman" w:hAnsi="Times New Roman" w:cs="Times New Roman"/>
        </w:rPr>
        <w:t xml:space="preserve"> </w:t>
      </w:r>
      <w:r w:rsidR="00A374BD" w:rsidRPr="009D3026">
        <w:rPr>
          <w:rFonts w:ascii="Times New Roman" w:hAnsi="Times New Roman" w:cs="Times New Roman"/>
        </w:rPr>
        <w:t>opponent</w:t>
      </w:r>
      <w:r w:rsidR="00B065A0">
        <w:rPr>
          <w:rFonts w:ascii="Times New Roman" w:hAnsi="Times New Roman" w:cs="Times New Roman"/>
        </w:rPr>
        <w:t xml:space="preserve"> </w:t>
      </w:r>
      <w:r w:rsidR="00A374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explained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="00AA288E"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” </w:t>
      </w:r>
      <w:r w:rsidR="00AA288E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based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recognition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AA288E"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="00AA288E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pressing,</w:t>
      </w:r>
      <w:r w:rsidR="00B065A0">
        <w:rPr>
          <w:rFonts w:ascii="Times New Roman" w:hAnsi="Times New Roman" w:cs="Times New Roman"/>
        </w:rPr>
        <w:t xml:space="preserve">” </w:t>
      </w:r>
      <w:r w:rsidR="00AA28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confidence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bring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”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needs.</w:t>
      </w:r>
      <w:r w:rsidR="00AA288E" w:rsidRPr="009D3026">
        <w:rPr>
          <w:rStyle w:val="EndnoteReference"/>
          <w:rFonts w:ascii="Times New Roman" w:hAnsi="Times New Roman" w:cs="Times New Roman"/>
        </w:rPr>
        <w:endnoteReference w:id="45"/>
      </w:r>
    </w:p>
    <w:p w14:paraId="16734E91" w14:textId="59E3EBB5" w:rsidR="009B1B4B" w:rsidRPr="009D3026" w:rsidRDefault="008069B0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twenty-first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dominance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e</w:t>
      </w:r>
      <w:r w:rsidR="008B0DA6" w:rsidRPr="009D3026">
        <w:rPr>
          <w:rFonts w:ascii="Times New Roman" w:hAnsi="Times New Roman" w:cs="Times New Roman"/>
        </w:rPr>
        <w:t>rode</w:t>
      </w:r>
      <w:r w:rsidR="008E70BC" w:rsidRPr="009D3026">
        <w:rPr>
          <w:rFonts w:ascii="Times New Roman" w:hAnsi="Times New Roman" w:cs="Times New Roman"/>
        </w:rPr>
        <w:t>d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further</w:t>
      </w:r>
      <w:r w:rsidR="008B0DA6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wa</w:t>
      </w:r>
      <w:r w:rsidR="008B0DA6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impossible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longer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default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institutions.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  <w:color w:val="000000" w:themeColor="text1"/>
        </w:rPr>
        <w:t>202</w:t>
      </w:r>
      <w:r w:rsidR="00D07974" w:rsidRPr="009D3026">
        <w:rPr>
          <w:rFonts w:ascii="Times New Roman" w:hAnsi="Times New Roman" w:cs="Times New Roman"/>
          <w:color w:val="000000" w:themeColor="text1"/>
        </w:rPr>
        <w:t>0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E04A3B"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analyzing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Advisors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NORC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Chicago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noted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E04A3B" w:rsidRPr="009D3026">
        <w:rPr>
          <w:rFonts w:ascii="Times New Roman" w:hAnsi="Times New Roman" w:cs="Times New Roman"/>
        </w:rPr>
        <w:t>nearly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2010s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founded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vehicles,</w:t>
      </w:r>
      <w:r w:rsidR="00B065A0">
        <w:rPr>
          <w:rFonts w:ascii="Times New Roman" w:hAnsi="Times New Roman" w:cs="Times New Roman"/>
        </w:rPr>
        <w:t xml:space="preserve">” </w:t>
      </w:r>
      <w:r w:rsidR="00E04A3B" w:rsidRPr="009D3026">
        <w:rPr>
          <w:rFonts w:ascii="Times New Roman" w:hAnsi="Times New Roman" w:cs="Times New Roman"/>
        </w:rPr>
        <w:t>whereas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1980s,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proportion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closer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20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percent.</w:t>
      </w:r>
      <w:r w:rsidR="00755091" w:rsidRPr="009D3026">
        <w:rPr>
          <w:rStyle w:val="EndnoteReference"/>
          <w:rFonts w:ascii="Times New Roman" w:hAnsi="Times New Roman" w:cs="Times New Roman"/>
        </w:rPr>
        <w:endnoteReference w:id="46"/>
      </w:r>
    </w:p>
    <w:p w14:paraId="0A3474B7" w14:textId="1D35E6CF" w:rsidR="00261DB7" w:rsidRPr="009D3026" w:rsidRDefault="00E04A3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regardless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Whereas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rarely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intentionally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planned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timeframes,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authors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innovations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length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component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strategy</w:t>
      </w:r>
      <w:r w:rsidR="00F22644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” </w:t>
      </w:r>
      <w:r w:rsidR="00D479AC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whereas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championed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alternative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prominent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likeliest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timeliness),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heads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shape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discourse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outside</w:t>
      </w:r>
      <w:r w:rsidR="00B065A0">
        <w:rPr>
          <w:rFonts w:ascii="Times New Roman" w:hAnsi="Times New Roman" w:cs="Times New Roman"/>
        </w:rPr>
        <w:t xml:space="preserve"> </w:t>
      </w:r>
      <w:r w:rsidR="00E6692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66926" w:rsidRPr="009D3026">
        <w:rPr>
          <w:rFonts w:ascii="Times New Roman" w:hAnsi="Times New Roman" w:cs="Times New Roman"/>
        </w:rPr>
        <w:t>bounds</w:t>
      </w:r>
      <w:r w:rsidR="00B065A0">
        <w:rPr>
          <w:rFonts w:ascii="Times New Roman" w:hAnsi="Times New Roman" w:cs="Times New Roman"/>
        </w:rPr>
        <w:t xml:space="preserve"> </w:t>
      </w:r>
      <w:r w:rsidR="00E6692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sector</w:t>
      </w:r>
      <w:r w:rsidRPr="009D3026">
        <w:rPr>
          <w:rFonts w:ascii="Times New Roman" w:hAnsi="Times New Roman" w:cs="Times New Roman"/>
        </w:rPr>
        <w:t>.</w:t>
      </w:r>
      <w:r w:rsidRPr="009D3026">
        <w:rPr>
          <w:rStyle w:val="EndnoteReference"/>
          <w:rFonts w:ascii="Times New Roman" w:hAnsi="Times New Roman" w:cs="Times New Roman"/>
        </w:rPr>
        <w:endnoteReference w:id="47"/>
      </w:r>
    </w:p>
    <w:p w14:paraId="1628463B" w14:textId="2DD7DB5B" w:rsidR="00B2154A" w:rsidRPr="009D3026" w:rsidRDefault="00B2154A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</w:p>
    <w:p w14:paraId="3606C19E" w14:textId="06179A20" w:rsidR="00261DB7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astronomical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09315B" w:rsidRPr="009D3026">
        <w:rPr>
          <w:rFonts w:ascii="Times New Roman" w:hAnsi="Times New Roman" w:cs="Times New Roman"/>
        </w:rPr>
        <w:t>(DAFs)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expansion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1940s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1950s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sparked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inquiries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timespans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="0009315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accounts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(unlike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mandated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claim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deduction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renewed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incentivize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disbursement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charities.</w:t>
      </w:r>
    </w:p>
    <w:p w14:paraId="3C3E94E1" w14:textId="21EF7325" w:rsidR="00261DB7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Propelled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explosion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commercial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(first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authorized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  <w:color w:val="000000" w:themeColor="text1"/>
        </w:rPr>
        <w:t>1991</w:t>
      </w:r>
      <w:r w:rsidR="00DF5052" w:rsidRPr="009D3026">
        <w:rPr>
          <w:rFonts w:ascii="Times New Roman" w:hAnsi="Times New Roman" w:cs="Times New Roman"/>
        </w:rPr>
        <w:t>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astronomical,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vastly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out</w:t>
      </w:r>
      <w:r w:rsidR="00FC030A" w:rsidRPr="009D3026">
        <w:rPr>
          <w:rFonts w:ascii="Times New Roman" w:hAnsi="Times New Roman" w:cs="Times New Roman"/>
        </w:rPr>
        <w:t>pacing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generally.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$7.1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billion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2008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$</w:t>
      </w:r>
      <w:r w:rsidR="00F155EE" w:rsidRPr="009D3026">
        <w:rPr>
          <w:rFonts w:ascii="Times New Roman" w:hAnsi="Times New Roman" w:cs="Times New Roman"/>
        </w:rPr>
        <w:t>47.9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billion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</w:t>
      </w:r>
      <w:r w:rsidR="00F155EE" w:rsidRPr="009D3026">
        <w:rPr>
          <w:rFonts w:ascii="Times New Roman" w:hAnsi="Times New Roman" w:cs="Times New Roman"/>
        </w:rPr>
        <w:t>20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2010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</w:t>
      </w:r>
      <w:r w:rsidR="0011572B" w:rsidRPr="009D3026">
        <w:rPr>
          <w:rFonts w:ascii="Times New Roman" w:hAnsi="Times New Roman" w:cs="Times New Roman"/>
        </w:rPr>
        <w:t>20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tripled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4.4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</w:t>
      </w:r>
      <w:r w:rsidR="0011572B" w:rsidRPr="009D3026">
        <w:rPr>
          <w:rFonts w:ascii="Times New Roman" w:hAnsi="Times New Roman" w:cs="Times New Roman"/>
        </w:rPr>
        <w:t>4.8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2016,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Chronicle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of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tracking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Fidelity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occupied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rankings,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6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Chronicle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rankings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sponsors</w:t>
      </w:r>
      <w:r w:rsidR="00DF5052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Commercial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ranked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8069B0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largest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8069B0" w:rsidRPr="009D3026">
        <w:rPr>
          <w:rFonts w:ascii="Times New Roman" w:hAnsi="Times New Roman" w:cs="Times New Roman"/>
        </w:rPr>
        <w:t>grantmakers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measured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dollars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out-the-door</w:t>
      </w:r>
      <w:r w:rsidR="008069B0" w:rsidRPr="009D3026">
        <w:rPr>
          <w:rFonts w:ascii="Times New Roman" w:hAnsi="Times New Roman" w:cs="Times New Roman"/>
        </w:rPr>
        <w:t>.</w:t>
      </w:r>
      <w:r w:rsidRPr="009D3026">
        <w:rPr>
          <w:rStyle w:val="EndnoteReference"/>
          <w:rFonts w:ascii="Times New Roman" w:hAnsi="Times New Roman" w:cs="Times New Roman"/>
        </w:rPr>
        <w:endnoteReference w:id="48"/>
      </w:r>
    </w:p>
    <w:p w14:paraId="789512F1" w14:textId="649A834C" w:rsidR="0032581F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contentious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</w:t>
      </w:r>
      <w:r w:rsidR="00DE0E05" w:rsidRPr="009D3026">
        <w:rPr>
          <w:rFonts w:ascii="Times New Roman" w:hAnsi="Times New Roman" w:cs="Times New Roman"/>
        </w:rPr>
        <w:t>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8069B0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</w:t>
      </w:r>
      <w:r w:rsidRPr="009D3026">
        <w:rPr>
          <w:rFonts w:ascii="Times New Roman" w:hAnsi="Times New Roman" w:cs="Times New Roman"/>
        </w:rPr>
        <w:t>ebates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elevated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dominant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theme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with</w:t>
      </w:r>
      <w:r w:rsidR="0032581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discourse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philanthrop</w:t>
      </w:r>
      <w:r w:rsidR="004F371A" w:rsidRPr="009D3026">
        <w:rPr>
          <w:rFonts w:ascii="Times New Roman" w:hAnsi="Times New Roman" w:cs="Times New Roman"/>
        </w:rPr>
        <w:t>ic</w:t>
      </w:r>
      <w:r w:rsidR="00B065A0">
        <w:rPr>
          <w:rFonts w:ascii="Times New Roman" w:hAnsi="Times New Roman" w:cs="Times New Roman"/>
        </w:rPr>
        <w:t xml:space="preserve"> </w:t>
      </w:r>
      <w:r w:rsidR="004F371A" w:rsidRPr="009D3026">
        <w:rPr>
          <w:rFonts w:ascii="Times New Roman" w:hAnsi="Times New Roman" w:cs="Times New Roman"/>
        </w:rPr>
        <w:t>practice</w:t>
      </w:r>
      <w:r w:rsidR="008069B0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advocating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regulatory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facilitating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irresponsible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warehousing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gap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holders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break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subsidized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actually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042BE5"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grantees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Particularly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concerning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advocating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effectively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negate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percent </w:t>
      </w:r>
      <w:r w:rsidR="001E7BA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applicable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(as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Galle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Madoff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volume</w:t>
      </w:r>
      <w:r w:rsidR="001E7BAC" w:rsidRPr="009D3026">
        <w:rPr>
          <w:rFonts w:ascii="Times New Roman" w:hAnsi="Times New Roman" w:cs="Times New Roman"/>
        </w:rPr>
        <w:t>),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able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meet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letter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spirit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distributions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DAFs.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status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quo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overall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percent </w:t>
      </w:r>
      <w:r w:rsidR="001E7BAC" w:rsidRPr="009D3026">
        <w:rPr>
          <w:rFonts w:ascii="Times New Roman" w:hAnsi="Times New Roman" w:cs="Times New Roman"/>
        </w:rPr>
        <w:t>required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imposed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argue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determining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want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disburse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allocated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132A1" w:rsidRPr="009D3026">
        <w:rPr>
          <w:rFonts w:ascii="Times New Roman" w:hAnsi="Times New Roman" w:cs="Times New Roman"/>
        </w:rPr>
        <w:t>June</w:t>
      </w:r>
      <w:r w:rsidR="00B065A0">
        <w:rPr>
          <w:rFonts w:ascii="Times New Roman" w:hAnsi="Times New Roman" w:cs="Times New Roman"/>
        </w:rPr>
        <w:t xml:space="preserve"> </w:t>
      </w:r>
      <w:r w:rsidR="008132A1" w:rsidRPr="009D3026">
        <w:rPr>
          <w:rFonts w:ascii="Times New Roman" w:hAnsi="Times New Roman" w:cs="Times New Roman"/>
        </w:rPr>
        <w:t>2021</w:t>
      </w:r>
      <w:r w:rsidR="00DE0E05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bipartisan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legislation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introduced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Congress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6E3100"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require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disburse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fifteen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receive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deduction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incentivize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faster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disbursement.</w:t>
      </w:r>
      <w:r w:rsidR="00B065A0">
        <w:rPr>
          <w:rFonts w:ascii="Times New Roman" w:hAnsi="Times New Roman" w:cs="Times New Roman"/>
          <w:color w:val="FF0000"/>
        </w:rPr>
        <w:t xml:space="preserve"> </w:t>
      </w:r>
      <w:r w:rsidR="0032581F" w:rsidRPr="009D3026">
        <w:rPr>
          <w:rFonts w:ascii="Times New Roman" w:hAnsi="Times New Roman" w:cs="Times New Roman"/>
        </w:rPr>
        <w:t>Supporters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legislation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challenging</w:t>
      </w:r>
      <w:r w:rsidR="00B065A0">
        <w:rPr>
          <w:rFonts w:ascii="Times New Roman" w:hAnsi="Times New Roman" w:cs="Times New Roman"/>
        </w:rPr>
        <w:t xml:space="preserve"> “</w:t>
      </w:r>
      <w:r w:rsidR="003258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slow-moving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status-quo</w:t>
      </w:r>
      <w:r w:rsidR="00B065A0">
        <w:rPr>
          <w:rFonts w:ascii="Times New Roman" w:hAnsi="Times New Roman" w:cs="Times New Roman"/>
        </w:rPr>
        <w:t xml:space="preserve">” </w:t>
      </w:r>
      <w:r w:rsidR="0032581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guaranteeing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32581F"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="0032581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dollars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[are]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used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confront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="0032581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challenges.</w:t>
      </w:r>
      <w:r w:rsidR="00B065A0">
        <w:rPr>
          <w:rFonts w:ascii="Times New Roman" w:hAnsi="Times New Roman" w:cs="Times New Roman"/>
        </w:rPr>
        <w:t>”</w:t>
      </w:r>
      <w:r w:rsidR="0032581F" w:rsidRPr="009D3026">
        <w:rPr>
          <w:rStyle w:val="EndnoteReference"/>
          <w:rFonts w:ascii="Times New Roman" w:hAnsi="Times New Roman" w:cs="Times New Roman"/>
        </w:rPr>
        <w:endnoteReference w:id="49"/>
      </w:r>
    </w:p>
    <w:p w14:paraId="00786350" w14:textId="71F96227" w:rsidR="0011572B" w:rsidRPr="009D3026" w:rsidRDefault="006C2FF0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exhaustive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accounting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6B48BB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a</w:t>
      </w:r>
      <w:r w:rsidRPr="009D3026">
        <w:rPr>
          <w:rFonts w:ascii="Times New Roman" w:hAnsi="Times New Roman" w:cs="Times New Roman"/>
        </w:rPr>
        <w:t>dditional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developments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contributed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movement,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strict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involving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proofErr w:type="gramEnd"/>
      <w:r w:rsidR="0011572B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ethical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3B6885" w:rsidRPr="009D3026">
        <w:rPr>
          <w:rFonts w:ascii="Times New Roman" w:hAnsi="Times New Roman" w:cs="Times New Roman"/>
        </w:rPr>
        <w:t>long-termism,</w:t>
      </w:r>
      <w:r w:rsidR="00B065A0">
        <w:rPr>
          <w:rFonts w:ascii="Times New Roman" w:hAnsi="Times New Roman" w:cs="Times New Roman"/>
        </w:rPr>
        <w:t xml:space="preserve">” </w:t>
      </w:r>
      <w:r w:rsidR="006B48BB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advocates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horizons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extending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in</w:t>
      </w:r>
      <w:r w:rsidR="00DE512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centuries,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millennia,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direct</w:t>
      </w:r>
      <w:r w:rsidR="006B48BB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’ </w:t>
      </w:r>
      <w:r w:rsidR="003B6885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billions,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trillions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humans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born</w:t>
      </w:r>
      <w:r w:rsidR="00DE512A" w:rsidRPr="009D3026">
        <w:rPr>
          <w:rFonts w:ascii="Times New Roman" w:hAnsi="Times New Roman" w:cs="Times New Roman"/>
        </w:rPr>
        <w:t>.</w:t>
      </w:r>
      <w:r w:rsidRPr="009D3026">
        <w:rPr>
          <w:rStyle w:val="EndnoteReference"/>
          <w:rFonts w:ascii="Times New Roman" w:hAnsi="Times New Roman" w:cs="Times New Roman"/>
        </w:rPr>
        <w:endnoteReference w:id="50"/>
      </w:r>
    </w:p>
    <w:p w14:paraId="051F6515" w14:textId="7A5B3052" w:rsidR="00B065A0" w:rsidRDefault="00BC62AD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heightened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economic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inequality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intensified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journalistic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legislative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scrutiny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amplified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warehousing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disbursed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needs.</w:t>
      </w:r>
      <w:r w:rsidR="00DE512A" w:rsidRPr="009D3026">
        <w:rPr>
          <w:rStyle w:val="EndnoteReference"/>
          <w:rFonts w:ascii="Times New Roman" w:hAnsi="Times New Roman" w:cs="Times New Roman"/>
        </w:rPr>
        <w:endnoteReference w:id="51"/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7255FF"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issues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surrounding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racial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justice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racial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equity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has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also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cast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light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racialized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politics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philanthropic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time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frames,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raising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important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questions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about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who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has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power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make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time-based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decisions</w:t>
      </w:r>
      <w:r w:rsidR="007D00AB" w:rsidRPr="009D3026">
        <w:rPr>
          <w:rFonts w:ascii="Times New Roman" w:hAnsi="Times New Roman" w:cs="Times New Roman"/>
          <w:color w:val="000000" w:themeColor="text1"/>
        </w:rPr>
        <w:t>.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Additionally,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demands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over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reparations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for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slavery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other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forms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injustice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dispossession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have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confronted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philanthropy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with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questions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surrounding</w:t>
      </w:r>
      <w:r w:rsid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0F0DF6" w:rsidRPr="009D3026">
        <w:rPr>
          <w:rFonts w:ascii="Times New Roman" w:hAnsi="Times New Roman" w:cs="Times New Roman"/>
          <w:color w:val="000000" w:themeColor="text1"/>
        </w:rPr>
        <w:t>giving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in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time</w:t>
      </w:r>
      <w:r w:rsid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0F0DF6" w:rsidRPr="009D3026">
        <w:rPr>
          <w:rFonts w:ascii="Times New Roman" w:hAnsi="Times New Roman" w:cs="Times New Roman"/>
          <w:color w:val="000000" w:themeColor="text1"/>
        </w:rPr>
        <w:t>that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involve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donors</w:t>
      </w:r>
      <w:r w:rsidR="00B065A0">
        <w:rPr>
          <w:rFonts w:ascii="Times New Roman" w:hAnsi="Times New Roman" w:cs="Times New Roman"/>
          <w:color w:val="000000" w:themeColor="text1"/>
        </w:rPr>
        <w:t xml:space="preserve">’ </w:t>
      </w:r>
      <w:r w:rsidR="000F0DF6" w:rsidRPr="009D3026">
        <w:rPr>
          <w:rFonts w:ascii="Times New Roman" w:hAnsi="Times New Roman" w:cs="Times New Roman"/>
          <w:color w:val="000000" w:themeColor="text1"/>
        </w:rPr>
        <w:t>responsibilities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past.</w:t>
      </w:r>
      <w:r w:rsidR="006B48BB" w:rsidRPr="009D3026">
        <w:rPr>
          <w:rStyle w:val="EndnoteReference"/>
          <w:rFonts w:ascii="Times New Roman" w:hAnsi="Times New Roman" w:cs="Times New Roman"/>
        </w:rPr>
        <w:endnoteReference w:id="52"/>
      </w:r>
    </w:p>
    <w:p w14:paraId="7E56558F" w14:textId="392545C9" w:rsidR="00AD29F8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Covid-19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  <w:r w:rsidR="00477D2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protest</w:t>
      </w:r>
      <w:r w:rsidR="00670AE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racial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violence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erupted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summer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202</w:t>
      </w:r>
      <w:r w:rsidR="00670AEF" w:rsidRPr="009D3026">
        <w:rPr>
          <w:rFonts w:ascii="Times New Roman" w:hAnsi="Times New Roman" w:cs="Times New Roman"/>
        </w:rPr>
        <w:t>0</w:t>
      </w:r>
      <w:r w:rsidR="00477D2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stoked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pre-existing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timeliness.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months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pandemic,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host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adopted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rapid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grantmaking,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prioritizing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get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door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grantees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recipients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possible.</w:t>
      </w:r>
      <w:r w:rsidR="00A77E31" w:rsidRPr="009D3026">
        <w:rPr>
          <w:rStyle w:val="EndnoteReference"/>
          <w:rFonts w:ascii="Times New Roman" w:hAnsi="Times New Roman" w:cs="Times New Roman"/>
        </w:rPr>
        <w:endnoteReference w:id="53"/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Advocates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sector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rates,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insisting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urgency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present-day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trump</w:t>
      </w:r>
      <w:r w:rsidR="003E4A8E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imperatives</w:t>
      </w:r>
      <w:r w:rsidR="00B065A0">
        <w:rPr>
          <w:rFonts w:ascii="Times New Roman" w:hAnsi="Times New Roman" w:cs="Times New Roman"/>
        </w:rPr>
        <w:t xml:space="preserve"> </w:t>
      </w:r>
      <w:r w:rsidR="00FE7B9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preservation.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context,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advocates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reframe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desire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save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="00617FD5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socially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irresponsible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resource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hoarding.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eastAsia="Times New Roman" w:hAnsi="Times New Roman" w:cs="Times New Roman"/>
        </w:rPr>
        <w:t>“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strength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funder</w:t>
      </w:r>
      <w:r w:rsidR="00B065A0">
        <w:rPr>
          <w:rFonts w:ascii="Times New Roman" w:eastAsia="Times New Roman" w:hAnsi="Times New Roman" w:cs="Times New Roman"/>
        </w:rPr>
        <w:t>’</w:t>
      </w:r>
      <w:r w:rsidR="00F700BD" w:rsidRPr="009D3026">
        <w:rPr>
          <w:rFonts w:ascii="Times New Roman" w:eastAsia="Times New Roman" w:hAnsi="Times New Roman" w:cs="Times New Roman"/>
        </w:rPr>
        <w:t>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grantees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end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this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crisis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will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be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much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better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measure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significance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foundation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than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size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its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endowment,</w:t>
      </w:r>
      <w:r w:rsidR="00B065A0">
        <w:rPr>
          <w:rFonts w:ascii="Times New Roman" w:eastAsia="Times New Roman" w:hAnsi="Times New Roman" w:cs="Times New Roman"/>
        </w:rPr>
        <w:t xml:space="preserve">”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670AEF" w:rsidRPr="009D3026">
        <w:rPr>
          <w:rFonts w:ascii="Times New Roman" w:eastAsia="Times New Roman" w:hAnsi="Times New Roman" w:cs="Times New Roman"/>
        </w:rPr>
        <w:t>consortium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philanthropy-serving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organizations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declared.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(According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June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2021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Candid,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lastRenderedPageBreak/>
        <w:t>43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59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awarding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$50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million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more,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payout).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exhortations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renewed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defenses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explicit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engagement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ethical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underpinnings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treated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unspoken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default.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Ultimately,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pandemic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forth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7F6664" w:rsidRPr="009D3026">
        <w:rPr>
          <w:rFonts w:ascii="Times New Roman" w:hAnsi="Times New Roman" w:cs="Times New Roman"/>
        </w:rPr>
        <w:t>deliberate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sustained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moment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last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decades.</w:t>
      </w:r>
      <w:r w:rsidR="007D00AB" w:rsidRPr="009D3026">
        <w:rPr>
          <w:rStyle w:val="EndnoteReference"/>
          <w:rFonts w:ascii="Times New Roman" w:hAnsi="Times New Roman" w:cs="Times New Roman"/>
        </w:rPr>
        <w:endnoteReference w:id="54"/>
      </w:r>
    </w:p>
    <w:p w14:paraId="29FD6DBA" w14:textId="615DD0EF" w:rsidR="00D435F5" w:rsidRPr="009D3026" w:rsidRDefault="00A77E3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0F178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COVID-19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pandemic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affirmed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amplified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conviction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mounting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analysts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17FD5" w:rsidRPr="009D3026">
        <w:rPr>
          <w:rFonts w:ascii="Times New Roman" w:hAnsi="Times New Roman" w:cs="Times New Roman"/>
        </w:rPr>
        <w:t>previous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decade: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vectors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along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analyzed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assessed</w:t>
      </w:r>
      <w:r w:rsidR="00617FD5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conviction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impetus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meeting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practitioners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Stanford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2016,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“</w:t>
      </w:r>
      <w:r w:rsidR="00D435F5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Time: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Perpetuities,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Life,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”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follow-up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conference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Boston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College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School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four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months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later.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conferences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planted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seeds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volume;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material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published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here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presented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’ </w:t>
      </w:r>
      <w:r w:rsidR="00390E1D" w:rsidRPr="009D3026">
        <w:rPr>
          <w:rFonts w:ascii="Times New Roman" w:hAnsi="Times New Roman" w:cs="Times New Roman"/>
        </w:rPr>
        <w:t>conference.</w:t>
      </w:r>
    </w:p>
    <w:p w14:paraId="02028497" w14:textId="144E05FE" w:rsidR="003D2939" w:rsidRPr="009D3026" w:rsidRDefault="00390E1D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gatherings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vibrancy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currently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done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related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="003F1036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” </w:t>
      </w:r>
      <w:r w:rsidR="003F103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approaching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variety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disciplinary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perspectives</w:t>
      </w:r>
      <w:r w:rsidR="009E5729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perspectives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organized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chapters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follow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axes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history,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theory,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practice.</w:t>
      </w:r>
    </w:p>
    <w:p w14:paraId="7493B956" w14:textId="30A0566E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iCs/>
        </w:rPr>
        <w:t>In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Cs/>
        </w:rPr>
        <w:t>his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Cs/>
        </w:rPr>
        <w:t>chapter,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Cs/>
        </w:rPr>
        <w:t>historian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/>
        </w:rPr>
        <w:t>Benjamin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Soskis</w:t>
      </w:r>
      <w:proofErr w:type="spellEnd"/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perspective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roots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back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teachings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medieval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Christian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moralists,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deferred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reached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peak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scientific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ago.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mentioned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earlier,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Julius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advocate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</w:t>
      </w:r>
      <w:r w:rsidR="00C45DC6" w:rsidRPr="009D3026">
        <w:rPr>
          <w:rFonts w:ascii="Times New Roman" w:hAnsi="Times New Roman" w:cs="Times New Roman"/>
        </w:rPr>
        <w:t>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talents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proclivities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place.</w:t>
      </w:r>
    </w:p>
    <w:p w14:paraId="685E6F74" w14:textId="45B551B0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9D3026">
        <w:rPr>
          <w:rFonts w:ascii="Times New Roman" w:hAnsi="Times New Roman" w:cs="Times New Roman"/>
        </w:rPr>
        <w:t>Soskis</w:t>
      </w:r>
      <w:proofErr w:type="spellEnd"/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convergence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imperatives: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before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oversee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others.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Versions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t</w:t>
      </w:r>
      <w:r w:rsidRPr="009D3026">
        <w:rPr>
          <w:rFonts w:ascii="Times New Roman" w:hAnsi="Times New Roman" w:cs="Times New Roman"/>
        </w:rPr>
        <w:t>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repair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terrestrial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traditional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mechanisms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barriers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in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  <w:iCs/>
        </w:rPr>
        <w:t>vivos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transformed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expansive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lifetimes.</w:t>
      </w:r>
    </w:p>
    <w:p w14:paraId="7115B62B" w14:textId="72AFCD0D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Andrew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articulate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1889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Gospel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of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Wealth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invoked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imperatives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talents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extraordinary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essay,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example,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leading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exemplar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mega-wealthy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inspiring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biggest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fortune-creators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himself.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become,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Soskis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archetype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recently,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rarity.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much-admired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behavior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peak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capstone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career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accumulation.</w:t>
      </w:r>
    </w:p>
    <w:p w14:paraId="6AE037D9" w14:textId="1C47DDCE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Rob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horizon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family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ago.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badly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representatives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number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concessions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securing</w:t>
      </w:r>
      <w:r w:rsidR="00B065A0">
        <w:rPr>
          <w:rFonts w:ascii="Times New Roman" w:hAnsi="Times New Roman" w:cs="Times New Roman"/>
        </w:rPr>
        <w:t xml:space="preserve"> </w:t>
      </w:r>
      <w:r w:rsidR="00B21C2D" w:rsidRPr="009D3026">
        <w:rPr>
          <w:rFonts w:ascii="Times New Roman" w:hAnsi="Times New Roman" w:cs="Times New Roman"/>
        </w:rPr>
        <w:t>one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concession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forgo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hundred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unmoved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refused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family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obtained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incorporated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succeeded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corpus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decrease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</w:p>
    <w:p w14:paraId="3729D488" w14:textId="3BC9215D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disapproves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back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further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thought,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explicating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English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Stuart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footsteps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6650C" w:rsidRPr="009D3026">
        <w:rPr>
          <w:rFonts w:ascii="Times New Roman" w:hAnsi="Times New Roman" w:cs="Times New Roman"/>
        </w:rPr>
        <w:t>eighteenth-century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French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Enlightenment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Anne-Robert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Turgot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Immanuel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Kant,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condemned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objectionable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concentrations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strongly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reserve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intervene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designate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grave.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prohibition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violated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useful.</w:t>
      </w:r>
    </w:p>
    <w:p w14:paraId="4362B8C1" w14:textId="6BA23C1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summarizes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strongly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9E0C1A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9E0C1A" w:rsidRPr="009D3026">
        <w:rPr>
          <w:rFonts w:ascii="Times New Roman" w:hAnsi="Times New Roman" w:cs="Times New Roman"/>
        </w:rPr>
        <w:t>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decentralizes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facilitates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opinion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democracy,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incentivizes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innovation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asserts,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privileges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privileges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</w:p>
    <w:p w14:paraId="40FEB3E8" w14:textId="1DF30AF9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Historian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Lila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Corwin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Berman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development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contest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longstanding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religious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intersect,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Berman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FD7499" w:rsidRPr="009D3026">
        <w:rPr>
          <w:rFonts w:ascii="Times New Roman" w:hAnsi="Times New Roman" w:cs="Times New Roman"/>
        </w:rPr>
        <w:t>-</w:t>
      </w:r>
      <w:r w:rsidRPr="009D3026">
        <w:rPr>
          <w:rFonts w:ascii="Times New Roman" w:hAnsi="Times New Roman" w:cs="Times New Roman"/>
        </w:rPr>
        <w:t>term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accumulation.</w:t>
      </w:r>
    </w:p>
    <w:p w14:paraId="2955A611" w14:textId="778448B2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wealthier</w:t>
      </w:r>
      <w:r w:rsidR="00FD7499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system,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collection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system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ethnically-defined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structure,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relieved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burden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raising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appeals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entire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mid-century,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soliciting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residents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charities.</w:t>
      </w:r>
    </w:p>
    <w:p w14:paraId="42B0ADF6" w14:textId="46979F52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explicitly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bragged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accumulating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amass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jealously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guarded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probably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understandable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animus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II.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necessary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purveyor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[Jewish]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culture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identity.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coincided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professionalization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building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leveraging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</w:p>
    <w:p w14:paraId="464C7449" w14:textId="1654B7C0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Berman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ingenuity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Cleveland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lawyer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Sugarman,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avoided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characterized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foundation</w:t>
      </w:r>
      <w:r w:rsidR="007D044D" w:rsidRPr="009D3026">
        <w:rPr>
          <w:rFonts w:ascii="Times New Roman" w:hAnsi="Times New Roman" w:cs="Times New Roman"/>
        </w:rPr>
        <w:t>s</w:t>
      </w:r>
      <w:r w:rsidR="008B575B" w:rsidRPr="009D3026">
        <w:rPr>
          <w:rFonts w:ascii="Times New Roman" w:hAnsi="Times New Roman" w:cs="Times New Roman"/>
        </w:rPr>
        <w:t>—</w:t>
      </w:r>
      <w:r w:rsidR="007D044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classification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subjected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requirements</w:t>
      </w:r>
      <w:r w:rsidR="008B575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oversight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reporting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obligations</w:t>
      </w:r>
      <w:r w:rsidR="00202FDD" w:rsidRPr="009D3026">
        <w:rPr>
          <w:rFonts w:ascii="Times New Roman" w:hAnsi="Times New Roman" w:cs="Times New Roman"/>
        </w:rPr>
        <w:t>—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advantage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freedom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8B575B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attract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(including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previously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aside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foundations)</w:t>
      </w:r>
      <w:r w:rsidR="007D044D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mandate.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amounted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entities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type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>’</w:t>
      </w:r>
      <w:r w:rsidR="00886B7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attract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built</w:t>
      </w:r>
      <w:r w:rsidR="00B065A0">
        <w:rPr>
          <w:rFonts w:ascii="Times New Roman" w:hAnsi="Times New Roman" w:cs="Times New Roman"/>
        </w:rPr>
        <w:t xml:space="preserve"> </w:t>
      </w:r>
      <w:r w:rsidR="008A63F3" w:rsidRPr="009D3026">
        <w:rPr>
          <w:rFonts w:ascii="Times New Roman" w:hAnsi="Times New Roman" w:cs="Times New Roman"/>
        </w:rPr>
        <w:t>hugely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institutions.</w:t>
      </w:r>
    </w:p>
    <w:p w14:paraId="33E419E7" w14:textId="1B402F9D" w:rsidR="00C96ABB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C96ABB" w:rsidRPr="009D3026">
        <w:rPr>
          <w:rFonts w:ascii="Times New Roman" w:hAnsi="Times New Roman" w:cs="Times New Roman"/>
          <w:i/>
        </w:rPr>
        <w:t>Theodore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="00C96ABB" w:rsidRPr="009D3026">
        <w:rPr>
          <w:rFonts w:ascii="Times New Roman" w:hAnsi="Times New Roman" w:cs="Times New Roman"/>
          <w:i/>
        </w:rPr>
        <w:t>Lechterman</w:t>
      </w:r>
      <w:proofErr w:type="spellEnd"/>
      <w:r w:rsidR="00C96AB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theorist,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addresses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points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transfers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(ICTs)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tradition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pose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C96ABB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C96ABB" w:rsidRPr="009D3026">
        <w:rPr>
          <w:rFonts w:ascii="Times New Roman" w:hAnsi="Times New Roman" w:cs="Times New Roman"/>
        </w:rPr>
        <w:t>(</w:t>
      </w:r>
      <w:r w:rsidR="00C96ABB" w:rsidRPr="009D3026">
        <w:rPr>
          <w:rFonts w:ascii="Times New Roman" w:hAnsi="Times New Roman" w:cs="Times New Roman"/>
          <w:i/>
        </w:rPr>
        <w:t>mortmain</w:t>
      </w:r>
      <w:r w:rsidR="00C96AB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English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law),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donor.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donation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grave,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were,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establishing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carry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perpetuity?</w:t>
      </w:r>
    </w:p>
    <w:p w14:paraId="51377050" w14:textId="3119B528" w:rsidR="00C96ABB" w:rsidRPr="009D3026" w:rsidRDefault="00C96AB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permit.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Thomas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Jefferson,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writing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James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Madison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1789,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remarked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self-evident</w:t>
      </w:r>
      <w:r w:rsidR="00B065A0">
        <w:rPr>
          <w:rFonts w:ascii="Times New Roman" w:hAnsi="Times New Roman" w:cs="Times New Roman"/>
        </w:rPr>
        <w:t xml:space="preserve"> ‘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belongs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usufruct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living;</w:t>
      </w:r>
      <w:r w:rsidR="00B065A0">
        <w:rPr>
          <w:rFonts w:ascii="Times New Roman" w:hAnsi="Times New Roman" w:cs="Times New Roman"/>
        </w:rPr>
        <w:t xml:space="preserve">’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neither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Jefferson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observes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transfers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unilaterally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persons</w:t>
      </w:r>
      <w:r w:rsidR="00B065A0">
        <w:rPr>
          <w:rFonts w:ascii="Times New Roman" w:hAnsi="Times New Roman" w:cs="Times New Roman"/>
        </w:rPr>
        <w:t xml:space="preserve">’ </w:t>
      </w:r>
      <w:r w:rsidRPr="009D3026">
        <w:rPr>
          <w:rFonts w:ascii="Times New Roman" w:hAnsi="Times New Roman" w:cs="Times New Roman"/>
        </w:rPr>
        <w:t>conceptions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generations.</w:t>
      </w:r>
      <w:r w:rsidR="00B065A0">
        <w:rPr>
          <w:rFonts w:ascii="Times New Roman" w:hAnsi="Times New Roman" w:cs="Times New Roman"/>
        </w:rPr>
        <w:t>”</w:t>
      </w:r>
    </w:p>
    <w:p w14:paraId="6794620B" w14:textId="69B0B331" w:rsidR="00C96ABB" w:rsidRPr="009D3026" w:rsidRDefault="00C96AB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(indeed,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process?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possibilities,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654B84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654B84"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654B84" w:rsidRPr="009D3026">
        <w:rPr>
          <w:rFonts w:ascii="Times New Roman" w:hAnsi="Times New Roman" w:cs="Times New Roman"/>
        </w:rPr>
        <w:t>argues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testation,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convenient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universal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capacity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transfer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bequest.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Second,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equality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seldom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Finally,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Rawlsian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savings,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compels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burden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difficulties,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structure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generations.</w:t>
      </w:r>
    </w:p>
    <w:p w14:paraId="2CF0D60A" w14:textId="4145D776" w:rsidR="00C96ABB" w:rsidRPr="009D3026" w:rsidRDefault="00C96AB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explores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prevented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exercising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screen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obsolete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conduce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specify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authorities.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doctrine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cy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pres</w:t>
      </w:r>
      <w:proofErr w:type="spellEnd"/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traditionally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Anglo-American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prevent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undergo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</w:t>
      </w:r>
      <w:r w:rsidR="00B065A0">
        <w:rPr>
          <w:rFonts w:ascii="Times New Roman" w:hAnsi="Times New Roman" w:cs="Times New Roman"/>
        </w:rPr>
        <w:t>“</w:t>
      </w:r>
      <w:r w:rsidRPr="009D3026">
        <w:rPr>
          <w:rFonts w:ascii="Times New Roman" w:hAnsi="Times New Roman" w:cs="Times New Roman"/>
        </w:rPr>
        <w:t>audit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adjustment</w:t>
      </w:r>
      <w:r w:rsidR="00B065A0">
        <w:rPr>
          <w:rFonts w:ascii="Times New Roman" w:hAnsi="Times New Roman" w:cs="Times New Roman"/>
        </w:rPr>
        <w:t>”</w:t>
      </w:r>
      <w:r w:rsidRPr="009D3026">
        <w:rPr>
          <w:rFonts w:ascii="Times New Roman" w:hAnsi="Times New Roman" w:cs="Times New Roman"/>
        </w:rPr>
        <w:t>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regulatory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carrying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eliminate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obsolescence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leveraging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unique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past.</w:t>
      </w:r>
      <w:r w:rsidR="00B065A0">
        <w:rPr>
          <w:rFonts w:ascii="Times New Roman" w:hAnsi="Times New Roman" w:cs="Times New Roman"/>
        </w:rPr>
        <w:t>”</w:t>
      </w:r>
    </w:p>
    <w:p w14:paraId="29469E07" w14:textId="25E2DFDA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scholar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Miranda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Perry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commentators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D20FD7" w:rsidRPr="009D3026">
        <w:rPr>
          <w:rFonts w:ascii="Times New Roman" w:hAnsi="Times New Roman" w:cs="Times New Roman"/>
        </w:rPr>
        <w:t>views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either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welfarist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egalitarian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principles;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Fleischer,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</w:t>
      </w:r>
      <w:r w:rsidR="00522510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focuses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interests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donors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welfarist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907115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assumption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efficient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deferring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course,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employment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facilitate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giving.</w:t>
      </w:r>
    </w:p>
    <w:p w14:paraId="5643365F" w14:textId="20CFBB9F" w:rsidR="00B065A0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Alternatively,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employ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libertarianism,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Locke,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therefore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prohibit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integral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prohibit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specific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purposes.</w:t>
      </w:r>
    </w:p>
    <w:p w14:paraId="4FE3AE03" w14:textId="21D04D45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Nevertheless,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minimal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minimal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compatible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rectification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minimal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safety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Accordingly,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subsidies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incentivize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characterize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lawyers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call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deductions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similarly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result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coercion,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taxpayers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limited.</w:t>
      </w:r>
    </w:p>
    <w:p w14:paraId="0D3E8259" w14:textId="054529C0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absolute,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Lockean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proviso</w:t>
      </w:r>
      <w:r w:rsidR="003603D3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enough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freedom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protect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(establishment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courts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Lockean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(rectification).</w:t>
      </w:r>
    </w:p>
    <w:p w14:paraId="5E358924" w14:textId="73534AC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disagreement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absolute,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property-owning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objection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welfare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difficult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controversial.</w:t>
      </w:r>
    </w:p>
    <w:p w14:paraId="5DF5403A" w14:textId="7122694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i/>
        </w:rPr>
        <w:tab/>
      </w:r>
      <w:r w:rsidR="00061251" w:rsidRPr="009D3026">
        <w:rPr>
          <w:rFonts w:ascii="Times New Roman" w:hAnsi="Times New Roman" w:cs="Times New Roman"/>
          <w:iCs/>
        </w:rPr>
        <w:t>Philosopher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/>
        </w:rPr>
        <w:t>Will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describe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themselves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altruists.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consequentialist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evidence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maximize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positive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basis.</w:t>
      </w:r>
      <w:r w:rsidR="00B065A0">
        <w:rPr>
          <w:rFonts w:ascii="Times New Roman" w:hAnsi="Times New Roman" w:cs="Times New Roman"/>
        </w:rPr>
        <w:t>”</w:t>
      </w:r>
    </w:p>
    <w:p w14:paraId="1CDB923E" w14:textId="77777777" w:rsidR="00B065A0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recognize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circumstances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cost-effective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evaluate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minor.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include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weakness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(you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yourself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wait),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uncertainty,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self-interest.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include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knowledge,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changes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returns.</w:t>
      </w:r>
    </w:p>
    <w:p w14:paraId="51553BB0" w14:textId="6B89B46C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extra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relationships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richer,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necessary.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existence.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empirical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susceptible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quantitative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complex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framework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evaluating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qualitative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altruism.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matrix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assign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evaluate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relationships,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knowledge,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movement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donate.</w:t>
      </w:r>
      <w:r w:rsidRPr="009D3026">
        <w:rPr>
          <w:rFonts w:ascii="Times New Roman" w:hAnsi="Times New Roman" w:cs="Times New Roman"/>
        </w:rPr>
        <w:tab/>
      </w:r>
    </w:p>
    <w:p w14:paraId="18CDA6CB" w14:textId="5F77F24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A21CF" w:rsidRPr="009D3026">
        <w:rPr>
          <w:rFonts w:ascii="Times New Roman" w:hAnsi="Times New Roman" w:cs="Times New Roman"/>
        </w:rPr>
        <w:t>Scholar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Lucy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Bernholz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broadens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understanding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monetary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historically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twenty-first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consistent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missions.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records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activity,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publications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communications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records.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Utilizing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task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Bernholz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purpose-built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benefit,</w:t>
      </w:r>
      <w:r w:rsidR="00B065A0">
        <w:rPr>
          <w:rFonts w:ascii="Times New Roman" w:hAnsi="Times New Roman" w:cs="Times New Roman"/>
        </w:rPr>
        <w:t>”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21</w:t>
      </w:r>
      <w:r w:rsidRPr="009D3026">
        <w:rPr>
          <w:rFonts w:ascii="Times New Roman" w:hAnsi="Times New Roman" w:cs="Times New Roman"/>
          <w:vertAlign w:val="superscript"/>
        </w:rPr>
        <w:t>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digitally-assumptive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equivalent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</w:t>
      </w:r>
      <w:r w:rsidRPr="009D3026">
        <w:rPr>
          <w:rFonts w:ascii="Times New Roman" w:hAnsi="Times New Roman" w:cs="Times New Roman"/>
          <w:vertAlign w:val="superscript"/>
        </w:rPr>
        <w:t>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foundation.</w:t>
      </w:r>
      <w:r w:rsidR="00B065A0">
        <w:rPr>
          <w:rFonts w:ascii="Times New Roman" w:hAnsi="Times New Roman" w:cs="Times New Roman"/>
        </w:rPr>
        <w:t>”</w:t>
      </w:r>
    </w:p>
    <w:p w14:paraId="0B58879A" w14:textId="5298823A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Bernholz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nonrival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character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network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economist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conception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else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inevitably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multiple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multiple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claims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ownership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attributes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evolving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intellectual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opportunities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obligations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preservation.</w:t>
      </w:r>
    </w:p>
    <w:p w14:paraId="4399CD7E" w14:textId="44EDCA19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broadening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era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dominated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privacy,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ownership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domain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intellectual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property).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themselves,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transparency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management.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enhance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mission.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program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beginning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potential.</w:t>
      </w:r>
    </w:p>
    <w:p w14:paraId="3F5173A8" w14:textId="6B5376C7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Bernholz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conclusion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responsibly.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imagines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virtual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libraries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[protected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foundations]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[data]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infrastructure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civil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infrastructure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8E3221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programs,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FA21CF" w:rsidRPr="009D3026">
        <w:rPr>
          <w:rFonts w:ascii="Times New Roman" w:hAnsi="Times New Roman" w:cs="Times New Roman"/>
        </w:rPr>
        <w:t>-</w:t>
      </w:r>
      <w:r w:rsidRPr="009D3026">
        <w:rPr>
          <w:rFonts w:ascii="Times New Roman" w:hAnsi="Times New Roman" w:cs="Times New Roman"/>
        </w:rPr>
        <w:t>term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</w:p>
    <w:p w14:paraId="3FAED8DC" w14:textId="643E8F7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A21CF" w:rsidRPr="009D3026">
        <w:rPr>
          <w:rFonts w:ascii="Times New Roman" w:hAnsi="Times New Roman" w:cs="Times New Roman"/>
        </w:rPr>
        <w:t>Sociologist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Helmut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Anheier</w:t>
      </w:r>
      <w:proofErr w:type="spellEnd"/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A21CF" w:rsidRPr="009D3026">
        <w:rPr>
          <w:rFonts w:ascii="Times New Roman" w:hAnsi="Times New Roman" w:cs="Times New Roman"/>
        </w:rPr>
        <w:t>Researcher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Sandra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internationally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comparative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93F42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attitudes.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similar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2008</w:t>
      </w:r>
      <w:r w:rsidR="00B065A0">
        <w:rPr>
          <w:rFonts w:ascii="Times New Roman" w:hAnsi="Times New Roman" w:cs="Times New Roman"/>
        </w:rPr>
        <w:t>–</w:t>
      </w:r>
      <w:r w:rsidRPr="009D3026">
        <w:rPr>
          <w:rFonts w:ascii="Times New Roman" w:hAnsi="Times New Roman" w:cs="Times New Roman"/>
        </w:rPr>
        <w:t>2009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global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behavior,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ideas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professionalization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prevented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experiencing.</w:t>
      </w:r>
    </w:p>
    <w:p w14:paraId="31C251B4" w14:textId="164641BD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result,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grant-making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independent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counterparts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predominantly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business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delivery.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environment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</w:t>
      </w:r>
      <w:r w:rsidR="003820F8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types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behaviors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protection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</w:p>
    <w:p w14:paraId="65EB39E6" w14:textId="3B3CAA4B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conclude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direction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widely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environment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economic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rigorous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aimed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restricting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Europe.</w:t>
      </w:r>
    </w:p>
    <w:p w14:paraId="3C47269E" w14:textId="2765CD9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Pr="009D3026">
        <w:rPr>
          <w:rFonts w:ascii="Times New Roman" w:hAnsi="Times New Roman" w:cs="Times New Roman"/>
          <w:i/>
        </w:rPr>
        <w:t>Francie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Ostrower</w:t>
      </w:r>
      <w:proofErr w:type="spellEnd"/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sociologist,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projects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undertaken,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involved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collecting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fundamental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time: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salient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practice?</w:t>
      </w:r>
      <w:r w:rsidR="00B065A0">
        <w:rPr>
          <w:rFonts w:ascii="Times New Roman" w:hAnsi="Times New Roman" w:cs="Times New Roman"/>
        </w:rPr>
        <w:t xml:space="preserve">”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importance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empirical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evidence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question.</w:t>
      </w:r>
    </w:p>
    <w:p w14:paraId="6641416E" w14:textId="61D8619C" w:rsidR="00B065A0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starts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assessing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useful.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reflection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indicates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professionals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correlated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formulating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styles.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sunsetting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(those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already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terminate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certain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intention.</w:t>
      </w:r>
    </w:p>
    <w:p w14:paraId="176BCB49" w14:textId="1B552050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And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crux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C733C4" w:rsidRPr="009D3026">
        <w:rPr>
          <w:rFonts w:ascii="Times New Roman" w:hAnsi="Times New Roman" w:cs="Times New Roman"/>
        </w:rPr>
        <w:t>-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donor-centric.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matters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sunsetting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mitigates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insofar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no-longer-living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dissipates.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sunsetting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institutionalization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820F8"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founder.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logic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regard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personalistic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antipathy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>”</w:t>
      </w:r>
    </w:p>
    <w:p w14:paraId="66C0F12A" w14:textId="1143797D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sum,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ongoing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account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8877F9"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automatic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depends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employ.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longevity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indicator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decisions.</w:t>
      </w:r>
    </w:p>
    <w:p w14:paraId="37E46FA2" w14:textId="528A206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Pr="009D3026">
        <w:rPr>
          <w:rFonts w:ascii="Times New Roman" w:hAnsi="Times New Roman" w:cs="Times New Roman"/>
          <w:i/>
        </w:rPr>
        <w:t>Tony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unusual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position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long-time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consultant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analyzing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dramatic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well-publicized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behind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terminate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studies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illustrate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grantees.</w:t>
      </w:r>
    </w:p>
    <w:p w14:paraId="52422F87" w14:textId="64CC0894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47585A" w:rsidRPr="009D3026">
        <w:rPr>
          <w:rFonts w:ascii="Times New Roman" w:hAnsi="Times New Roman" w:cs="Times New Roman"/>
        </w:rPr>
        <w:t>Chuck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Feeney,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billionaire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duty-free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advocate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simple: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describes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concentrated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near-term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objectives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well-chosen.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cost-benefit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calculation,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calculate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compounds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calculation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indefinitely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gradually.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assumption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ripple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compounding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original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investment.</w:t>
      </w:r>
    </w:p>
    <w:p w14:paraId="6153AC1A" w14:textId="752A2C2B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Feeney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assumptions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correct,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challenge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choose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intervention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field.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examples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improve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services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Ireland,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campaign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agencies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assistance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troubled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families.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nurses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Africa.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Africa,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before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programs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succeeded.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already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apparent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big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favorable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Ireland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Africa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</w:p>
    <w:p w14:paraId="736897D7" w14:textId="645AE58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admits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everything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relevant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mega-philanthropy.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Perhaps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initiative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challenge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exclusive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Timing,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crucial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</w:p>
    <w:p w14:paraId="7446CBC8" w14:textId="5FED2BE3" w:rsidR="006678B0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i/>
        </w:rPr>
        <w:t>Brian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Galle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Ray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Madoff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27151"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="00B248F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248FA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entered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1969,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distinction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(supported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(supported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above,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6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(later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reduced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percent).</w:t>
      </w:r>
    </w:p>
    <w:p w14:paraId="0460E926" w14:textId="64A51D01" w:rsidR="006678B0" w:rsidRPr="009D3026" w:rsidRDefault="006678B0" w:rsidP="009D3026">
      <w:pPr>
        <w:pStyle w:val="BodyA"/>
        <w:tabs>
          <w:tab w:val="left" w:pos="720"/>
        </w:tabs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widely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widely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touted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compromise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portion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legitimate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readily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recognized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steady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4821AD" w:rsidRPr="009D3026">
        <w:rPr>
          <w:rFonts w:ascii="Times New Roman" w:hAnsi="Times New Roman" w:cs="Times New Roman"/>
        </w:rPr>
        <w:t>rationales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matter.</w:t>
      </w:r>
    </w:p>
    <w:p w14:paraId="7A721723" w14:textId="1575EC0D" w:rsidR="00365C56" w:rsidRPr="009D3026" w:rsidRDefault="006678B0" w:rsidP="009D3026">
      <w:pPr>
        <w:spacing w:line="480" w:lineRule="auto"/>
        <w:ind w:firstLine="720"/>
        <w:rPr>
          <w:rStyle w:val="e24kjd"/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despite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apparently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robust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Galle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Madoff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meaningful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because: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1)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unlimited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administrative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expenses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can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be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counted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part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payout;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2)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unlimited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contributions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donor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advised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funds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qualify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toward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requirement,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3)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certain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investments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for-profit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companies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can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also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qualify.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These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permitted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practices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allow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foundation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trustees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managers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circumvent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</w:t>
      </w:r>
      <w:r w:rsidR="00C733C4" w:rsidRPr="009D3026">
        <w:rPr>
          <w:rStyle w:val="e24kjd"/>
          <w:rFonts w:ascii="Times New Roman" w:hAnsi="Times New Roman" w:cs="Times New Roman"/>
        </w:rPr>
        <w:t>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intention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Congress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with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passage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Tax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Reform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Act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get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money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operating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charities,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Galle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Madoff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C733C4" w:rsidRPr="009D3026">
        <w:rPr>
          <w:rStyle w:val="e24kjd"/>
          <w:rFonts w:ascii="Times New Roman" w:hAnsi="Times New Roman" w:cs="Times New Roman"/>
        </w:rPr>
        <w:t>argue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these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are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loopholes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law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need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be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closed.</w:t>
      </w:r>
    </w:p>
    <w:p w14:paraId="05EE90DB" w14:textId="61D98C64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authors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consider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arguments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5C7912" w:rsidRPr="009D3026">
        <w:rPr>
          <w:rStyle w:val="e24kjd"/>
          <w:rFonts w:ascii="Times New Roman" w:hAnsi="Times New Roman" w:cs="Times New Roman"/>
        </w:rPr>
        <w:t>for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eliminating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rule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proofErr w:type="gramStart"/>
      <w:r w:rsidR="005C7912" w:rsidRPr="009D3026">
        <w:rPr>
          <w:rStyle w:val="e24kjd"/>
          <w:rFonts w:ascii="Times New Roman" w:hAnsi="Times New Roman" w:cs="Times New Roman"/>
        </w:rPr>
        <w:t>altogether</w:t>
      </w:r>
      <w:r w:rsidR="006678B0" w:rsidRPr="009D3026">
        <w:rPr>
          <w:rStyle w:val="e24kjd"/>
          <w:rFonts w:ascii="Times New Roman" w:hAnsi="Times New Roman" w:cs="Times New Roman"/>
        </w:rPr>
        <w:t>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but</w:t>
      </w:r>
      <w:proofErr w:type="gramEnd"/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find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them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unsupported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conclude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rule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necessary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corrective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call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“</w:t>
      </w:r>
      <w:r w:rsidRPr="009D3026">
        <w:rPr>
          <w:rStyle w:val="e24kjd"/>
          <w:rFonts w:ascii="Times New Roman" w:hAnsi="Times New Roman" w:cs="Times New Roman"/>
        </w:rPr>
        <w:t>natural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tendencies</w:t>
      </w:r>
      <w:r w:rsidR="00B065A0">
        <w:rPr>
          <w:rStyle w:val="e24kjd"/>
          <w:rFonts w:ascii="Times New Roman" w:hAnsi="Times New Roman" w:cs="Times New Roman"/>
        </w:rPr>
        <w:t xml:space="preserve">”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foundation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managers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hoard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rather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than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spend.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Congress,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after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all,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created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tax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incentives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for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contributions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expectation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would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enhance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public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welfare,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so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doing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relieve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public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Pr="009D3026">
        <w:rPr>
          <w:rStyle w:val="e24kjd"/>
          <w:rFonts w:ascii="Times New Roman" w:hAnsi="Times New Roman" w:cs="Times New Roman"/>
        </w:rPr>
        <w:t>fisc</w:t>
      </w:r>
      <w:proofErr w:type="spellEnd"/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some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portion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welfare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cost.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loopholes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requirement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work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against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this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basic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purpose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tax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law,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especially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with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respect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donor-advised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funds,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which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permit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donors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take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full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lastRenderedPageBreak/>
        <w:t>deduction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time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gift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without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imposing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any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legal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obligation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(make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gifts)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within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definite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period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time.</w:t>
      </w:r>
    </w:p>
    <w:p w14:paraId="32A27C14" w14:textId="00A00BDB" w:rsidR="009E5729" w:rsidRPr="009D3026" w:rsidRDefault="001174AD" w:rsidP="00B065A0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fundamental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future?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="00BB4FE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give?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balance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speed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responsiveness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reflection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deliberation?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claim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reaching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conclusive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answers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questions,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nor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representing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comprehensive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done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issues.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gaps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absences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themselves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worthy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80D1B" w:rsidRPr="009D3026">
        <w:rPr>
          <w:rFonts w:ascii="Times New Roman" w:hAnsi="Times New Roman" w:cs="Times New Roman"/>
        </w:rPr>
        <w:t>scrutiny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hopefully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draw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scholarship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scholarship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initiated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be.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Taken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whole,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chapters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establish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essential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category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engage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is,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definition,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inadequate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times.</w:t>
      </w:r>
    </w:p>
    <w:p w14:paraId="7B64FC6D" w14:textId="2462F183" w:rsidR="004447A8" w:rsidRPr="009D3026" w:rsidRDefault="00B065A0" w:rsidP="00B065A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</w:p>
    <w:sectPr w:rsidR="004447A8" w:rsidRPr="009D3026" w:rsidSect="001C0B0C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55DF" w14:textId="77777777" w:rsidR="00AD70C3" w:rsidRDefault="00AD70C3" w:rsidP="00E13DDE">
      <w:r>
        <w:separator/>
      </w:r>
    </w:p>
  </w:endnote>
  <w:endnote w:type="continuationSeparator" w:id="0">
    <w:p w14:paraId="59EC09CD" w14:textId="77777777" w:rsidR="00AD70C3" w:rsidRDefault="00AD70C3" w:rsidP="00E13DDE">
      <w:r>
        <w:continuationSeparator/>
      </w:r>
    </w:p>
  </w:endnote>
  <w:endnote w:id="1">
    <w:p w14:paraId="3AD708F1" w14:textId="67DF4CCB" w:rsidR="00B97A8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Fremont-Smith,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Governing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Organizations: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Federal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Regulation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(Cambridge,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Mass.: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Belknap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Harvard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2004),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–2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Kevin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Robbins,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Sector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Perspective: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Traditions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Handbook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7D7B34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2nd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7D7B34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ed.</w:t>
      </w:r>
      <w:r w:rsidR="005A12CF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Walter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Powell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Steinberg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Yale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="00AE3EB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2">
    <w:p w14:paraId="531DDB96" w14:textId="68619E5E" w:rsidR="00DE0D2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Brown,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Eye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Needle: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Rome,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Christianity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350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–5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(Princeton: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Princeton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2012),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–6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Evelyn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Brody,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Democratization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Dynasty,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E2F1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Arizona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(Fall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BF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873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–9</w:t>
      </w:r>
      <w:r w:rsidR="008E1BF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Suzanne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Roberts,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Contexts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Middle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Ages: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Religious,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Social,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Civic,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Giving: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Western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Ideas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Philanthropy</w:t>
      </w:r>
      <w:r w:rsidR="005A12CF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J.B.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Schneewind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(Bloomington,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38;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Khalil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Abdur-Rashid,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Financing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Kindness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Society: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Waqf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Islamic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Muslim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Society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5, no. 1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–6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(quote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50);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Thomas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Adam,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Waqf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Muslim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Society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4, no. 1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–7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</w:p>
  </w:endnote>
  <w:endnote w:id="3">
    <w:p w14:paraId="76CD448B" w14:textId="6115FF27" w:rsidR="00590F8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A.H.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Oosterhoff,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Mortmain: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Comparative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Review,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Toronto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7, no. 3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(Summer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1977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88.</w:t>
      </w:r>
    </w:p>
  </w:endnote>
  <w:endnote w:id="4">
    <w:p w14:paraId="1664FA62" w14:textId="3173EAEB" w:rsidR="00B97A84" w:rsidRPr="00B065A0" w:rsidRDefault="00B065A0" w:rsidP="00B065A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Rhodri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Davies,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Good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by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Private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Means: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Philanthropy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Shapes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Britain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(London: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Alliance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Publishing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Trust,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2015),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168;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Ray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D.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Madoff,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Immortality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and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Law: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Rising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Power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of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American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Dead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(New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Haven: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Yale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University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Press,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2010),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91;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Brody,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Endowments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and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Democratization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of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Dynasty,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903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5;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John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Stuart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Mill,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Dissertations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Discussions: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Political,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Philosophical,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Historical</w:t>
      </w:r>
      <w:r w:rsidR="00B97A84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vol.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1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(New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York: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Henry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Holt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Company,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1874),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32</w:t>
      </w:r>
      <w:r>
        <w:rPr>
          <w:rFonts w:ascii="Times New Roman" w:hAnsi="Times New Roman" w:cs="Times New Roman"/>
          <w:color w:val="000000" w:themeColor="text1"/>
        </w:rPr>
        <w:t>–3</w:t>
      </w:r>
      <w:r w:rsidR="00B97A84" w:rsidRPr="00B065A0">
        <w:rPr>
          <w:rFonts w:ascii="Times New Roman" w:hAnsi="Times New Roman" w:cs="Times New Roman"/>
          <w:color w:val="000000" w:themeColor="text1"/>
        </w:rPr>
        <w:t>3</w:t>
      </w:r>
      <w:r w:rsidR="00E91C85" w:rsidRPr="00B065A0">
        <w:rPr>
          <w:rFonts w:ascii="Times New Roman" w:hAnsi="Times New Roman" w:cs="Times New Roman"/>
          <w:color w:val="000000" w:themeColor="text1"/>
        </w:rPr>
        <w:t>.</w:t>
      </w:r>
    </w:p>
  </w:endnote>
  <w:endnote w:id="5">
    <w:p w14:paraId="07A3E87A" w14:textId="062680F1" w:rsidR="005E36ED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Peter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Dobkin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Hall,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Inventing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Sector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other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essays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on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Philanthropy,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Voluntarism,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Organization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(Baltimore,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MD: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Johns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Hopkins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University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Press,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1992),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30</w:t>
      </w:r>
      <w:r>
        <w:rPr>
          <w:rFonts w:ascii="Times New Roman" w:hAnsi="Times New Roman" w:cs="Times New Roman"/>
          <w:color w:val="000000" w:themeColor="text1"/>
        </w:rPr>
        <w:t>–3</w:t>
      </w:r>
      <w:r w:rsidR="005E36ED" w:rsidRPr="00B065A0">
        <w:rPr>
          <w:rFonts w:ascii="Times New Roman" w:hAnsi="Times New Roman" w:cs="Times New Roman"/>
          <w:color w:val="000000" w:themeColor="text1"/>
        </w:rPr>
        <w:t>1;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Ruth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H.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Bloch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Naomi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R.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Lamoreaux,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E36ED" w:rsidRPr="00B065A0">
        <w:rPr>
          <w:rFonts w:ascii="Times New Roman" w:hAnsi="Times New Roman" w:cs="Times New Roman"/>
          <w:color w:val="000000" w:themeColor="text1"/>
        </w:rPr>
        <w:t>Voluntary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Associations,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Corporate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Rights,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State: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Legal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Constraints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Development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American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Civil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Society,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1750</w:t>
      </w:r>
      <w:r>
        <w:rPr>
          <w:rFonts w:ascii="Times New Roman" w:hAnsi="Times New Roman" w:cs="Times New Roman"/>
          <w:color w:val="000000" w:themeColor="text1"/>
        </w:rPr>
        <w:t>–1</w:t>
      </w:r>
      <w:r w:rsidR="005E36ED" w:rsidRPr="00B065A0">
        <w:rPr>
          <w:rFonts w:ascii="Times New Roman" w:hAnsi="Times New Roman" w:cs="Times New Roman"/>
          <w:color w:val="000000" w:themeColor="text1"/>
        </w:rPr>
        <w:t>900,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E36ED" w:rsidRPr="00B065A0">
        <w:rPr>
          <w:rFonts w:ascii="Times New Roman" w:hAnsi="Times New Roman" w:cs="Times New Roman"/>
          <w:color w:val="000000" w:themeColor="text1"/>
        </w:rPr>
        <w:t>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Organizations,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Civil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Society,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Roots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Development</w:t>
      </w:r>
      <w:r w:rsidR="00ED75DF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eds.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Naomi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R.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Lamoreaux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John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Joseph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Wallis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(Chicago: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University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Chicago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Press,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2017),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241</w:t>
      </w:r>
      <w:r>
        <w:rPr>
          <w:rFonts w:ascii="Times New Roman" w:hAnsi="Times New Roman" w:cs="Times New Roman"/>
          <w:color w:val="000000" w:themeColor="text1"/>
        </w:rPr>
        <w:t>–</w:t>
      </w:r>
      <w:r w:rsidR="005E36ED" w:rsidRPr="00B065A0">
        <w:rPr>
          <w:rFonts w:ascii="Times New Roman" w:hAnsi="Times New Roman" w:cs="Times New Roman"/>
          <w:color w:val="000000" w:themeColor="text1"/>
        </w:rPr>
        <w:t>46;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Irvin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Wyllie,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E36ED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Search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for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American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Law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Charities,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1776</w:t>
      </w:r>
      <w:r>
        <w:rPr>
          <w:rFonts w:ascii="Times New Roman" w:hAnsi="Times New Roman" w:cs="Times New Roman"/>
          <w:color w:val="000000" w:themeColor="text1"/>
        </w:rPr>
        <w:t>–1</w:t>
      </w:r>
      <w:r w:rsidR="005E36ED" w:rsidRPr="00B065A0">
        <w:rPr>
          <w:rFonts w:ascii="Times New Roman" w:hAnsi="Times New Roman" w:cs="Times New Roman"/>
          <w:color w:val="000000" w:themeColor="text1"/>
        </w:rPr>
        <w:t>844,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Mississippi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Valley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Historical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Review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>6, no. 2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(1959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203</w:t>
      </w:r>
      <w:r>
        <w:rPr>
          <w:rFonts w:ascii="Times New Roman" w:hAnsi="Times New Roman" w:cs="Times New Roman"/>
          <w:color w:val="000000" w:themeColor="text1"/>
        </w:rPr>
        <w:t>–</w:t>
      </w:r>
      <w:r w:rsidR="005E36ED" w:rsidRPr="00B065A0">
        <w:rPr>
          <w:rFonts w:ascii="Times New Roman" w:hAnsi="Times New Roman" w:cs="Times New Roman"/>
          <w:color w:val="000000" w:themeColor="text1"/>
        </w:rPr>
        <w:t>21;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Bascom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v.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Albertson,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34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N.Y.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584,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614</w:t>
      </w:r>
      <w:r>
        <w:rPr>
          <w:rFonts w:ascii="Times New Roman" w:hAnsi="Times New Roman" w:cs="Times New Roman"/>
          <w:color w:val="000000" w:themeColor="text1"/>
        </w:rPr>
        <w:t>–</w:t>
      </w:r>
      <w:r w:rsidR="005E36ED" w:rsidRPr="00B065A0">
        <w:rPr>
          <w:rFonts w:ascii="Times New Roman" w:hAnsi="Times New Roman" w:cs="Times New Roman"/>
          <w:color w:val="000000" w:themeColor="text1"/>
        </w:rPr>
        <w:t>15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(1866);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Stanley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M.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Katz,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Barry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Sullivan,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Paul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Beach,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E36ED" w:rsidRPr="00B065A0">
        <w:rPr>
          <w:rFonts w:ascii="Times New Roman" w:hAnsi="Times New Roman" w:cs="Times New Roman"/>
          <w:color w:val="000000" w:themeColor="text1"/>
        </w:rPr>
        <w:t>Legal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Change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Legal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Autonomy: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Trusts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New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York,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1777</w:t>
      </w:r>
      <w:r>
        <w:rPr>
          <w:rFonts w:ascii="Times New Roman" w:hAnsi="Times New Roman" w:cs="Times New Roman"/>
          <w:color w:val="000000" w:themeColor="text1"/>
        </w:rPr>
        <w:t>–1</w:t>
      </w:r>
      <w:r w:rsidR="005E36ED" w:rsidRPr="00B065A0">
        <w:rPr>
          <w:rFonts w:ascii="Times New Roman" w:hAnsi="Times New Roman" w:cs="Times New Roman"/>
          <w:color w:val="000000" w:themeColor="text1"/>
        </w:rPr>
        <w:t>893,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Law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History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Review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3, no. 1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(Spring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1985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51</w:t>
      </w:r>
      <w:r>
        <w:rPr>
          <w:rFonts w:ascii="Times New Roman" w:hAnsi="Times New Roman" w:cs="Times New Roman"/>
          <w:color w:val="000000" w:themeColor="text1"/>
        </w:rPr>
        <w:t>–8</w:t>
      </w:r>
      <w:r w:rsidR="005E36ED" w:rsidRPr="00B065A0">
        <w:rPr>
          <w:rFonts w:ascii="Times New Roman" w:hAnsi="Times New Roman" w:cs="Times New Roman"/>
          <w:color w:val="000000" w:themeColor="text1"/>
        </w:rPr>
        <w:t>9.</w:t>
      </w:r>
    </w:p>
  </w:endnote>
  <w:endnote w:id="6">
    <w:p w14:paraId="3DAF2CD0" w14:textId="7A0BFC69" w:rsidR="00904D19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Bruce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Kimball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Benjamin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Johnson,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904D19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Inception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Meaning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Significance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Endowment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American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Higher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Education,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1890</w:t>
      </w:r>
      <w:r>
        <w:rPr>
          <w:rFonts w:ascii="Times New Roman" w:hAnsi="Times New Roman" w:cs="Times New Roman"/>
          <w:color w:val="000000" w:themeColor="text1"/>
        </w:rPr>
        <w:t>–1</w:t>
      </w:r>
      <w:r w:rsidR="00904D19" w:rsidRPr="00B065A0">
        <w:rPr>
          <w:rFonts w:ascii="Times New Roman" w:hAnsi="Times New Roman" w:cs="Times New Roman"/>
          <w:color w:val="000000" w:themeColor="text1"/>
        </w:rPr>
        <w:t>930,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904D19" w:rsidRPr="00B065A0">
        <w:rPr>
          <w:rFonts w:ascii="Times New Roman" w:hAnsi="Times New Roman" w:cs="Times New Roman"/>
          <w:i/>
          <w:iCs/>
          <w:color w:val="000000" w:themeColor="text1"/>
        </w:rPr>
        <w:t>Teachers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i/>
          <w:iCs/>
          <w:color w:val="000000" w:themeColor="text1"/>
        </w:rPr>
        <w:t>College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i/>
          <w:iCs/>
          <w:color w:val="000000" w:themeColor="text1"/>
        </w:rPr>
        <w:t>Record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114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(October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2012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45464F" w:rsidRPr="00B065A0">
        <w:rPr>
          <w:rFonts w:ascii="Times New Roman" w:hAnsi="Times New Roman" w:cs="Times New Roman"/>
          <w:color w:val="000000" w:themeColor="text1"/>
        </w:rPr>
        <w:t>4,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4017C8" w:rsidRPr="00B065A0">
        <w:rPr>
          <w:rFonts w:ascii="Times New Roman" w:hAnsi="Times New Roman" w:cs="Times New Roman"/>
          <w:color w:val="000000" w:themeColor="text1"/>
        </w:rPr>
        <w:t>5</w:t>
      </w:r>
      <w:r w:rsidR="004B73C4" w:rsidRPr="00B065A0">
        <w:rPr>
          <w:rFonts w:ascii="Times New Roman" w:hAnsi="Times New Roman" w:cs="Times New Roman"/>
          <w:color w:val="000000" w:themeColor="text1"/>
        </w:rPr>
        <w:t>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Horace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Coon,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Money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to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Burn: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What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Great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American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Philanthropic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Foundations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Do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with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their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Money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(New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York: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Longmans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&amp;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Green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Co.,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1938),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138.</w:t>
      </w:r>
    </w:p>
  </w:endnote>
  <w:endnote w:id="7">
    <w:p w14:paraId="1A0FFFD1" w14:textId="12408844" w:rsidR="008C305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Oates,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Catholic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Tradition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(Bloomington: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269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133;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Lila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Corwin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Berman,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Jewish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(Princeton: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Princeton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A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8">
    <w:p w14:paraId="3DF24509" w14:textId="6A7C9DC4" w:rsidR="00C53B19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Olivia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Zunz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History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(Princeton,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Princeton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2012),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D940F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Frederick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Taylor,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Chapter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Corporations,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C11E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Cornell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(1940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382.</w:t>
      </w:r>
    </w:p>
  </w:endnote>
  <w:endnote w:id="9">
    <w:p w14:paraId="7C72F3A3" w14:textId="017259EF" w:rsidR="00066D7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Zunz,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–5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Waldemar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Nielsen,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Golden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Donors: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Anatomy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Great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E.P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Dutton,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1985),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244.</w:t>
      </w:r>
    </w:p>
  </w:endnote>
  <w:endnote w:id="10">
    <w:p w14:paraId="69E53816" w14:textId="071A9437" w:rsidR="00B91F5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Incorporation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61st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Cong.,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sess.,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Rep.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405,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35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Frederick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35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Gates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Folder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Frederick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Gates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Collection,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Archive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Tarrytown,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</w:t>
      </w:r>
      <w:r w:rsidR="00653F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11">
    <w:p w14:paraId="47FE99E0" w14:textId="04B5CDDB" w:rsidR="00F9072D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Burden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F9072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Saturday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1929),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</w:p>
  </w:endnote>
  <w:endnote w:id="12">
    <w:p w14:paraId="7FB44F8D" w14:textId="7698F27D" w:rsidR="00094500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Savage,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Fruit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Impulse: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Forty-Five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Years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1905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–1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950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Harcourt,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Brace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Co.,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1953),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27;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Trustees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Corporation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November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Manual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Benefactions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(Washington,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DC: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International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Peace,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1919),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</w:p>
  </w:endnote>
  <w:endnote w:id="13">
    <w:p w14:paraId="4FD0D5DE" w14:textId="7529990D" w:rsidR="006314C5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Nasaw,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Penguin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646;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Joseph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Frazier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Wall,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Oxford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1970),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365.</w:t>
      </w:r>
    </w:p>
  </w:endnote>
  <w:endnote w:id="14">
    <w:p w14:paraId="19A97D8B" w14:textId="23042536" w:rsidR="006314C5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Trustees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Corporation,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November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Manual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Benefactions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207;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Pritchett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quoted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Savage,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Fruit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Impulse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350;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Henry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Pritchett,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Abuse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223B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Monthly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1929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523.</w:t>
      </w:r>
    </w:p>
  </w:endnote>
  <w:endnote w:id="15">
    <w:p w14:paraId="68620659" w14:textId="71144A37" w:rsidR="00841805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Ascoli,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Rosenwald: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Built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Sears,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Roebuck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Advanced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Cause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Black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South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(Bloomington: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395;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Edwin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Embree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uoted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Thelin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Trollinger,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Essence: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Policies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Limited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Endowment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Spend-Down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(Washington,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DC: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Aspen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Innovation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D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Hasia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D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Diner,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Rosenwald: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Repairing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Yale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2017).</w:t>
      </w:r>
    </w:p>
  </w:endnote>
  <w:endnote w:id="16">
    <w:p w14:paraId="4BAA557B" w14:textId="293C57C2" w:rsidR="00A83347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Julius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Rosenwald,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A83347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Burden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Wealth,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A83347" w:rsidRPr="00B065A0">
        <w:rPr>
          <w:rFonts w:ascii="Times New Roman" w:hAnsi="Times New Roman" w:cs="Times New Roman"/>
          <w:i/>
          <w:color w:val="000000" w:themeColor="text1"/>
        </w:rPr>
        <w:t>Saturday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i/>
          <w:color w:val="000000" w:themeColor="text1"/>
        </w:rPr>
        <w:t>Evening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i/>
          <w:color w:val="000000" w:themeColor="text1"/>
        </w:rPr>
        <w:t>Post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(January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5,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1929),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12</w:t>
      </w:r>
      <w:r w:rsidR="005F6CB9" w:rsidRPr="00B065A0">
        <w:rPr>
          <w:rFonts w:ascii="Times New Roman" w:hAnsi="Times New Roman" w:cs="Times New Roman"/>
          <w:color w:val="000000" w:themeColor="text1"/>
        </w:rPr>
        <w:t>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Julius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Rosenwald,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F6CB9" w:rsidRPr="00B065A0">
        <w:rPr>
          <w:rFonts w:ascii="Times New Roman" w:hAnsi="Times New Roman" w:cs="Times New Roman"/>
          <w:color w:val="000000" w:themeColor="text1"/>
        </w:rPr>
        <w:t>Principles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Public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Giving,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F6CB9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i/>
          <w:color w:val="000000" w:themeColor="text1"/>
        </w:rPr>
        <w:t>Atlantic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i/>
          <w:color w:val="000000" w:themeColor="text1"/>
        </w:rPr>
        <w:t>Monthly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(May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1929),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603.</w:t>
      </w:r>
    </w:p>
  </w:endnote>
  <w:endnote w:id="17">
    <w:p w14:paraId="42962CAC" w14:textId="736E5E94" w:rsidR="005D3F9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Burden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Principles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603;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Ascoli,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Rosenwald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318.</w:t>
      </w:r>
    </w:p>
  </w:endnote>
  <w:endnote w:id="18">
    <w:p w14:paraId="59F1D9DD" w14:textId="40BA7A8A" w:rsidR="00C2737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Ascoli,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4E8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F64E8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88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Diner,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Burden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Principles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603.</w:t>
      </w:r>
    </w:p>
  </w:endnote>
  <w:endnote w:id="19">
    <w:p w14:paraId="7A0B3250" w14:textId="75BDFE76" w:rsidR="00C7132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Board: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Activities,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1902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–1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914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General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Board,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Eric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Abrahamson,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Beyond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Charity: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Century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2013),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https://www.rockefellerfoundation.org/app/uploads/Beyond-Charity.pdf;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Board: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Report,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1902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–1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964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1964),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vii.</w:t>
      </w:r>
    </w:p>
  </w:endnote>
  <w:endnote w:id="20">
    <w:p w14:paraId="3853A1C8" w14:textId="726551B5" w:rsidR="00F65F99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Abrahamson,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Beyond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Charity</w:t>
      </w:r>
      <w:r w:rsidR="00F65F9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20.</w:t>
      </w:r>
    </w:p>
  </w:endnote>
  <w:endnote w:id="21">
    <w:p w14:paraId="61CEB990" w14:textId="33365DEA" w:rsidR="006D3362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Abrahamson,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Beyond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Charity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296</w:t>
      </w:r>
      <w:r w:rsidR="002B32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22">
    <w:p w14:paraId="218F1719" w14:textId="0C7A7A55" w:rsidR="00BA674E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Shelby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Harrison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Emerson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Andrews,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Welfare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Russell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1946),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Andrews,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Russell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Sage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1956)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Warren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Weaver,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Harper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Row,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1967),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96.</w:t>
      </w:r>
    </w:p>
  </w:endnote>
  <w:endnote w:id="23">
    <w:p w14:paraId="65D9E7EB" w14:textId="5A53C2AB" w:rsidR="00FA6E1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Bundy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quoted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“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Program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Directions: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Historical,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Recent,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Present.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Catalogued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Reports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(FA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739E)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#012169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(1982),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Records,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Archive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Center;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Zunz,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in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America</w:t>
      </w:r>
      <w:r w:rsidR="00434DA2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193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–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96,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202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–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6</w:t>
      </w:r>
      <w:r w:rsidR="00434DA2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Eleanor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L.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Brilliant,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Private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Charity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Public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Inquiry: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History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Filer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Peterson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Commissions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(Bloomington,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2000);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Lankford,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Twentieth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Century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(River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Falls,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Wisconsin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1964).</w:t>
      </w:r>
    </w:p>
  </w:endnote>
  <w:endnote w:id="24">
    <w:p w14:paraId="6A03059F" w14:textId="0FEEA459" w:rsidR="00A5234A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Dobkin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Hall,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Inventing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Sector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–7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</w:p>
  </w:endnote>
  <w:endnote w:id="25">
    <w:p w14:paraId="0237608E" w14:textId="02411EA2" w:rsidR="008513A2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Treasury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Department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suggested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establishment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independent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non-governmental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body,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which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“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examine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after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had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reasonable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period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within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which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itself.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led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conclusion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not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justify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continued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existence,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suggested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non-governmental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body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should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power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“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wind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[the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’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s]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affairs,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distribute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assets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accordance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with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purposes,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dissolve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Treasury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Department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Report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(Washington,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DC: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Government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Printing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Office,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</w:p>
  </w:endnote>
  <w:endnote w:id="26">
    <w:p w14:paraId="3B15B9A5" w14:textId="0FD66C39" w:rsidR="00041288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James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Fishman,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Rules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50: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Meet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Current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Needs?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2262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Pittsburgh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Tax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7, no. 2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247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Brilliant,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Charity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37199.</w:t>
      </w:r>
    </w:p>
  </w:endnote>
  <w:endnote w:id="27">
    <w:p w14:paraId="076ED3E3" w14:textId="1A3C94C6" w:rsidR="008748BD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37197.</w:t>
      </w:r>
    </w:p>
  </w:endnote>
  <w:endnote w:id="28">
    <w:p w14:paraId="6EB8727E" w14:textId="5AE134BA" w:rsidR="0009510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37198;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37084.</w:t>
      </w:r>
    </w:p>
  </w:endnote>
  <w:endnote w:id="29">
    <w:p w14:paraId="4A44CA49" w14:textId="0BFEE0F6" w:rsidR="001561E3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Sen.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increasingly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distraught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ideological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peers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lining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beside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him.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strangest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anomalies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lamented,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liberal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friends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somehow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think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[defense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perpetuity]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liberal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cause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fighting.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fighting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interests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country,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country,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perpetuity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descendants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waxed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37200,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37304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37205.</w:t>
      </w:r>
    </w:p>
  </w:endnote>
  <w:endnote w:id="30">
    <w:p w14:paraId="4A42C078" w14:textId="0D4BC8CF" w:rsidR="00BF090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Brilliant</w:t>
      </w:r>
      <w:r w:rsidR="00131DA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Charity</w:t>
      </w:r>
      <w:r w:rsidR="004609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1DA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84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Commission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Policy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(Chicago: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1970),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148</w:t>
      </w:r>
      <w:r w:rsidR="00460996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Berman,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Jewish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Complex</w:t>
      </w:r>
      <w:r w:rsidR="00460996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075EFA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126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–</w:t>
      </w:r>
      <w:r w:rsidR="00075EFA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32.</w:t>
      </w:r>
    </w:p>
  </w:endnote>
  <w:endnote w:id="31">
    <w:p w14:paraId="2D9F1157" w14:textId="6BDF3A2E" w:rsidR="003A73B1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Frumkin,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recoil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regulation: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Tax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Reform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Administration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8, no. 3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(1998/9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0F2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269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30F2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70.</w:t>
      </w:r>
    </w:p>
  </w:endnote>
  <w:endnote w:id="32">
    <w:p w14:paraId="069FC0C0" w14:textId="61E18EDF" w:rsidR="00C178FE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Vincent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Stehle,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Proposal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Doesn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Consider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Haul,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178F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Philanthropy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August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Miller,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Gift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Freedom: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M.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Olin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Changed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(San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Francisco: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Encounter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Books,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</w:t>
      </w:r>
      <w:r w:rsidR="00030F2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33">
    <w:p w14:paraId="6E50DDCB" w14:textId="2AD126C2" w:rsidR="00261DB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Parts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section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adapted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Benjamin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Soskis,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Norms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Narratives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Shape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Urban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Institute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Research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(March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–3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reprinted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permission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Urban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Institute.</w:t>
      </w:r>
    </w:p>
  </w:endnote>
  <w:endnote w:id="34">
    <w:p w14:paraId="42E57FAF" w14:textId="13DA0484" w:rsidR="001C1A5D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Concerns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environmental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degradation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heightened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attention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581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intergenerational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ethics,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including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discount,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compare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well-being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those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generations.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Buchanan,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environment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owe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generations?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Lewis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&amp;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Clark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5, no. 2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339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67;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Varian,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Recalculating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Costs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Climate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Times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Shelly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Banjo,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Philanthropists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Deadlines,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C1A5D"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Wall</w:t>
      </w:r>
      <w:r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Street</w:t>
      </w:r>
      <w:r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Journal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2009</w:t>
      </w:r>
      <w:r w:rsidR="00522520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Larry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Kramer,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Stop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Fiddling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World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Burns,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2252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35">
    <w:p w14:paraId="2DA89960" w14:textId="4E616B3D" w:rsidR="00BC78EC" w:rsidRPr="00B065A0" w:rsidRDefault="00B065A0" w:rsidP="00B065A0">
      <w:pPr>
        <w:pStyle w:val="EndnoteText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precedent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Among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principles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Garland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incorporated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1922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leading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funders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justice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rights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decades,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money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should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distributed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reliable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hands.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Megan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Francis,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Rights: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Black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Lives,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White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Movement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Capture,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Society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3, no. 1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284.</w:t>
      </w:r>
    </w:p>
  </w:endnote>
  <w:endnote w:id="36">
    <w:p w14:paraId="2599F8D1" w14:textId="0FF19803" w:rsidR="00764F3A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Deniz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Çam,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MacKenzie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Scott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Away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Nearly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$6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Year—and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0072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Forbes.com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https://www.forbes.com/sites/denizcam/2021/04/06/how-mackenzie-scott-gave-away-nearly-6-billion-last-year-and-ended-up-richer/?sh=679251aa68cc;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MacKenzie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Scott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Pledge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letter,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https://givingpledge.org/Pledger.aspx?id=393;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Soskis,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Norms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Narratives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Shape,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–2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–3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Rebecca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Koenig,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Offers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Speedy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Trump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Victory,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64F3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James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Ferguson,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Fish: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Reflections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Politics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Distribution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(Durham,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N.C.: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Duke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Annie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Lowrey,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People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Universal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Basic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Income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Would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Poverty,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Revolutionize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Work,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Remake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Crown,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2018);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Gunter,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Cash,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Chronicles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https://medium.com/nonprofit-chronicles/the-new-new-thing-in-philanthropy-cash-f33d4cf72401.</w:t>
      </w:r>
    </w:p>
  </w:endnote>
  <w:endnote w:id="37">
    <w:p w14:paraId="3ED2F185" w14:textId="69D127F1" w:rsidR="008B425C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Frumkin,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B425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Washington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1999.</w:t>
      </w:r>
    </w:p>
  </w:endnote>
  <w:endnote w:id="38">
    <w:p w14:paraId="252ABA6B" w14:textId="0EA8FE73" w:rsidR="00287F38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Theodore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Schleifer,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Inside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Dorsey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radical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experiment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billionaires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away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287F3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Vox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https://www.vox.com/recode/2020/6/11/21287395/jack-dorsey-start-small-billionaire-philanthropy-coronavirus-twitter-square-kaepernick-rihanna.</w:t>
      </w:r>
    </w:p>
  </w:endnote>
  <w:endnote w:id="39">
    <w:p w14:paraId="4649F7A0" w14:textId="346FAF97" w:rsidR="003D43D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Benjamin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Soskis,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Young,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D43D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HistPhil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2016</w:t>
      </w:r>
      <w:r w:rsidR="005D74F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74F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https://histphil.org/2016/01/11/to-be-young-rich-and-philanthropic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Vindu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Wingfield,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Zuckerberg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Vows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99%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Shares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Times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Nicholas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Kulish,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MacKenzie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Scott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Upends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Times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40">
    <w:p w14:paraId="644273E6" w14:textId="00C207C1" w:rsidR="00012B8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Zuckerberg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Priscilla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etter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aughter,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012B8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Facebook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https://www.facebook.com/notes/770757020443898/?pnref=story.</w:t>
      </w:r>
    </w:p>
  </w:endnote>
  <w:endnote w:id="41">
    <w:p w14:paraId="32945EC2" w14:textId="7595B1AF" w:rsidR="00317F0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Gunther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Drew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Lindsay,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Pledge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Changed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2019.</w:t>
      </w:r>
    </w:p>
  </w:endnote>
  <w:endnote w:id="42">
    <w:p w14:paraId="2303BD35" w14:textId="1E9FF784" w:rsidR="00D64556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55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Paul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55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Brest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55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Harvey,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Well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Spent: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Strategic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Smart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A3F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Stanford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3F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Business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Books,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2018)</w:t>
      </w:r>
      <w:r w:rsidR="007A3F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Paul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Jansen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Katz,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McKinsey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Quarterly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(February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222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2222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Michael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Klausner,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70AB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AB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–5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</w:p>
  </w:endnote>
  <w:endnote w:id="43">
    <w:p w14:paraId="40CCEFF6" w14:textId="2A3DB8F0" w:rsidR="00C4289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Fleishman,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Putting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Wealth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Work: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Today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Investing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Tomorrow?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PublicAffairs,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2017),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xix.</w:t>
      </w:r>
    </w:p>
  </w:endnote>
  <w:endnote w:id="44">
    <w:p w14:paraId="59BEB312" w14:textId="1E2699ED" w:rsidR="00031340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When,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instance,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officially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initiated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spend-down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wishes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585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Chuck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Feeney,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increased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professionalization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bureaucratization,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expanded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board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more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formal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systematic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approach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grantmaking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program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evaluation.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turn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strained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against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entrepreneurial,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“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start-up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culture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privileged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intuition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judgments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key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individuals,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lead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conflict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Feeney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board.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Clery,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Billionaire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Wasn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3134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Chuck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Feeney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Secretly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Made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Gave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Away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Fortune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PublicAffairs,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2013)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332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="003D404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45">
    <w:p w14:paraId="063CED2B" w14:textId="589C612B" w:rsidR="00AA288E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Elizabeth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Boris,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Carol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Vita,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Gaddy,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2015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Trends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Study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(National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Family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November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Renz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Wolcheck,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Perpetuity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Limited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Life: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Family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Decide?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2009),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2–3,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Renz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Steven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Lawrence,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Grown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Statistics: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2003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2004),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Melinda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Gates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https://www.gatesfoundation.org/about/financials/foundation-trust;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[Chuck]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Feeney,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records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Bartoni,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Billionaire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Wanted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Broke…Is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Officially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Broke,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C786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Forbes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September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46">
    <w:p w14:paraId="7C24684C" w14:textId="7C291183" w:rsidR="00755091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Advisors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Strategic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Horizons: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Snapshot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Approaches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Advisors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004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04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</w:p>
  </w:endnote>
  <w:endnote w:id="47">
    <w:p w14:paraId="0A120D77" w14:textId="077443BF" w:rsidR="00E04A3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instance,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Larry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Kramer,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Policy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Crisis,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Advisors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7CE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Strategic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47CE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47CE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Horizons</w:t>
      </w:r>
      <w:r w:rsidR="00B47CE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4–5.</w:t>
      </w:r>
    </w:p>
  </w:endnote>
  <w:endnote w:id="48">
    <w:p w14:paraId="051E00C1" w14:textId="668F134E" w:rsidR="00261DB7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Roger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Colinvaux,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61539E" w:rsidRPr="00B065A0">
        <w:rPr>
          <w:rFonts w:ascii="Times New Roman" w:hAnsi="Times New Roman" w:cs="Times New Roman"/>
          <w:color w:val="000000" w:themeColor="text1"/>
        </w:rPr>
        <w:t>Donor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Advised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Funds: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Spending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Vehicles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for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21st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Century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Philanthropy,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61539E" w:rsidRPr="00B065A0">
        <w:rPr>
          <w:rFonts w:ascii="Times New Roman" w:hAnsi="Times New Roman" w:cs="Times New Roman"/>
          <w:i/>
          <w:iCs/>
          <w:color w:val="000000" w:themeColor="text1"/>
        </w:rPr>
        <w:t>Washington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i/>
          <w:iCs/>
          <w:color w:val="000000" w:themeColor="text1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i/>
          <w:iCs/>
          <w:color w:val="000000" w:themeColor="text1"/>
        </w:rPr>
        <w:t>Review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92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(2017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68;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Molly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F.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Sherlock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Jane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G.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Gravelle,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BF51CF" w:rsidRPr="00B065A0">
        <w:rPr>
          <w:rFonts w:ascii="Times New Roman" w:hAnsi="Times New Roman" w:cs="Times New Roman"/>
          <w:color w:val="000000" w:themeColor="text1"/>
        </w:rPr>
        <w:t>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Analysis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Giving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Donor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Advised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Funds,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BF51CF" w:rsidRPr="00B065A0">
        <w:rPr>
          <w:rFonts w:ascii="Times New Roman" w:hAnsi="Times New Roman" w:cs="Times New Roman"/>
          <w:i/>
          <w:iCs/>
          <w:color w:val="000000" w:themeColor="text1"/>
        </w:rPr>
        <w:t>Congressional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i/>
          <w:iCs/>
          <w:color w:val="000000" w:themeColor="text1"/>
        </w:rPr>
        <w:t>Research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i/>
          <w:iCs/>
          <w:color w:val="000000" w:themeColor="text1"/>
        </w:rPr>
        <w:t>Service</w:t>
      </w:r>
      <w:r w:rsidR="00BF51CF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July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11,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2012</w:t>
      </w:r>
      <w:r w:rsidR="008069B0" w:rsidRPr="00B065A0">
        <w:rPr>
          <w:rFonts w:ascii="Times New Roman" w:hAnsi="Times New Roman" w:cs="Times New Roman"/>
          <w:color w:val="000000" w:themeColor="text1"/>
        </w:rPr>
        <w:t>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National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Philanthropic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Trust,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202</w:t>
      </w:r>
      <w:r w:rsidR="00F155EE" w:rsidRPr="00B065A0">
        <w:rPr>
          <w:rFonts w:ascii="Times New Roman" w:hAnsi="Times New Roman" w:cs="Times New Roman"/>
          <w:i/>
          <w:iCs/>
          <w:color w:val="000000" w:themeColor="text1"/>
        </w:rPr>
        <w:t>1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DAF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Report</w:t>
      </w:r>
      <w:r w:rsidR="00FC030A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accessed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at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https://www.nptrust.org/reports/daf-report/;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Chuck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Collins,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Helen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Flannery,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Josh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Hoxie,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Warehousing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Wealth: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Donor-Advised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Charity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Funds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Sequestering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Billions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Face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Growing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Inequality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(Institute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for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Policy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Studies,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2018),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361FC" w:rsidRPr="00B065A0">
        <w:rPr>
          <w:rFonts w:ascii="Times New Roman" w:hAnsi="Times New Roman" w:cs="Times New Roman"/>
          <w:color w:val="000000" w:themeColor="text1"/>
        </w:rPr>
        <w:t>8,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33008" w:rsidRPr="00B065A0">
        <w:rPr>
          <w:rFonts w:ascii="Times New Roman" w:hAnsi="Times New Roman" w:cs="Times New Roman"/>
          <w:color w:val="000000" w:themeColor="text1"/>
        </w:rPr>
        <w:t>https://ips-dc.org/wp-content/uploads/2018/07/Warehousing-Wealth-IPS-Report-1.pdf</w:t>
      </w:r>
      <w:r w:rsidR="001E5F23" w:rsidRPr="00B065A0">
        <w:rPr>
          <w:rFonts w:ascii="Times New Roman" w:hAnsi="Times New Roman" w:cs="Times New Roman"/>
          <w:color w:val="000000" w:themeColor="text1"/>
        </w:rPr>
        <w:t>.</w:t>
      </w:r>
    </w:p>
  </w:endnote>
  <w:endnote w:id="49">
    <w:p w14:paraId="701D236D" w14:textId="221CE4BD" w:rsidR="0032581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co-editor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volume,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Madoff,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influential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securing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legislation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introduction.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Donor-Advised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Prompts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Debate,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Lewis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Cullman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Madoff,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Undermining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Books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Parks,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Sens.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Grassley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Accelerate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Paul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Major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Lora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Smith,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Rural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Community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Support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Act—you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Hill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August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Arnold,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Slow-Moving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Quo,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Wall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Street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50">
    <w:p w14:paraId="77109B22" w14:textId="28A3539F" w:rsidR="006C2FF0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FF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Toby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Ord,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Precipice: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Existential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Risk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Future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Humanity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Hachette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Books,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2020)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Hilary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Greaves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FF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William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FF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MacAskill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strong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longtermism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Priorities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https://globalprioritiesinstitute.org/wp-content/uploads/The-Case-for-Strong-Longtermism-GPI-Working-Paper-June-2021-2-2.pdf.</w:t>
      </w:r>
    </w:p>
  </w:endnote>
  <w:endnote w:id="51">
    <w:p w14:paraId="2A92B7D1" w14:textId="100A33E7" w:rsidR="00DE512A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College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Reform,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Atlantic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2017.</w:t>
      </w:r>
    </w:p>
  </w:endnote>
  <w:endnote w:id="52">
    <w:p w14:paraId="5CAC19A6" w14:textId="0C5F6CD4" w:rsidR="006B48B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Michael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Kavate,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Inside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Debate: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Crisis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Opportunity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Forcing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Inside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Ellen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Friedman,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Galaich,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Pia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Infante,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Better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Itself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Existence,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0F0D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William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Foster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Darren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Isorn,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Black-led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(Winter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https://ssir.org/articles/entry/endow_black_led_nonprofits;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0D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Edgar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0D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Villanueva,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Decolonizing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Wealth: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Indigenous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Wisdom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Divides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Restore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Balance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(Oakland,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Calif.: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Berett-Koehler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Publishers,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2018),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66.</w:t>
      </w:r>
    </w:p>
  </w:endnote>
  <w:endnote w:id="53">
    <w:p w14:paraId="02331D90" w14:textId="70AB63E5" w:rsidR="00A77E31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Parks,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Coronavirus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Rapid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Proliferate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Threat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Grows,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77E3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54">
    <w:p w14:paraId="548961C4" w14:textId="20C4652E" w:rsidR="007D00A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Maker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Dilemma: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Protect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Shrinking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Leading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Groups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Urge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Support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Charities,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Sarina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Dayal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Sato,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Candid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blog,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https://blog.candid.org/post/did-foundation-giving-and-payout-shift-in-2020/;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Larry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Kramer,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Policy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Crisis,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Hemel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Joseph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Bankman,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Later?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Answer,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4172200"/>
      <w:docPartObj>
        <w:docPartGallery w:val="Page Numbers (Bottom of Page)"/>
        <w:docPartUnique/>
      </w:docPartObj>
    </w:sdtPr>
    <w:sdtContent>
      <w:p w14:paraId="7191436E" w14:textId="40101B51" w:rsidR="0035291F" w:rsidRDefault="0035291F" w:rsidP="001C7C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302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B1DDA7" w14:textId="77777777" w:rsidR="0035291F" w:rsidRDefault="0035291F" w:rsidP="003529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E1FE" w14:textId="77777777" w:rsidR="0035291F" w:rsidRDefault="0035291F" w:rsidP="003529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9802" w14:textId="77777777" w:rsidR="00AD70C3" w:rsidRDefault="00AD70C3" w:rsidP="00E13DDE">
      <w:r>
        <w:separator/>
      </w:r>
    </w:p>
  </w:footnote>
  <w:footnote w:type="continuationSeparator" w:id="0">
    <w:p w14:paraId="459B5F5A" w14:textId="77777777" w:rsidR="00AD70C3" w:rsidRDefault="00AD70C3" w:rsidP="00E1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505E"/>
    <w:multiLevelType w:val="hybridMultilevel"/>
    <w:tmpl w:val="5A141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233F2"/>
    <w:multiLevelType w:val="multilevel"/>
    <w:tmpl w:val="07408BC6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756203">
    <w:abstractNumId w:val="0"/>
  </w:num>
  <w:num w:numId="2" w16cid:durableId="211092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73"/>
    <w:rsid w:val="00000404"/>
    <w:rsid w:val="00001618"/>
    <w:rsid w:val="00004A74"/>
    <w:rsid w:val="00005BD6"/>
    <w:rsid w:val="00007E08"/>
    <w:rsid w:val="00012B8F"/>
    <w:rsid w:val="00016322"/>
    <w:rsid w:val="00017F23"/>
    <w:rsid w:val="00020223"/>
    <w:rsid w:val="00021E9F"/>
    <w:rsid w:val="00026064"/>
    <w:rsid w:val="00027E36"/>
    <w:rsid w:val="00027E62"/>
    <w:rsid w:val="00030F24"/>
    <w:rsid w:val="00031340"/>
    <w:rsid w:val="00031EA5"/>
    <w:rsid w:val="00033F00"/>
    <w:rsid w:val="00037593"/>
    <w:rsid w:val="00041288"/>
    <w:rsid w:val="00042140"/>
    <w:rsid w:val="00042BE5"/>
    <w:rsid w:val="00044943"/>
    <w:rsid w:val="000461B8"/>
    <w:rsid w:val="0005054D"/>
    <w:rsid w:val="0005611A"/>
    <w:rsid w:val="00061251"/>
    <w:rsid w:val="00061C89"/>
    <w:rsid w:val="00065500"/>
    <w:rsid w:val="00066D7F"/>
    <w:rsid w:val="00073107"/>
    <w:rsid w:val="00075EFA"/>
    <w:rsid w:val="00077CC6"/>
    <w:rsid w:val="000875B4"/>
    <w:rsid w:val="00092847"/>
    <w:rsid w:val="00092AE0"/>
    <w:rsid w:val="0009315B"/>
    <w:rsid w:val="00094500"/>
    <w:rsid w:val="00095107"/>
    <w:rsid w:val="000A68AA"/>
    <w:rsid w:val="000A79D9"/>
    <w:rsid w:val="000B309A"/>
    <w:rsid w:val="000B5679"/>
    <w:rsid w:val="000B7919"/>
    <w:rsid w:val="000C1626"/>
    <w:rsid w:val="000C24EA"/>
    <w:rsid w:val="000D5165"/>
    <w:rsid w:val="000D565A"/>
    <w:rsid w:val="000E149D"/>
    <w:rsid w:val="000F0DF6"/>
    <w:rsid w:val="000F178B"/>
    <w:rsid w:val="000F47FF"/>
    <w:rsid w:val="000F54AF"/>
    <w:rsid w:val="000F6668"/>
    <w:rsid w:val="00100475"/>
    <w:rsid w:val="00101C29"/>
    <w:rsid w:val="00103471"/>
    <w:rsid w:val="0010533F"/>
    <w:rsid w:val="001060BB"/>
    <w:rsid w:val="0011237F"/>
    <w:rsid w:val="0011572B"/>
    <w:rsid w:val="0011715A"/>
    <w:rsid w:val="001174AD"/>
    <w:rsid w:val="00124868"/>
    <w:rsid w:val="00125772"/>
    <w:rsid w:val="00126E26"/>
    <w:rsid w:val="00131DAC"/>
    <w:rsid w:val="00134870"/>
    <w:rsid w:val="00135BD3"/>
    <w:rsid w:val="00135E17"/>
    <w:rsid w:val="00140CEB"/>
    <w:rsid w:val="001522E6"/>
    <w:rsid w:val="00154065"/>
    <w:rsid w:val="001561E3"/>
    <w:rsid w:val="00164DBC"/>
    <w:rsid w:val="0017040E"/>
    <w:rsid w:val="0017059F"/>
    <w:rsid w:val="00172265"/>
    <w:rsid w:val="00172F42"/>
    <w:rsid w:val="00174015"/>
    <w:rsid w:val="0017526E"/>
    <w:rsid w:val="00177652"/>
    <w:rsid w:val="00184B30"/>
    <w:rsid w:val="00185CFA"/>
    <w:rsid w:val="00187862"/>
    <w:rsid w:val="00187F05"/>
    <w:rsid w:val="0019482C"/>
    <w:rsid w:val="001A1D3B"/>
    <w:rsid w:val="001B1062"/>
    <w:rsid w:val="001B2148"/>
    <w:rsid w:val="001B22B4"/>
    <w:rsid w:val="001B3C86"/>
    <w:rsid w:val="001B6CF5"/>
    <w:rsid w:val="001C0B0C"/>
    <w:rsid w:val="001C1A5D"/>
    <w:rsid w:val="001C3F7E"/>
    <w:rsid w:val="001C48A7"/>
    <w:rsid w:val="001C54B2"/>
    <w:rsid w:val="001D4679"/>
    <w:rsid w:val="001D502C"/>
    <w:rsid w:val="001E5F23"/>
    <w:rsid w:val="001E6A90"/>
    <w:rsid w:val="001E7BAC"/>
    <w:rsid w:val="001F09BC"/>
    <w:rsid w:val="001F3C0B"/>
    <w:rsid w:val="00202FDD"/>
    <w:rsid w:val="00215C20"/>
    <w:rsid w:val="00220063"/>
    <w:rsid w:val="00221123"/>
    <w:rsid w:val="00222E57"/>
    <w:rsid w:val="00224599"/>
    <w:rsid w:val="00225992"/>
    <w:rsid w:val="00225BE3"/>
    <w:rsid w:val="00231829"/>
    <w:rsid w:val="0023457C"/>
    <w:rsid w:val="00235296"/>
    <w:rsid w:val="00236780"/>
    <w:rsid w:val="002411BA"/>
    <w:rsid w:val="00242E7E"/>
    <w:rsid w:val="002430DC"/>
    <w:rsid w:val="00243381"/>
    <w:rsid w:val="002460AD"/>
    <w:rsid w:val="0025236F"/>
    <w:rsid w:val="00253DCF"/>
    <w:rsid w:val="0025520C"/>
    <w:rsid w:val="00256B2F"/>
    <w:rsid w:val="002577A1"/>
    <w:rsid w:val="002613A1"/>
    <w:rsid w:val="002619B9"/>
    <w:rsid w:val="00261DB7"/>
    <w:rsid w:val="0026383C"/>
    <w:rsid w:val="00266FD0"/>
    <w:rsid w:val="002728DD"/>
    <w:rsid w:val="00274E64"/>
    <w:rsid w:val="0028174C"/>
    <w:rsid w:val="00282E20"/>
    <w:rsid w:val="00282EAE"/>
    <w:rsid w:val="00283FF4"/>
    <w:rsid w:val="00287F38"/>
    <w:rsid w:val="0029378F"/>
    <w:rsid w:val="0029788B"/>
    <w:rsid w:val="002A05F8"/>
    <w:rsid w:val="002A6CA4"/>
    <w:rsid w:val="002B1073"/>
    <w:rsid w:val="002B1398"/>
    <w:rsid w:val="002B32F6"/>
    <w:rsid w:val="002B513E"/>
    <w:rsid w:val="002C0A22"/>
    <w:rsid w:val="002C2818"/>
    <w:rsid w:val="002C5BEF"/>
    <w:rsid w:val="002D06E1"/>
    <w:rsid w:val="002D5DCA"/>
    <w:rsid w:val="002E1630"/>
    <w:rsid w:val="002E27B0"/>
    <w:rsid w:val="002E34C1"/>
    <w:rsid w:val="002E6AD4"/>
    <w:rsid w:val="002E7131"/>
    <w:rsid w:val="002E7436"/>
    <w:rsid w:val="002F1370"/>
    <w:rsid w:val="002F4FE7"/>
    <w:rsid w:val="003023F2"/>
    <w:rsid w:val="00304DAE"/>
    <w:rsid w:val="00305479"/>
    <w:rsid w:val="00310B50"/>
    <w:rsid w:val="00311A40"/>
    <w:rsid w:val="00313728"/>
    <w:rsid w:val="003141EF"/>
    <w:rsid w:val="00314DA2"/>
    <w:rsid w:val="0031528C"/>
    <w:rsid w:val="003173DD"/>
    <w:rsid w:val="00317F0B"/>
    <w:rsid w:val="00321009"/>
    <w:rsid w:val="0032473A"/>
    <w:rsid w:val="0032581F"/>
    <w:rsid w:val="00326700"/>
    <w:rsid w:val="00341EF1"/>
    <w:rsid w:val="003441A6"/>
    <w:rsid w:val="0034753B"/>
    <w:rsid w:val="0035291F"/>
    <w:rsid w:val="003600E8"/>
    <w:rsid w:val="003603D3"/>
    <w:rsid w:val="00362954"/>
    <w:rsid w:val="00364F37"/>
    <w:rsid w:val="00365C56"/>
    <w:rsid w:val="00365EBE"/>
    <w:rsid w:val="00371EE6"/>
    <w:rsid w:val="003732AA"/>
    <w:rsid w:val="003803F2"/>
    <w:rsid w:val="003820F8"/>
    <w:rsid w:val="003876D4"/>
    <w:rsid w:val="00390E1D"/>
    <w:rsid w:val="003915A6"/>
    <w:rsid w:val="00395BF4"/>
    <w:rsid w:val="00396A0C"/>
    <w:rsid w:val="00397828"/>
    <w:rsid w:val="003A3310"/>
    <w:rsid w:val="003A4D7D"/>
    <w:rsid w:val="003A6455"/>
    <w:rsid w:val="003A73B1"/>
    <w:rsid w:val="003B2A9F"/>
    <w:rsid w:val="003B3A6D"/>
    <w:rsid w:val="003B6885"/>
    <w:rsid w:val="003D1D2A"/>
    <w:rsid w:val="003D23A6"/>
    <w:rsid w:val="003D2939"/>
    <w:rsid w:val="003D4049"/>
    <w:rsid w:val="003D420E"/>
    <w:rsid w:val="003D43DB"/>
    <w:rsid w:val="003D6E1C"/>
    <w:rsid w:val="003E26BC"/>
    <w:rsid w:val="003E43F5"/>
    <w:rsid w:val="003E4A8E"/>
    <w:rsid w:val="003E7576"/>
    <w:rsid w:val="003F1036"/>
    <w:rsid w:val="003F1D91"/>
    <w:rsid w:val="003F5576"/>
    <w:rsid w:val="004017C8"/>
    <w:rsid w:val="00403B91"/>
    <w:rsid w:val="00413A83"/>
    <w:rsid w:val="00415377"/>
    <w:rsid w:val="00415AAE"/>
    <w:rsid w:val="00415AF3"/>
    <w:rsid w:val="00423405"/>
    <w:rsid w:val="00434DA2"/>
    <w:rsid w:val="0044357F"/>
    <w:rsid w:val="004447A8"/>
    <w:rsid w:val="00444AA0"/>
    <w:rsid w:val="00445E2E"/>
    <w:rsid w:val="0045464F"/>
    <w:rsid w:val="00455F1D"/>
    <w:rsid w:val="00456001"/>
    <w:rsid w:val="00457BAC"/>
    <w:rsid w:val="00457D17"/>
    <w:rsid w:val="00457F18"/>
    <w:rsid w:val="004606C2"/>
    <w:rsid w:val="00460996"/>
    <w:rsid w:val="004615C7"/>
    <w:rsid w:val="00464427"/>
    <w:rsid w:val="004712DC"/>
    <w:rsid w:val="004726BE"/>
    <w:rsid w:val="0047356A"/>
    <w:rsid w:val="0047585A"/>
    <w:rsid w:val="0047798D"/>
    <w:rsid w:val="00477D21"/>
    <w:rsid w:val="00480CBE"/>
    <w:rsid w:val="004821AD"/>
    <w:rsid w:val="00484717"/>
    <w:rsid w:val="0048511B"/>
    <w:rsid w:val="0049008E"/>
    <w:rsid w:val="004906EE"/>
    <w:rsid w:val="00493F42"/>
    <w:rsid w:val="00494EAA"/>
    <w:rsid w:val="00497C83"/>
    <w:rsid w:val="004A00D3"/>
    <w:rsid w:val="004A09D8"/>
    <w:rsid w:val="004A2201"/>
    <w:rsid w:val="004A466A"/>
    <w:rsid w:val="004A79AC"/>
    <w:rsid w:val="004B1FCE"/>
    <w:rsid w:val="004B4090"/>
    <w:rsid w:val="004B73C4"/>
    <w:rsid w:val="004D02E4"/>
    <w:rsid w:val="004D3D23"/>
    <w:rsid w:val="004D7B57"/>
    <w:rsid w:val="004E2810"/>
    <w:rsid w:val="004E4ED1"/>
    <w:rsid w:val="004F0D6A"/>
    <w:rsid w:val="004F371A"/>
    <w:rsid w:val="004F6A14"/>
    <w:rsid w:val="004F7666"/>
    <w:rsid w:val="005011F7"/>
    <w:rsid w:val="00502016"/>
    <w:rsid w:val="005055CB"/>
    <w:rsid w:val="005061AE"/>
    <w:rsid w:val="00521D45"/>
    <w:rsid w:val="00522510"/>
    <w:rsid w:val="00522520"/>
    <w:rsid w:val="0052751B"/>
    <w:rsid w:val="00527F76"/>
    <w:rsid w:val="005300DD"/>
    <w:rsid w:val="00535A83"/>
    <w:rsid w:val="00537808"/>
    <w:rsid w:val="0055058B"/>
    <w:rsid w:val="00553D83"/>
    <w:rsid w:val="00554B89"/>
    <w:rsid w:val="005563A1"/>
    <w:rsid w:val="00561A49"/>
    <w:rsid w:val="00561AD5"/>
    <w:rsid w:val="00564D8F"/>
    <w:rsid w:val="0056650C"/>
    <w:rsid w:val="00571500"/>
    <w:rsid w:val="005741E4"/>
    <w:rsid w:val="005752B9"/>
    <w:rsid w:val="00575FEE"/>
    <w:rsid w:val="0058667E"/>
    <w:rsid w:val="00590F84"/>
    <w:rsid w:val="0059388D"/>
    <w:rsid w:val="00593C75"/>
    <w:rsid w:val="005A12CF"/>
    <w:rsid w:val="005A3D9C"/>
    <w:rsid w:val="005A710D"/>
    <w:rsid w:val="005B0731"/>
    <w:rsid w:val="005B1E1E"/>
    <w:rsid w:val="005B340A"/>
    <w:rsid w:val="005B4CC1"/>
    <w:rsid w:val="005B7AFF"/>
    <w:rsid w:val="005C3D07"/>
    <w:rsid w:val="005C404B"/>
    <w:rsid w:val="005C4723"/>
    <w:rsid w:val="005C4A69"/>
    <w:rsid w:val="005C7912"/>
    <w:rsid w:val="005D0FED"/>
    <w:rsid w:val="005D12AD"/>
    <w:rsid w:val="005D3F94"/>
    <w:rsid w:val="005D74F7"/>
    <w:rsid w:val="005E2674"/>
    <w:rsid w:val="005E36ED"/>
    <w:rsid w:val="005F455E"/>
    <w:rsid w:val="005F6CB9"/>
    <w:rsid w:val="00604C0C"/>
    <w:rsid w:val="006116C1"/>
    <w:rsid w:val="00612FF1"/>
    <w:rsid w:val="00613DC0"/>
    <w:rsid w:val="0061539E"/>
    <w:rsid w:val="00617E08"/>
    <w:rsid w:val="00617FD5"/>
    <w:rsid w:val="00622222"/>
    <w:rsid w:val="00623BDE"/>
    <w:rsid w:val="00624E30"/>
    <w:rsid w:val="006261FB"/>
    <w:rsid w:val="00630187"/>
    <w:rsid w:val="006314C5"/>
    <w:rsid w:val="00631FE2"/>
    <w:rsid w:val="006369AA"/>
    <w:rsid w:val="0064105F"/>
    <w:rsid w:val="00643A92"/>
    <w:rsid w:val="00643F44"/>
    <w:rsid w:val="00645824"/>
    <w:rsid w:val="00650612"/>
    <w:rsid w:val="00652710"/>
    <w:rsid w:val="00653A17"/>
    <w:rsid w:val="00653F21"/>
    <w:rsid w:val="00654B84"/>
    <w:rsid w:val="00654CA2"/>
    <w:rsid w:val="0065617A"/>
    <w:rsid w:val="00656559"/>
    <w:rsid w:val="00664FAD"/>
    <w:rsid w:val="00666491"/>
    <w:rsid w:val="00666914"/>
    <w:rsid w:val="006678B0"/>
    <w:rsid w:val="00670AEF"/>
    <w:rsid w:val="0067175C"/>
    <w:rsid w:val="00671C5E"/>
    <w:rsid w:val="00673073"/>
    <w:rsid w:val="0067581D"/>
    <w:rsid w:val="0067785F"/>
    <w:rsid w:val="006858D3"/>
    <w:rsid w:val="006911F1"/>
    <w:rsid w:val="00691EA7"/>
    <w:rsid w:val="00692AB5"/>
    <w:rsid w:val="00694BB8"/>
    <w:rsid w:val="006A0DDA"/>
    <w:rsid w:val="006A1E9B"/>
    <w:rsid w:val="006B48BB"/>
    <w:rsid w:val="006B5CC1"/>
    <w:rsid w:val="006C03EE"/>
    <w:rsid w:val="006C2FF0"/>
    <w:rsid w:val="006C4CA0"/>
    <w:rsid w:val="006C7FB0"/>
    <w:rsid w:val="006D126B"/>
    <w:rsid w:val="006D1458"/>
    <w:rsid w:val="006D176B"/>
    <w:rsid w:val="006D3362"/>
    <w:rsid w:val="006D6263"/>
    <w:rsid w:val="006D634B"/>
    <w:rsid w:val="006E3100"/>
    <w:rsid w:val="006E6804"/>
    <w:rsid w:val="006F2D3F"/>
    <w:rsid w:val="006F3CBD"/>
    <w:rsid w:val="006F5329"/>
    <w:rsid w:val="006F5D00"/>
    <w:rsid w:val="007045DF"/>
    <w:rsid w:val="00713DD0"/>
    <w:rsid w:val="0071569C"/>
    <w:rsid w:val="00717AEB"/>
    <w:rsid w:val="0072087B"/>
    <w:rsid w:val="00721409"/>
    <w:rsid w:val="007255FF"/>
    <w:rsid w:val="00727151"/>
    <w:rsid w:val="00734278"/>
    <w:rsid w:val="00736421"/>
    <w:rsid w:val="007364D4"/>
    <w:rsid w:val="0073743B"/>
    <w:rsid w:val="00740C32"/>
    <w:rsid w:val="00740FE9"/>
    <w:rsid w:val="00744AEE"/>
    <w:rsid w:val="00745EF2"/>
    <w:rsid w:val="007507F1"/>
    <w:rsid w:val="0075205E"/>
    <w:rsid w:val="00755091"/>
    <w:rsid w:val="00756DE0"/>
    <w:rsid w:val="00764F3A"/>
    <w:rsid w:val="00770AB5"/>
    <w:rsid w:val="00771785"/>
    <w:rsid w:val="00783318"/>
    <w:rsid w:val="007909C4"/>
    <w:rsid w:val="00791034"/>
    <w:rsid w:val="0079140E"/>
    <w:rsid w:val="00794782"/>
    <w:rsid w:val="00795DA5"/>
    <w:rsid w:val="007969F9"/>
    <w:rsid w:val="007A10CE"/>
    <w:rsid w:val="007A2FC1"/>
    <w:rsid w:val="007A3F6E"/>
    <w:rsid w:val="007A4A32"/>
    <w:rsid w:val="007A61E8"/>
    <w:rsid w:val="007B0443"/>
    <w:rsid w:val="007B0C23"/>
    <w:rsid w:val="007C0968"/>
    <w:rsid w:val="007C5771"/>
    <w:rsid w:val="007C5D01"/>
    <w:rsid w:val="007C6BE5"/>
    <w:rsid w:val="007D00AB"/>
    <w:rsid w:val="007D037C"/>
    <w:rsid w:val="007D044D"/>
    <w:rsid w:val="007D0867"/>
    <w:rsid w:val="007D3DF3"/>
    <w:rsid w:val="007D5620"/>
    <w:rsid w:val="007D6435"/>
    <w:rsid w:val="007D7B34"/>
    <w:rsid w:val="007D7C45"/>
    <w:rsid w:val="007E5F73"/>
    <w:rsid w:val="007F22B4"/>
    <w:rsid w:val="007F54FC"/>
    <w:rsid w:val="007F6664"/>
    <w:rsid w:val="00804061"/>
    <w:rsid w:val="008042F0"/>
    <w:rsid w:val="008069B0"/>
    <w:rsid w:val="008132A1"/>
    <w:rsid w:val="008144E8"/>
    <w:rsid w:val="00814FAC"/>
    <w:rsid w:val="00821AD6"/>
    <w:rsid w:val="00821B6B"/>
    <w:rsid w:val="008262F4"/>
    <w:rsid w:val="00831399"/>
    <w:rsid w:val="00840150"/>
    <w:rsid w:val="00840232"/>
    <w:rsid w:val="00841805"/>
    <w:rsid w:val="008513A2"/>
    <w:rsid w:val="00851EC8"/>
    <w:rsid w:val="0086306B"/>
    <w:rsid w:val="008631A6"/>
    <w:rsid w:val="00871BD2"/>
    <w:rsid w:val="0087399E"/>
    <w:rsid w:val="008748BD"/>
    <w:rsid w:val="00875BD5"/>
    <w:rsid w:val="00875CEC"/>
    <w:rsid w:val="0088016B"/>
    <w:rsid w:val="00883FDD"/>
    <w:rsid w:val="00885582"/>
    <w:rsid w:val="008857E7"/>
    <w:rsid w:val="00886A53"/>
    <w:rsid w:val="00886B77"/>
    <w:rsid w:val="008877F9"/>
    <w:rsid w:val="0089159A"/>
    <w:rsid w:val="00893D83"/>
    <w:rsid w:val="00894AA7"/>
    <w:rsid w:val="00896B74"/>
    <w:rsid w:val="008974CA"/>
    <w:rsid w:val="0089760F"/>
    <w:rsid w:val="008A1DA1"/>
    <w:rsid w:val="008A1DE6"/>
    <w:rsid w:val="008A2F40"/>
    <w:rsid w:val="008A5D2E"/>
    <w:rsid w:val="008A6198"/>
    <w:rsid w:val="008A63F3"/>
    <w:rsid w:val="008B0843"/>
    <w:rsid w:val="008B0DA6"/>
    <w:rsid w:val="008B425C"/>
    <w:rsid w:val="008B4C5A"/>
    <w:rsid w:val="008B575B"/>
    <w:rsid w:val="008C24D8"/>
    <w:rsid w:val="008C2E80"/>
    <w:rsid w:val="008C305B"/>
    <w:rsid w:val="008C75CD"/>
    <w:rsid w:val="008D0387"/>
    <w:rsid w:val="008D05BD"/>
    <w:rsid w:val="008D5C61"/>
    <w:rsid w:val="008D601B"/>
    <w:rsid w:val="008E016B"/>
    <w:rsid w:val="008E1BF8"/>
    <w:rsid w:val="008E2ED7"/>
    <w:rsid w:val="008E2F10"/>
    <w:rsid w:val="008E3221"/>
    <w:rsid w:val="008E70BC"/>
    <w:rsid w:val="008F0DDA"/>
    <w:rsid w:val="008F2B4C"/>
    <w:rsid w:val="008F3DC6"/>
    <w:rsid w:val="008F51EC"/>
    <w:rsid w:val="009028C8"/>
    <w:rsid w:val="00904D19"/>
    <w:rsid w:val="0090503B"/>
    <w:rsid w:val="00907115"/>
    <w:rsid w:val="009151BC"/>
    <w:rsid w:val="00920BAD"/>
    <w:rsid w:val="00921FFD"/>
    <w:rsid w:val="0092436C"/>
    <w:rsid w:val="009265B6"/>
    <w:rsid w:val="009321E6"/>
    <w:rsid w:val="00933008"/>
    <w:rsid w:val="009351B3"/>
    <w:rsid w:val="009361FC"/>
    <w:rsid w:val="009379B2"/>
    <w:rsid w:val="0094226A"/>
    <w:rsid w:val="0094380A"/>
    <w:rsid w:val="0094483E"/>
    <w:rsid w:val="009456C2"/>
    <w:rsid w:val="0095359B"/>
    <w:rsid w:val="00955A30"/>
    <w:rsid w:val="00956165"/>
    <w:rsid w:val="00956545"/>
    <w:rsid w:val="009567EF"/>
    <w:rsid w:val="00957189"/>
    <w:rsid w:val="00970D16"/>
    <w:rsid w:val="0097116B"/>
    <w:rsid w:val="00971F08"/>
    <w:rsid w:val="00975523"/>
    <w:rsid w:val="0097589E"/>
    <w:rsid w:val="00981F92"/>
    <w:rsid w:val="009848E3"/>
    <w:rsid w:val="00984BEE"/>
    <w:rsid w:val="00987552"/>
    <w:rsid w:val="00993C05"/>
    <w:rsid w:val="009964F0"/>
    <w:rsid w:val="009977EC"/>
    <w:rsid w:val="009A039B"/>
    <w:rsid w:val="009A7E01"/>
    <w:rsid w:val="009B0DF4"/>
    <w:rsid w:val="009B1B4B"/>
    <w:rsid w:val="009B5BD0"/>
    <w:rsid w:val="009C113F"/>
    <w:rsid w:val="009C11E4"/>
    <w:rsid w:val="009C2C5C"/>
    <w:rsid w:val="009C3B74"/>
    <w:rsid w:val="009C4A60"/>
    <w:rsid w:val="009C4BCA"/>
    <w:rsid w:val="009C7384"/>
    <w:rsid w:val="009C786B"/>
    <w:rsid w:val="009D3026"/>
    <w:rsid w:val="009D6C95"/>
    <w:rsid w:val="009D79DA"/>
    <w:rsid w:val="009E0C1A"/>
    <w:rsid w:val="009E195B"/>
    <w:rsid w:val="009E2CB2"/>
    <w:rsid w:val="009E3BD5"/>
    <w:rsid w:val="009E3D59"/>
    <w:rsid w:val="009E5729"/>
    <w:rsid w:val="009E7C83"/>
    <w:rsid w:val="009F7492"/>
    <w:rsid w:val="009F77E7"/>
    <w:rsid w:val="00A10B3D"/>
    <w:rsid w:val="00A114D5"/>
    <w:rsid w:val="00A15417"/>
    <w:rsid w:val="00A22463"/>
    <w:rsid w:val="00A2262E"/>
    <w:rsid w:val="00A24E29"/>
    <w:rsid w:val="00A27E49"/>
    <w:rsid w:val="00A313CA"/>
    <w:rsid w:val="00A32388"/>
    <w:rsid w:val="00A35AA9"/>
    <w:rsid w:val="00A35E26"/>
    <w:rsid w:val="00A373F7"/>
    <w:rsid w:val="00A374BD"/>
    <w:rsid w:val="00A4235C"/>
    <w:rsid w:val="00A5234A"/>
    <w:rsid w:val="00A556A5"/>
    <w:rsid w:val="00A55F9E"/>
    <w:rsid w:val="00A60176"/>
    <w:rsid w:val="00A611E3"/>
    <w:rsid w:val="00A62C9E"/>
    <w:rsid w:val="00A7087D"/>
    <w:rsid w:val="00A76E70"/>
    <w:rsid w:val="00A77E31"/>
    <w:rsid w:val="00A82104"/>
    <w:rsid w:val="00A83347"/>
    <w:rsid w:val="00A862D8"/>
    <w:rsid w:val="00A95A04"/>
    <w:rsid w:val="00AA1698"/>
    <w:rsid w:val="00AA288E"/>
    <w:rsid w:val="00AA3958"/>
    <w:rsid w:val="00AA5479"/>
    <w:rsid w:val="00AA6566"/>
    <w:rsid w:val="00AA742F"/>
    <w:rsid w:val="00AB67E0"/>
    <w:rsid w:val="00AC099B"/>
    <w:rsid w:val="00AC3318"/>
    <w:rsid w:val="00AC47BE"/>
    <w:rsid w:val="00AC5346"/>
    <w:rsid w:val="00AC78B2"/>
    <w:rsid w:val="00AD29F8"/>
    <w:rsid w:val="00AD33C0"/>
    <w:rsid w:val="00AD70C3"/>
    <w:rsid w:val="00AE0997"/>
    <w:rsid w:val="00AE2788"/>
    <w:rsid w:val="00AE3EB2"/>
    <w:rsid w:val="00AF0F89"/>
    <w:rsid w:val="00AF6D52"/>
    <w:rsid w:val="00B00ABF"/>
    <w:rsid w:val="00B065A0"/>
    <w:rsid w:val="00B074EE"/>
    <w:rsid w:val="00B07788"/>
    <w:rsid w:val="00B11F14"/>
    <w:rsid w:val="00B136EE"/>
    <w:rsid w:val="00B171C4"/>
    <w:rsid w:val="00B20D22"/>
    <w:rsid w:val="00B21209"/>
    <w:rsid w:val="00B2154A"/>
    <w:rsid w:val="00B21C2D"/>
    <w:rsid w:val="00B22DCF"/>
    <w:rsid w:val="00B23FE2"/>
    <w:rsid w:val="00B248FA"/>
    <w:rsid w:val="00B27598"/>
    <w:rsid w:val="00B362FD"/>
    <w:rsid w:val="00B415E3"/>
    <w:rsid w:val="00B41BEA"/>
    <w:rsid w:val="00B41C42"/>
    <w:rsid w:val="00B44297"/>
    <w:rsid w:val="00B450C1"/>
    <w:rsid w:val="00B47BAA"/>
    <w:rsid w:val="00B47CE8"/>
    <w:rsid w:val="00B60F89"/>
    <w:rsid w:val="00B616F1"/>
    <w:rsid w:val="00B623B4"/>
    <w:rsid w:val="00B63E9F"/>
    <w:rsid w:val="00B72FFC"/>
    <w:rsid w:val="00B76999"/>
    <w:rsid w:val="00B80D1B"/>
    <w:rsid w:val="00B83B46"/>
    <w:rsid w:val="00B84C01"/>
    <w:rsid w:val="00B85D6C"/>
    <w:rsid w:val="00B87586"/>
    <w:rsid w:val="00B91F54"/>
    <w:rsid w:val="00B92B06"/>
    <w:rsid w:val="00B93990"/>
    <w:rsid w:val="00B97A84"/>
    <w:rsid w:val="00BA1185"/>
    <w:rsid w:val="00BA310C"/>
    <w:rsid w:val="00BA3C3C"/>
    <w:rsid w:val="00BA674E"/>
    <w:rsid w:val="00BB4FE8"/>
    <w:rsid w:val="00BB58E7"/>
    <w:rsid w:val="00BC2389"/>
    <w:rsid w:val="00BC2699"/>
    <w:rsid w:val="00BC4EC9"/>
    <w:rsid w:val="00BC62AD"/>
    <w:rsid w:val="00BC7424"/>
    <w:rsid w:val="00BC74A5"/>
    <w:rsid w:val="00BC78EC"/>
    <w:rsid w:val="00BD38B3"/>
    <w:rsid w:val="00BD5A10"/>
    <w:rsid w:val="00BE137F"/>
    <w:rsid w:val="00BE1DB1"/>
    <w:rsid w:val="00BE3A0D"/>
    <w:rsid w:val="00BE7D51"/>
    <w:rsid w:val="00BF0904"/>
    <w:rsid w:val="00BF17AF"/>
    <w:rsid w:val="00BF37D8"/>
    <w:rsid w:val="00BF51CF"/>
    <w:rsid w:val="00BF6AC4"/>
    <w:rsid w:val="00C01C87"/>
    <w:rsid w:val="00C06351"/>
    <w:rsid w:val="00C06B13"/>
    <w:rsid w:val="00C101AE"/>
    <w:rsid w:val="00C14EC8"/>
    <w:rsid w:val="00C178FE"/>
    <w:rsid w:val="00C2338E"/>
    <w:rsid w:val="00C2737F"/>
    <w:rsid w:val="00C33E2C"/>
    <w:rsid w:val="00C34F90"/>
    <w:rsid w:val="00C424FB"/>
    <w:rsid w:val="00C42897"/>
    <w:rsid w:val="00C42D19"/>
    <w:rsid w:val="00C45DC6"/>
    <w:rsid w:val="00C537EE"/>
    <w:rsid w:val="00C53B19"/>
    <w:rsid w:val="00C5795B"/>
    <w:rsid w:val="00C67B3A"/>
    <w:rsid w:val="00C71327"/>
    <w:rsid w:val="00C733C4"/>
    <w:rsid w:val="00C803A6"/>
    <w:rsid w:val="00C82D94"/>
    <w:rsid w:val="00C83417"/>
    <w:rsid w:val="00C87228"/>
    <w:rsid w:val="00C913DE"/>
    <w:rsid w:val="00C926EE"/>
    <w:rsid w:val="00C93AD7"/>
    <w:rsid w:val="00C94B3E"/>
    <w:rsid w:val="00C95E6F"/>
    <w:rsid w:val="00C964EA"/>
    <w:rsid w:val="00C96ABB"/>
    <w:rsid w:val="00CA30FD"/>
    <w:rsid w:val="00CA536E"/>
    <w:rsid w:val="00CA5613"/>
    <w:rsid w:val="00CA614E"/>
    <w:rsid w:val="00CB31C3"/>
    <w:rsid w:val="00CB5F72"/>
    <w:rsid w:val="00CB71E4"/>
    <w:rsid w:val="00CC5357"/>
    <w:rsid w:val="00CC7DF9"/>
    <w:rsid w:val="00CD3A14"/>
    <w:rsid w:val="00CD5F43"/>
    <w:rsid w:val="00CD6B24"/>
    <w:rsid w:val="00CE4383"/>
    <w:rsid w:val="00D00721"/>
    <w:rsid w:val="00D0293A"/>
    <w:rsid w:val="00D02CA1"/>
    <w:rsid w:val="00D02E70"/>
    <w:rsid w:val="00D040AE"/>
    <w:rsid w:val="00D04ACB"/>
    <w:rsid w:val="00D0564A"/>
    <w:rsid w:val="00D05E5D"/>
    <w:rsid w:val="00D05E79"/>
    <w:rsid w:val="00D07322"/>
    <w:rsid w:val="00D0763C"/>
    <w:rsid w:val="00D07974"/>
    <w:rsid w:val="00D10DF7"/>
    <w:rsid w:val="00D116EF"/>
    <w:rsid w:val="00D1279B"/>
    <w:rsid w:val="00D20FD7"/>
    <w:rsid w:val="00D223BE"/>
    <w:rsid w:val="00D2484C"/>
    <w:rsid w:val="00D3026D"/>
    <w:rsid w:val="00D31B51"/>
    <w:rsid w:val="00D357B8"/>
    <w:rsid w:val="00D42D15"/>
    <w:rsid w:val="00D42ED6"/>
    <w:rsid w:val="00D435F5"/>
    <w:rsid w:val="00D445FE"/>
    <w:rsid w:val="00D446AC"/>
    <w:rsid w:val="00D479AC"/>
    <w:rsid w:val="00D47E0E"/>
    <w:rsid w:val="00D52281"/>
    <w:rsid w:val="00D53122"/>
    <w:rsid w:val="00D572C6"/>
    <w:rsid w:val="00D64556"/>
    <w:rsid w:val="00D747AB"/>
    <w:rsid w:val="00D81079"/>
    <w:rsid w:val="00D85085"/>
    <w:rsid w:val="00D93812"/>
    <w:rsid w:val="00D940FC"/>
    <w:rsid w:val="00D95138"/>
    <w:rsid w:val="00D9584D"/>
    <w:rsid w:val="00D97CA1"/>
    <w:rsid w:val="00DA0898"/>
    <w:rsid w:val="00DA08A3"/>
    <w:rsid w:val="00DB1F90"/>
    <w:rsid w:val="00DB6D5F"/>
    <w:rsid w:val="00DB76D3"/>
    <w:rsid w:val="00DB7993"/>
    <w:rsid w:val="00DC0EBD"/>
    <w:rsid w:val="00DC1653"/>
    <w:rsid w:val="00DC3F89"/>
    <w:rsid w:val="00DD06A9"/>
    <w:rsid w:val="00DE0D2B"/>
    <w:rsid w:val="00DE0E05"/>
    <w:rsid w:val="00DE512A"/>
    <w:rsid w:val="00DF22C7"/>
    <w:rsid w:val="00DF5052"/>
    <w:rsid w:val="00DF612E"/>
    <w:rsid w:val="00E014DC"/>
    <w:rsid w:val="00E04A3B"/>
    <w:rsid w:val="00E04D3B"/>
    <w:rsid w:val="00E062EF"/>
    <w:rsid w:val="00E07356"/>
    <w:rsid w:val="00E12566"/>
    <w:rsid w:val="00E13DDE"/>
    <w:rsid w:val="00E219BA"/>
    <w:rsid w:val="00E222AE"/>
    <w:rsid w:val="00E22880"/>
    <w:rsid w:val="00E27881"/>
    <w:rsid w:val="00E304A9"/>
    <w:rsid w:val="00E30570"/>
    <w:rsid w:val="00E32B1C"/>
    <w:rsid w:val="00E32CAC"/>
    <w:rsid w:val="00E33DBE"/>
    <w:rsid w:val="00E40685"/>
    <w:rsid w:val="00E448B3"/>
    <w:rsid w:val="00E51651"/>
    <w:rsid w:val="00E5374F"/>
    <w:rsid w:val="00E60A50"/>
    <w:rsid w:val="00E62966"/>
    <w:rsid w:val="00E66926"/>
    <w:rsid w:val="00E6703A"/>
    <w:rsid w:val="00E67939"/>
    <w:rsid w:val="00E70C3A"/>
    <w:rsid w:val="00E723D8"/>
    <w:rsid w:val="00E73B52"/>
    <w:rsid w:val="00E75A6E"/>
    <w:rsid w:val="00E77C56"/>
    <w:rsid w:val="00E86271"/>
    <w:rsid w:val="00E91C85"/>
    <w:rsid w:val="00E9401A"/>
    <w:rsid w:val="00E94A8D"/>
    <w:rsid w:val="00EA11CD"/>
    <w:rsid w:val="00EA3685"/>
    <w:rsid w:val="00EA4006"/>
    <w:rsid w:val="00EA6D57"/>
    <w:rsid w:val="00EA795B"/>
    <w:rsid w:val="00EB0221"/>
    <w:rsid w:val="00EB1098"/>
    <w:rsid w:val="00EB2C19"/>
    <w:rsid w:val="00EB49F6"/>
    <w:rsid w:val="00EC028E"/>
    <w:rsid w:val="00EC1949"/>
    <w:rsid w:val="00EC3934"/>
    <w:rsid w:val="00EC7A53"/>
    <w:rsid w:val="00ED39DA"/>
    <w:rsid w:val="00ED7514"/>
    <w:rsid w:val="00ED75DF"/>
    <w:rsid w:val="00EE2BF1"/>
    <w:rsid w:val="00EE3BA4"/>
    <w:rsid w:val="00EF147F"/>
    <w:rsid w:val="00EF39A6"/>
    <w:rsid w:val="00F00C3F"/>
    <w:rsid w:val="00F05E23"/>
    <w:rsid w:val="00F0605A"/>
    <w:rsid w:val="00F07905"/>
    <w:rsid w:val="00F155EE"/>
    <w:rsid w:val="00F17366"/>
    <w:rsid w:val="00F201E9"/>
    <w:rsid w:val="00F2066E"/>
    <w:rsid w:val="00F22477"/>
    <w:rsid w:val="00F22644"/>
    <w:rsid w:val="00F260B1"/>
    <w:rsid w:val="00F260DF"/>
    <w:rsid w:val="00F26793"/>
    <w:rsid w:val="00F26A6A"/>
    <w:rsid w:val="00F3006D"/>
    <w:rsid w:val="00F34218"/>
    <w:rsid w:val="00F45D85"/>
    <w:rsid w:val="00F46233"/>
    <w:rsid w:val="00F577B9"/>
    <w:rsid w:val="00F64823"/>
    <w:rsid w:val="00F64A1A"/>
    <w:rsid w:val="00F64E8D"/>
    <w:rsid w:val="00F65F99"/>
    <w:rsid w:val="00F6639A"/>
    <w:rsid w:val="00F700BD"/>
    <w:rsid w:val="00F705ED"/>
    <w:rsid w:val="00F731D7"/>
    <w:rsid w:val="00F80722"/>
    <w:rsid w:val="00F85858"/>
    <w:rsid w:val="00F902C9"/>
    <w:rsid w:val="00F9072D"/>
    <w:rsid w:val="00F929DE"/>
    <w:rsid w:val="00FA21CF"/>
    <w:rsid w:val="00FA24D0"/>
    <w:rsid w:val="00FA66A4"/>
    <w:rsid w:val="00FA6E1F"/>
    <w:rsid w:val="00FB23ED"/>
    <w:rsid w:val="00FB787D"/>
    <w:rsid w:val="00FC030A"/>
    <w:rsid w:val="00FC098F"/>
    <w:rsid w:val="00FC7313"/>
    <w:rsid w:val="00FD1ED8"/>
    <w:rsid w:val="00FD3316"/>
    <w:rsid w:val="00FD4685"/>
    <w:rsid w:val="00FD7499"/>
    <w:rsid w:val="00FE1B3E"/>
    <w:rsid w:val="00FE4698"/>
    <w:rsid w:val="00FE4C4B"/>
    <w:rsid w:val="00FE65F3"/>
    <w:rsid w:val="00FE6B7F"/>
    <w:rsid w:val="00FE7B92"/>
    <w:rsid w:val="00FF1321"/>
    <w:rsid w:val="00FF2F00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613C6"/>
  <w15:docId w15:val="{7532CA82-10CC-C046-A33C-1C3FDF93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eading 3 (B-level heading)"/>
    <w:basedOn w:val="Normal"/>
    <w:next w:val="BodyText"/>
    <w:link w:val="Heading3Char"/>
    <w:qFormat/>
    <w:rsid w:val="00020223"/>
    <w:pPr>
      <w:keepNext/>
      <w:keepLines/>
      <w:suppressAutoHyphens/>
      <w:spacing w:before="560" w:after="120" w:line="360" w:lineRule="exact"/>
      <w:outlineLvl w:val="2"/>
    </w:pPr>
    <w:rPr>
      <w:rFonts w:ascii="Lato" w:eastAsia="Times New Roman" w:hAnsi="Lato" w:cs="Mangal"/>
      <w:b/>
      <w:color w:val="000000" w:themeColor="text1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5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B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CA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4226A"/>
  </w:style>
  <w:style w:type="paragraph" w:styleId="FootnoteText">
    <w:name w:val="footnote text"/>
    <w:basedOn w:val="Normal"/>
    <w:link w:val="FootnoteTextChar"/>
    <w:uiPriority w:val="99"/>
    <w:unhideWhenUsed/>
    <w:rsid w:val="00E13DDE"/>
    <w:rPr>
      <w:rFonts w:ascii="Times New Roman" w:eastAsiaTheme="minorEastAsia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3DDE"/>
    <w:rPr>
      <w:rFonts w:ascii="Times New Roman" w:eastAsiaTheme="minorEastAsia" w:hAnsi="Times New Roman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E13DD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310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092AE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92A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092AE0"/>
    <w:rPr>
      <w:vertAlign w:val="superscript"/>
    </w:rPr>
  </w:style>
  <w:style w:type="character" w:customStyle="1" w:styleId="field-content">
    <w:name w:val="field-content"/>
    <w:basedOn w:val="DefaultParagraphFont"/>
    <w:rsid w:val="00A32388"/>
  </w:style>
  <w:style w:type="character" w:styleId="FollowedHyperlink">
    <w:name w:val="FollowedHyperlink"/>
    <w:basedOn w:val="DefaultParagraphFont"/>
    <w:uiPriority w:val="99"/>
    <w:semiHidden/>
    <w:unhideWhenUsed/>
    <w:rsid w:val="00027E3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7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aliases w:val="Heading 3 (B-level heading) Char"/>
    <w:basedOn w:val="DefaultParagraphFont"/>
    <w:link w:val="Heading3"/>
    <w:rsid w:val="00020223"/>
    <w:rPr>
      <w:rFonts w:ascii="Lato" w:eastAsia="Times New Roman" w:hAnsi="Lato" w:cs="Mangal"/>
      <w:b/>
      <w:color w:val="000000" w:themeColor="text1"/>
      <w:szCs w:val="22"/>
      <w:lang w:eastAsia="zh-CN" w:bidi="hi-IN"/>
    </w:rPr>
  </w:style>
  <w:style w:type="paragraph" w:styleId="BodyText">
    <w:name w:val="Body Text"/>
    <w:basedOn w:val="Normal"/>
    <w:link w:val="BodyTextChar"/>
    <w:unhideWhenUsed/>
    <w:qFormat/>
    <w:rsid w:val="0002022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20223"/>
  </w:style>
  <w:style w:type="paragraph" w:styleId="BodyTextFirstIndent">
    <w:name w:val="Body Text First Indent"/>
    <w:basedOn w:val="Normal"/>
    <w:link w:val="BodyTextFirstIndentChar"/>
    <w:qFormat/>
    <w:rsid w:val="00020223"/>
    <w:pPr>
      <w:spacing w:before="180" w:after="180" w:line="360" w:lineRule="exact"/>
      <w:ind w:firstLine="360"/>
    </w:pPr>
    <w:rPr>
      <w:rFonts w:ascii="Lato" w:hAnsi="Lato"/>
      <w:sz w:val="20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020223"/>
    <w:rPr>
      <w:rFonts w:ascii="Lato" w:hAnsi="Lato"/>
      <w:sz w:val="20"/>
      <w:szCs w:val="20"/>
    </w:rPr>
  </w:style>
  <w:style w:type="character" w:customStyle="1" w:styleId="e24kjd">
    <w:name w:val="e24kjd"/>
    <w:basedOn w:val="DefaultParagraphFont"/>
    <w:rsid w:val="00365C56"/>
  </w:style>
  <w:style w:type="character" w:styleId="CommentReference">
    <w:name w:val="annotation reference"/>
    <w:basedOn w:val="DefaultParagraphFont"/>
    <w:uiPriority w:val="99"/>
    <w:semiHidden/>
    <w:unhideWhenUsed/>
    <w:rsid w:val="00365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C56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C56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7C83"/>
    <w:rPr>
      <w:i/>
      <w:iCs/>
    </w:rPr>
  </w:style>
  <w:style w:type="character" w:styleId="Strong">
    <w:name w:val="Strong"/>
    <w:basedOn w:val="DefaultParagraphFont"/>
    <w:uiPriority w:val="22"/>
    <w:qFormat/>
    <w:rsid w:val="009E7C8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52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91F"/>
  </w:style>
  <w:style w:type="character" w:styleId="PageNumber">
    <w:name w:val="page number"/>
    <w:basedOn w:val="DefaultParagraphFont"/>
    <w:uiPriority w:val="99"/>
    <w:semiHidden/>
    <w:unhideWhenUsed/>
    <w:rsid w:val="003529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383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3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4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E8D"/>
  </w:style>
  <w:style w:type="paragraph" w:styleId="Revision">
    <w:name w:val="Revision"/>
    <w:hidden/>
    <w:uiPriority w:val="99"/>
    <w:semiHidden/>
    <w:rsid w:val="007D6435"/>
  </w:style>
  <w:style w:type="paragraph" w:customStyle="1" w:styleId="BodyA">
    <w:name w:val="Body A"/>
    <w:rsid w:val="006678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character" w:customStyle="1" w:styleId="markedcontent">
    <w:name w:val="markedcontent"/>
    <w:basedOn w:val="DefaultParagraphFont"/>
    <w:rsid w:val="0011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55</Pages>
  <Words>13244</Words>
  <Characters>75492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Soskis</dc:creator>
  <cp:keywords/>
  <dc:description/>
  <cp:lastModifiedBy>Senthil PS</cp:lastModifiedBy>
  <cp:revision>16</cp:revision>
  <dcterms:created xsi:type="dcterms:W3CDTF">2022-01-06T19:54:00Z</dcterms:created>
  <dcterms:modified xsi:type="dcterms:W3CDTF">2022-11-14T14:44:00Z</dcterms:modified>
</cp:coreProperties>
</file>