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6"/>
        </w:rPr>
        <w:t>AML CASE STUDY:</w:t>
        <w:br/>
        <w:t>HIGH-RISK GEOGRAPHIES</w:t>
      </w:r>
    </w:p>
    <w:p/>
    <w:p>
      <w:pPr>
        <w:jc w:val="center"/>
      </w:pPr>
      <w:r>
        <w:rPr>
          <w:sz w:val="28"/>
        </w:rPr>
        <w:t>Comprehensive Analysis of Anti-Money Laundering</w:t>
        <w:br/>
        <w:t>Risks and Mitigation Strategies</w:t>
      </w:r>
    </w:p>
    <w:p/>
    <w:p/>
    <w:p>
      <w:pPr>
        <w:jc w:val="center"/>
      </w:pPr>
      <w:r>
        <w:t>Prepared: October 11, 2026</w:t>
        <w:br/>
      </w:r>
      <w:r>
        <w:t>Confidential - Internal Use Only</w:t>
        <w:br/>
      </w:r>
      <w:r>
        <w:t>Financial Crime Compliance Division</w:t>
      </w:r>
    </w:p>
    <w:p>
      <w:r>
        <w:br w:type="page"/>
      </w:r>
    </w:p>
    <w:p>
      <w:pPr>
        <w:pStyle w:val="Heading1"/>
      </w:pPr>
      <w:r>
        <w:t>1. EXECUTIVE SUMMARY</w:t>
      </w:r>
    </w:p>
    <w:p>
      <w:r>
        <w:t>This comprehensive case study examines anti-money laundering (AML) risks in four geographically distinct high-risk regions: North Africa, Eastern Europe, Southeast Asia, and the Middle East. Our analysis covers a transaction volume of $16.6 billion annually, with 247 documented alert cases and 34 ongoing investigations across multiple jurisdictions.</w:t>
      </w:r>
    </w:p>
    <w:p>
      <w:r>
        <w:t>Key findings indicate elevated systemic risks in trade-based money laundering, sanctions evasion, and informal value transfer systems. Regulatory frameworks show significant gaps in correspondent banking oversight and beneficial ownership identification.</w:t>
      </w:r>
    </w:p>
    <w:p>
      <w:pPr>
        <w:pStyle w:val="Heading2"/>
      </w:pPr>
      <w:r>
        <w:t>1.1 Key Statistics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Annual Transaction Volume</w:t>
            </w:r>
          </w:p>
        </w:tc>
        <w:tc>
          <w:tcPr>
            <w:tcW w:type="dxa" w:w="4320"/>
          </w:tcPr>
          <w:p>
            <w:r>
              <w:t>$16.6 Billion</w:t>
            </w:r>
          </w:p>
        </w:tc>
      </w:tr>
      <w:tr>
        <w:tc>
          <w:tcPr>
            <w:tcW w:type="dxa" w:w="4320"/>
          </w:tcPr>
          <w:p>
            <w:r>
              <w:t>Alert Cases Identified</w:t>
            </w:r>
          </w:p>
        </w:tc>
        <w:tc>
          <w:tcPr>
            <w:tcW w:type="dxa" w:w="4320"/>
          </w:tcPr>
          <w:p>
            <w:r>
              <w:t>247</w:t>
            </w:r>
          </w:p>
        </w:tc>
      </w:tr>
      <w:tr>
        <w:tc>
          <w:tcPr>
            <w:tcW w:type="dxa" w:w="4320"/>
          </w:tcPr>
          <w:p>
            <w:r>
              <w:t>Active Investigations</w:t>
            </w:r>
          </w:p>
        </w:tc>
        <w:tc>
          <w:tcPr>
            <w:tcW w:type="dxa" w:w="4320"/>
          </w:tcPr>
          <w:p>
            <w:r>
              <w:t>34</w:t>
            </w:r>
          </w:p>
        </w:tc>
      </w:tr>
      <w:tr>
        <w:tc>
          <w:tcPr>
            <w:tcW w:type="dxa" w:w="4320"/>
          </w:tcPr>
          <w:p>
            <w:r>
              <w:t>Geographic Regions Covered</w:t>
            </w:r>
          </w:p>
        </w:tc>
        <w:tc>
          <w:tcPr>
            <w:tcW w:type="dxa" w:w="4320"/>
          </w:tcPr>
          <w:p>
            <w:r>
              <w:t>4</w:t>
            </w:r>
          </w:p>
        </w:tc>
      </w:tr>
      <w:tr>
        <w:tc>
          <w:tcPr>
            <w:tcW w:type="dxa" w:w="4320"/>
          </w:tcPr>
          <w:p>
            <w:r>
              <w:t>Compliance Gaps Identified</w:t>
            </w:r>
          </w:p>
        </w:tc>
        <w:tc>
          <w:tcPr>
            <w:tcW w:type="dxa" w:w="4320"/>
          </w:tcPr>
          <w:p>
            <w:r>
              <w:t>28</w:t>
            </w:r>
          </w:p>
        </w:tc>
      </w:tr>
    </w:tbl>
    <w:p>
      <w:r>
        <w:br w:type="page"/>
      </w:r>
    </w:p>
    <w:p>
      <w:pPr>
        <w:pStyle w:val="Heading1"/>
      </w:pPr>
      <w:r>
        <w:t>2. INTRODUCTION</w:t>
      </w:r>
    </w:p>
    <w:p>
      <w:r>
        <w:t>Money laundering represents a critical threat to global financial integrity. The Financial Action Task Force (FATF) estimates that between 2-5% of global GDP (approximately $800 billion to $2 trillion annually) is laundered through the financial system.</w:t>
      </w:r>
    </w:p>
    <w:p>
      <w:pPr>
        <w:pStyle w:val="ListBullet"/>
      </w:pPr>
      <w:r>
        <w:t>High-risk geographies present unique challenges due to:</w:t>
      </w:r>
    </w:p>
    <w:p>
      <w:pPr>
        <w:pStyle w:val="ListBullet"/>
      </w:pPr>
      <w:r>
        <w:t>Weak regulatory frameworks and enforcement mechanisms</w:t>
      </w:r>
    </w:p>
    <w:p>
      <w:pPr>
        <w:pStyle w:val="ListBullet"/>
      </w:pPr>
      <w:r>
        <w:t>Political instability and governance challenges</w:t>
      </w:r>
    </w:p>
    <w:p>
      <w:pPr>
        <w:pStyle w:val="ListBullet"/>
      </w:pPr>
      <w:r>
        <w:t>High levels of informal and cash-based economies</w:t>
      </w:r>
    </w:p>
    <w:p>
      <w:pPr>
        <w:pStyle w:val="ListBullet"/>
      </w:pPr>
      <w:r>
        <w:t>Proximity to conflict zones and sanctions jurisdictions</w:t>
      </w:r>
    </w:p>
    <w:p>
      <w:pPr>
        <w:pStyle w:val="ListBullet"/>
      </w:pPr>
      <w:r>
        <w:t>Significant illicit drug trafficking and organized crime activity</w:t>
      </w:r>
    </w:p>
    <w:p>
      <w:pPr>
        <w:pStyle w:val="ListBullet"/>
      </w:pPr>
      <w:r>
        <w:t>Complex cross-border trade relationships</w:t>
      </w:r>
    </w:p>
    <w:p>
      <w:r>
        <w:t>This case study provides financial institutions with actionable intelligence for risk assessment, compliance enhancement, and regulatory reporting in affected jurisdictions.</w:t>
      </w:r>
    </w:p>
    <w:p>
      <w:r>
        <w:br w:type="page"/>
      </w:r>
    </w:p>
    <w:p>
      <w:pPr>
        <w:pStyle w:val="Heading1"/>
      </w:pPr>
      <w:r>
        <w:t>3. GEOGRAPHIC RISK ASSESSMENT</w:t>
      </w:r>
    </w:p>
    <w:p>
      <w:pPr>
        <w:pStyle w:val="Heading2"/>
      </w:pPr>
      <w:r>
        <w:t>3.1 North Africa - Critical Risk</w:t>
      </w:r>
    </w:p>
    <w:p>
      <w:r>
        <w:t>Region Overview: North Africa encompasses Morocco, Algeria, Tunisia, Libya, and Egypt. This region has become increasingly important for trade-based money laundering schemes due to significant maritime shipping routes and port infrastructure.</w:t>
      </w:r>
    </w:p>
    <w:p>
      <w:pPr>
        <w:pStyle w:val="Heading3"/>
      </w:pPr>
      <w:r>
        <w:t>Risk Indicators:</w:t>
      </w:r>
    </w:p>
    <w:p>
      <w:pPr>
        <w:pStyle w:val="ListBullet"/>
      </w:pPr>
      <w:r>
        <w:t>Over-invoicing of import transactions: 85+ cases</w:t>
      </w:r>
    </w:p>
    <w:p>
      <w:pPr>
        <w:pStyle w:val="ListBullet"/>
      </w:pPr>
      <w:r>
        <w:t>Informal remittance systems (Hawala networks): $2.3 billion annually</w:t>
      </w:r>
    </w:p>
    <w:p>
      <w:pPr>
        <w:pStyle w:val="ListBullet"/>
      </w:pPr>
      <w:r>
        <w:t>Port-based smuggling: documented in 15+ ports</w:t>
      </w:r>
    </w:p>
    <w:p>
      <w:pPr>
        <w:pStyle w:val="ListBullet"/>
      </w:pPr>
      <w:r>
        <w:t>Sanctions evasion for Iranian entities: 23 cases</w:t>
      </w:r>
    </w:p>
    <w:p>
      <w:pPr>
        <w:pStyle w:val="ListBullet"/>
      </w:pPr>
      <w:r>
        <w:t>Bitcoin and cryptocurrency intermediaries: growing trend</w:t>
      </w:r>
    </w:p>
    <w:p>
      <w:pPr>
        <w:pStyle w:val="Heading3"/>
      </w:pPr>
      <w:r>
        <w:t>Case Example:</w:t>
      </w:r>
    </w:p>
    <w:p>
      <w:r>
        <w:t>Case NFA-2023-047: A major garment trading company based in Morocco was identified shipping goods valued at $1.2 million to Tunisia at an invoice price of $3.8 million. The over-invoicing margin of 217% was used to transfer illicit proceeds from narcotics trafficking. Investigation revealed connections to organized crime networks in the Rif Valley.</w:t>
      </w:r>
    </w:p>
    <w:p>
      <w:r>
        <w:br w:type="page"/>
      </w:r>
    </w:p>
    <w:p>
      <w:pPr>
        <w:pStyle w:val="Heading2"/>
      </w:pPr>
      <w:r>
        <w:t>3.2 Eastern Europe - High Risk</w:t>
      </w:r>
    </w:p>
    <w:p>
      <w:r>
        <w:t>Region Overview: Eastern Europe includes Poland, Ukraine, Romania, Bulgaria, and Serbia. This region serves as a critical transit point for money laundering related to corruption, organized crime, and sanctions evasion.</w:t>
      </w:r>
    </w:p>
    <w:p>
      <w:pPr>
        <w:pStyle w:val="Heading3"/>
      </w:pPr>
      <w:r>
        <w:t>Risk Indicators:</w:t>
      </w:r>
    </w:p>
    <w:p>
      <w:pPr>
        <w:pStyle w:val="ListBullet"/>
      </w:pPr>
      <w:r>
        <w:t>Stolen asset recovery and political corruption: 56 cases</w:t>
      </w:r>
    </w:p>
    <w:p>
      <w:pPr>
        <w:pStyle w:val="ListBullet"/>
      </w:pPr>
      <w:r>
        <w:t>Energy sector payments for fake services: $890 million traced</w:t>
      </w:r>
    </w:p>
    <w:p>
      <w:pPr>
        <w:pStyle w:val="ListBullet"/>
      </w:pPr>
      <w:r>
        <w:t>Banking secrecy and shell company formation: 102+ entities</w:t>
      </w:r>
    </w:p>
    <w:p>
      <w:pPr>
        <w:pStyle w:val="ListBullet"/>
      </w:pPr>
      <w:r>
        <w:t>Informal cash smuggling: estimated $1.2 billion annually</w:t>
      </w:r>
    </w:p>
    <w:p>
      <w:pPr>
        <w:pStyle w:val="ListBullet"/>
      </w:pPr>
      <w:r>
        <w:t>Cryptocurrency exchanges with weak KYC: 34 platforms identified</w:t>
      </w:r>
    </w:p>
    <w:p>
      <w:pPr>
        <w:pStyle w:val="Heading3"/>
      </w:pPr>
      <w:r>
        <w:t>Case Example:</w:t>
      </w:r>
    </w:p>
    <w:p>
      <w:r>
        <w:t>Case EE-2023-089: Ukrainian government officials diverted $156 million in public procurement contracts through a network of shell companies registered in Latvia and Cyprus. Funds were subsequently moved through banks in Poland and Bulgaria before reaching real estate investments in London and Miami.</w:t>
      </w:r>
    </w:p>
    <w:p>
      <w:r>
        <w:br w:type="page"/>
      </w:r>
    </w:p>
    <w:p>
      <w:pPr>
        <w:pStyle w:val="Heading2"/>
      </w:pPr>
      <w:r>
        <w:t>3.3 Southeast Asia - High Risk</w:t>
      </w:r>
    </w:p>
    <w:p>
      <w:r>
        <w:t>Region Overview: Southeast Asia comprises Thailand, Vietnam, Cambodia, Laos, and Myanmar. This region faces severe challenges from drug trafficking, human trafficking, and illicit wildlife trade, requiring enhanced financial monitoring.</w:t>
      </w:r>
    </w:p>
    <w:p>
      <w:pPr>
        <w:pStyle w:val="Heading3"/>
      </w:pPr>
      <w:r>
        <w:t>Risk Indicators:</w:t>
      </w:r>
    </w:p>
    <w:p>
      <w:pPr>
        <w:pStyle w:val="ListBullet"/>
      </w:pPr>
      <w:r>
        <w:t>Synthetic drug manufacturing proceeds: $3.2 billion annually</w:t>
      </w:r>
    </w:p>
    <w:p>
      <w:pPr>
        <w:pStyle w:val="ListBullet"/>
      </w:pPr>
      <w:r>
        <w:t>Gem and jewelry smuggling networks: 67 cases</w:t>
      </w:r>
    </w:p>
    <w:p>
      <w:pPr>
        <w:pStyle w:val="ListBullet"/>
      </w:pPr>
      <w:r>
        <w:t>Online gambling and illegal betting: $2.1 billion in proceeds</w:t>
      </w:r>
    </w:p>
    <w:p>
      <w:pPr>
        <w:pStyle w:val="ListBullet"/>
      </w:pPr>
      <w:r>
        <w:t>Human trafficking financial flows: $780 million traced</w:t>
      </w:r>
    </w:p>
    <w:p>
      <w:pPr>
        <w:pStyle w:val="ListBullet"/>
      </w:pPr>
      <w:r>
        <w:t>Illicit logging and timber trade: $456 million detected</w:t>
      </w:r>
    </w:p>
    <w:p>
      <w:pPr>
        <w:pStyle w:val="Heading3"/>
      </w:pPr>
      <w:r>
        <w:t>Case Example:</w:t>
      </w:r>
    </w:p>
    <w:p>
      <w:r>
        <w:t>Case SA-2023-156: A major methamphetamine trafficking organization based in Myanmar laundered $287 million through Thai jewelry businesses, Vietnamese export companies, and Cambodian casinos. The proceeds were ultimately used to purchase real estate and businesses in Singapore and Malaysia.</w:t>
      </w:r>
    </w:p>
    <w:p>
      <w:r>
        <w:br w:type="page"/>
      </w:r>
    </w:p>
    <w:p>
      <w:pPr>
        <w:pStyle w:val="Heading2"/>
      </w:pPr>
      <w:r>
        <w:t>3.4 Middle East - Critical Risk</w:t>
      </w:r>
    </w:p>
    <w:p>
      <w:r>
        <w:t>Region Overview: The Middle East, including Saudi Arabia, United Arab Emirates, Lebanon, and other GCC states, faces complex challenges including sanctions compliance, terrorism financing, and informal value transfer systems.</w:t>
      </w:r>
    </w:p>
    <w:p>
      <w:pPr>
        <w:pStyle w:val="Heading3"/>
      </w:pPr>
      <w:r>
        <w:t>Risk Indicators:</w:t>
      </w:r>
    </w:p>
    <w:p>
      <w:pPr>
        <w:pStyle w:val="ListBullet"/>
      </w:pPr>
      <w:r>
        <w:t>Sanctions evasion for designated jurisdictions: 78 cases</w:t>
      </w:r>
    </w:p>
    <w:p>
      <w:pPr>
        <w:pStyle w:val="ListBullet"/>
      </w:pPr>
      <w:r>
        <w:t>Terrorist financing through Hawala: $234 million identified</w:t>
      </w:r>
    </w:p>
    <w:p>
      <w:pPr>
        <w:pStyle w:val="ListBullet"/>
      </w:pPr>
      <w:r>
        <w:t>Trade-based ML in oil and gas sector: $1.8 billion</w:t>
      </w:r>
    </w:p>
    <w:p>
      <w:pPr>
        <w:pStyle w:val="ListBullet"/>
      </w:pPr>
      <w:r>
        <w:t>Real estate purchases with opaque beneficial owners: $2.3 billion</w:t>
      </w:r>
    </w:p>
    <w:p>
      <w:pPr>
        <w:pStyle w:val="ListBullet"/>
      </w:pPr>
      <w:r>
        <w:t>Islamic financing product manipulation: 45 schemes detected</w:t>
      </w:r>
    </w:p>
    <w:p>
      <w:pPr>
        <w:pStyle w:val="Heading3"/>
      </w:pPr>
      <w:r>
        <w:t>Case Example:</w:t>
      </w:r>
    </w:p>
    <w:p>
      <w:r>
        <w:t>Case ME-2023-203: Iranian entities evaded U.S. sanctions through a complex arrangement involving gold exports to UAE, subsequent reconversion to fiat currency, and wire transfers through Lebanese banks under the names of shell companies. Total value: $412 million over 18 months.</w:t>
      </w:r>
    </w:p>
    <w:p>
      <w:r>
        <w:br w:type="page"/>
      </w:r>
    </w:p>
    <w:p>
      <w:pPr>
        <w:pStyle w:val="Heading1"/>
      </w:pPr>
      <w:r>
        <w:t>4. INVESTIGATION PROCEDURES AND BEST PRACTICES</w:t>
      </w:r>
    </w:p>
    <w:p>
      <w:pPr>
        <w:pStyle w:val="Heading2"/>
      </w:pPr>
      <w:r>
        <w:t>4.1 Initial Screening and Alert Management</w:t>
      </w:r>
    </w:p>
    <w:p>
      <w:r>
        <w:t>Effective AML programs begin with robust transaction monitoring systems that generate meaningful alerts. Best practices include:</w:t>
      </w:r>
    </w:p>
    <w:p>
      <w:pPr>
        <w:pStyle w:val="ListBullet"/>
      </w:pPr>
      <w:r>
        <w:t>Multi-layered screening rules targeting geographic, customer, and transaction characteristics</w:t>
      </w:r>
    </w:p>
    <w:p>
      <w:pPr>
        <w:pStyle w:val="ListBullet"/>
      </w:pPr>
      <w:r>
        <w:t>Regular tuning of alert models to reduce false positives while maintaining detection sensitivity</w:t>
      </w:r>
    </w:p>
    <w:p>
      <w:pPr>
        <w:pStyle w:val="ListBullet"/>
      </w:pPr>
      <w:r>
        <w:t>Clear alert triage processes with documented decision rationale</w:t>
      </w:r>
    </w:p>
    <w:p>
      <w:pPr>
        <w:pStyle w:val="ListBullet"/>
      </w:pPr>
      <w:r>
        <w:t>Centralized case management systems with comprehensive audit trails</w:t>
      </w:r>
    </w:p>
    <w:p>
      <w:pPr>
        <w:pStyle w:val="Heading2"/>
      </w:pPr>
      <w:r>
        <w:t>4.2 Know Your Customer (KYC) Enhancement</w:t>
      </w:r>
    </w:p>
    <w:p>
      <w:r>
        <w:t>Enhanced due diligence is essential for customers in high-risk jurisdictions. Key elements include:</w:t>
      </w:r>
    </w:p>
    <w:p>
      <w:pPr>
        <w:pStyle w:val="ListBullet"/>
      </w:pPr>
      <w:r>
        <w:t>Comprehensive beneficial ownership identification and verification</w:t>
      </w:r>
    </w:p>
    <w:p>
      <w:pPr>
        <w:pStyle w:val="ListBullet"/>
      </w:pPr>
      <w:r>
        <w:t>Independent verification of customer identity documents and business registration</w:t>
      </w:r>
    </w:p>
    <w:p>
      <w:pPr>
        <w:pStyle w:val="ListBullet"/>
      </w:pPr>
      <w:r>
        <w:t>Detailed source of funds documentation and historical background checks</w:t>
      </w:r>
    </w:p>
    <w:p>
      <w:pPr>
        <w:pStyle w:val="ListBullet"/>
      </w:pPr>
      <w:r>
        <w:t>Ongoing monitoring of customer business activities and news developments</w:t>
      </w:r>
    </w:p>
    <w:p>
      <w:pPr>
        <w:pStyle w:val="ListBullet"/>
      </w:pPr>
      <w:r>
        <w:t>Enhanced review of high-risk products and transaction patterns</w:t>
      </w:r>
    </w:p>
    <w:p>
      <w:r>
        <w:br w:type="page"/>
      </w:r>
    </w:p>
    <w:p>
      <w:pPr>
        <w:pStyle w:val="Heading1"/>
      </w:pPr>
      <w:r>
        <w:t>5. REGULATORY FRAMEWORK ANALYSIS</w:t>
      </w:r>
    </w:p>
    <w:p>
      <w:pPr>
        <w:pStyle w:val="Heading2"/>
      </w:pPr>
      <w:r>
        <w:t>5.1 International AML Standards</w:t>
      </w:r>
    </w:p>
    <w:p>
      <w:r>
        <w:t>The Financial Action Task Force (FATF) provides the primary international framework through the 40 Recommendations and 9 Special Recommendations on Terrorist Financing. Key standards include:</w:t>
      </w:r>
    </w:p>
    <w:p>
      <w:pPr>
        <w:pStyle w:val="ListBullet"/>
      </w:pPr>
      <w:r>
        <w:t>Risk-based approach to AML/CFT compliance</w:t>
      </w:r>
    </w:p>
    <w:p>
      <w:pPr>
        <w:pStyle w:val="ListBullet"/>
      </w:pPr>
      <w:r>
        <w:t>Customer identification and beneficial ownership transparency</w:t>
      </w:r>
    </w:p>
    <w:p>
      <w:pPr>
        <w:pStyle w:val="ListBullet"/>
      </w:pPr>
      <w:r>
        <w:t>Suspicious activity reporting and financial intelligence sharing</w:t>
      </w:r>
    </w:p>
    <w:p>
      <w:pPr>
        <w:pStyle w:val="ListBullet"/>
      </w:pPr>
      <w:r>
        <w:t>De-risking and correspondent banking controls</w:t>
      </w:r>
    </w:p>
    <w:p>
      <w:pPr>
        <w:pStyle w:val="ListBullet"/>
      </w:pPr>
      <w:r>
        <w:t>Sanctions compliance and international cooperation</w:t>
      </w:r>
    </w:p>
    <w:p>
      <w:pPr>
        <w:pStyle w:val="Heading2"/>
      </w:pPr>
      <w:r>
        <w:t>5.2 Identified Regulatory Gaps</w:t>
      </w:r>
    </w:p>
    <w:p>
      <w:pPr>
        <w:pStyle w:val="ListBullet"/>
      </w:pPr>
      <w:r>
        <w:t xml:space="preserve">North Africa: </w:t>
      </w:r>
      <w:r>
        <w:rPr>
          <w:i/>
        </w:rPr>
        <w:t>Weak enforcement of correspondent banking due diligence; limited sanctions screening infrastructure</w:t>
      </w:r>
    </w:p>
    <w:p>
      <w:pPr>
        <w:pStyle w:val="ListBullet"/>
      </w:pPr>
      <w:r>
        <w:t xml:space="preserve">Eastern Europe: </w:t>
      </w:r>
      <w:r>
        <w:rPr>
          <w:i/>
        </w:rPr>
        <w:t>Beneficial ownership registries lack transparency; shell company formation remains inadequately controlled</w:t>
      </w:r>
    </w:p>
    <w:p>
      <w:pPr>
        <w:pStyle w:val="ListBullet"/>
      </w:pPr>
      <w:r>
        <w:t xml:space="preserve">Southeast Asia: </w:t>
      </w:r>
      <w:r>
        <w:rPr>
          <w:i/>
        </w:rPr>
        <w:t>Informal remittance sector largely unregulated; casino and gaming sector exemptions</w:t>
      </w:r>
    </w:p>
    <w:p>
      <w:pPr>
        <w:pStyle w:val="ListBullet"/>
      </w:pPr>
      <w:r>
        <w:t xml:space="preserve">Middle East: </w:t>
      </w:r>
      <w:r>
        <w:rPr>
          <w:i/>
        </w:rPr>
        <w:t>Hawala network oversight inadequate; Islamic finance products lack standardized AML controls</w:t>
      </w:r>
    </w:p>
    <w:p>
      <w:r>
        <w:br w:type="page"/>
      </w:r>
    </w:p>
    <w:p>
      <w:pPr>
        <w:pStyle w:val="Heading1"/>
      </w:pPr>
      <w:r>
        <w:t>6. RISK MITIGATION STRATEGIES</w:t>
      </w:r>
    </w:p>
    <w:p>
      <w:pPr>
        <w:pStyle w:val="Heading2"/>
      </w:pPr>
      <w:r>
        <w:t>6.1 Immediate Actions (0-3 months)</w:t>
      </w:r>
    </w:p>
    <w:p>
      <w:pPr>
        <w:pStyle w:val="ListBullet"/>
      </w:pPr>
      <w:r>
        <w:t>Implement enhanced screening for all new customers in high-risk jurisdictions</w:t>
      </w:r>
    </w:p>
    <w:p>
      <w:pPr>
        <w:pStyle w:val="ListBullet"/>
      </w:pPr>
      <w:r>
        <w:t>Review and upgrade transaction monitoring rule sets</w:t>
      </w:r>
    </w:p>
    <w:p>
      <w:pPr>
        <w:pStyle w:val="ListBullet"/>
      </w:pPr>
      <w:r>
        <w:t>Establish dedicated sanctions compliance team</w:t>
      </w:r>
    </w:p>
    <w:p>
      <w:pPr>
        <w:pStyle w:val="ListBullet"/>
      </w:pPr>
      <w:r>
        <w:t>Conduct internal audit of correspondent banking relationships</w:t>
      </w:r>
    </w:p>
    <w:p>
      <w:pPr>
        <w:pStyle w:val="ListBullet"/>
      </w:pPr>
      <w:r>
        <w:t>Deploy cryptocurrency transaction monitoring tools</w:t>
      </w:r>
    </w:p>
    <w:p>
      <w:pPr>
        <w:pStyle w:val="Heading2"/>
      </w:pPr>
      <w:r>
        <w:t>6.2 Medium-Term Initiatives (3-12 months)</w:t>
      </w:r>
    </w:p>
    <w:p>
      <w:pPr>
        <w:pStyle w:val="ListBullet"/>
      </w:pPr>
      <w:r>
        <w:t>Develop industry partnerships for shared intelligence on emerging threats</w:t>
      </w:r>
    </w:p>
    <w:p>
      <w:pPr>
        <w:pStyle w:val="ListBullet"/>
      </w:pPr>
      <w:r>
        <w:t>Implement advanced analytics and machine learning for pattern detection</w:t>
      </w:r>
    </w:p>
    <w:p>
      <w:pPr>
        <w:pStyle w:val="ListBullet"/>
      </w:pPr>
      <w:r>
        <w:t>Enhance beneficial ownership identification through third-party data providers</w:t>
      </w:r>
    </w:p>
    <w:p>
      <w:pPr>
        <w:pStyle w:val="ListBullet"/>
      </w:pPr>
      <w:r>
        <w:t>Establish regular training program for front-line staff</w:t>
      </w:r>
    </w:p>
    <w:p>
      <w:pPr>
        <w:pStyle w:val="ListBullet"/>
      </w:pPr>
      <w:r>
        <w:t>Expand coverage to include informal remittance monitoring</w:t>
      </w:r>
    </w:p>
    <w:p>
      <w:pPr>
        <w:pStyle w:val="Heading2"/>
      </w:pPr>
      <w:r>
        <w:t>6.3 Long-Term Strategic Initiatives (12+ months)</w:t>
      </w:r>
    </w:p>
    <w:p>
      <w:pPr>
        <w:pStyle w:val="ListBullet"/>
      </w:pPr>
      <w:r>
        <w:t>Develop comprehensive beneficial ownership transparency initiative</w:t>
      </w:r>
    </w:p>
    <w:p>
      <w:pPr>
        <w:pStyle w:val="ListBullet"/>
      </w:pPr>
      <w:r>
        <w:t>Establish real-time transaction screening and sanctions compliance</w:t>
      </w:r>
    </w:p>
    <w:p>
      <w:pPr>
        <w:pStyle w:val="ListBullet"/>
      </w:pPr>
      <w:r>
        <w:t>Build predictive analytics models for emerging money laundering trends</w:t>
      </w:r>
    </w:p>
    <w:p>
      <w:pPr>
        <w:pStyle w:val="ListBullet"/>
      </w:pPr>
      <w:r>
        <w:t>Create international information-sharing framework with regulators</w:t>
      </w:r>
    </w:p>
    <w:p>
      <w:pPr>
        <w:pStyle w:val="ListBullet"/>
      </w:pPr>
      <w:r>
        <w:t>Implement blockchain-based KYC and sanctions screening infrastructure</w:t>
      </w:r>
    </w:p>
    <w:p>
      <w:r>
        <w:br w:type="page"/>
      </w:r>
    </w:p>
    <w:p>
      <w:pPr>
        <w:pStyle w:val="Heading1"/>
      </w:pPr>
      <w:r>
        <w:t>7. COMPLIANCE FRAMEWORKS AND PROTOCOLS</w:t>
      </w:r>
    </w:p>
    <w:p>
      <w:pPr>
        <w:pStyle w:val="Heading2"/>
      </w:pPr>
      <w:r>
        <w:t>7.1 Sanctions Compliance Protocol</w:t>
      </w:r>
    </w:p>
    <w:p>
      <w:r>
        <w:t>Comprehensive sanctions compliance requires multi-layer screening:</w:t>
      </w:r>
    </w:p>
    <w:p>
      <w:r>
        <w:rPr>
          <w:b/>
        </w:rPr>
        <w:t xml:space="preserve">OFAC and UN Lists: </w:t>
      </w:r>
      <w:r>
        <w:t>Daily automated screening against U.S. Office of Foreign Assets Control designations and UN Security Council lists</w:t>
      </w:r>
    </w:p>
    <w:p>
      <w:r>
        <w:rPr>
          <w:b/>
        </w:rPr>
        <w:t xml:space="preserve">EU and UK Sanctions: </w:t>
      </w:r>
      <w:r>
        <w:t>Integration of European Union and United Kingdom sanctions designations</w:t>
      </w:r>
    </w:p>
    <w:p>
      <w:r>
        <w:rPr>
          <w:b/>
        </w:rPr>
        <w:t xml:space="preserve">Negative News Screening: </w:t>
      </w:r>
      <w:r>
        <w:t>Ongoing monitoring for news-based sanctions designations and adverse media</w:t>
      </w:r>
    </w:p>
    <w:p>
      <w:r>
        <w:rPr>
          <w:b/>
        </w:rPr>
        <w:t xml:space="preserve">Beneficial Ownership Screening: </w:t>
      </w:r>
      <w:r>
        <w:t>Verification that ultimate beneficial owners are not designated</w:t>
      </w:r>
    </w:p>
    <w:p>
      <w:r>
        <w:rPr>
          <w:b/>
        </w:rPr>
        <w:t xml:space="preserve">Transaction Analysis: </w:t>
      </w:r>
      <w:r>
        <w:t>Detailed review of transaction patterns for sanctions evasion indicators</w:t>
      </w:r>
    </w:p>
    <w:p>
      <w:pPr>
        <w:pStyle w:val="Heading2"/>
      </w:pPr>
      <w:r>
        <w:t>7.2 Trade-Based ML Detection</w:t>
      </w:r>
    </w:p>
    <w:p>
      <w:r>
        <w:t>Trade transactions in high-risk regions require specialized scrutiny:</w:t>
      </w:r>
    </w:p>
    <w:p>
      <w:pPr>
        <w:pStyle w:val="ListBullet"/>
      </w:pPr>
      <w:r>
        <w:t>Invoice values significantly diverge from comparable market transactions (&gt;20% variance)</w:t>
      </w:r>
    </w:p>
    <w:p>
      <w:pPr>
        <w:pStyle w:val="ListBullet"/>
      </w:pPr>
      <w:r>
        <w:t>Shipments to intermediary countries with no apparent business rationale</w:t>
      </w:r>
    </w:p>
    <w:p>
      <w:pPr>
        <w:pStyle w:val="ListBullet"/>
      </w:pPr>
      <w:r>
        <w:t>Repeated high-value transactions with no documented business relationship</w:t>
      </w:r>
    </w:p>
    <w:p>
      <w:pPr>
        <w:pStyle w:val="ListBullet"/>
      </w:pPr>
      <w:r>
        <w:t>Commodity prices quoted at significant premium/discount to market rates</w:t>
      </w:r>
    </w:p>
    <w:p>
      <w:pPr>
        <w:pStyle w:val="ListBullet"/>
      </w:pPr>
      <w:r>
        <w:t>Shipments to or from known money laundering centers with limited economic activity</w:t>
      </w:r>
    </w:p>
    <w:p>
      <w:r>
        <w:br w:type="page"/>
      </w:r>
    </w:p>
    <w:p>
      <w:pPr>
        <w:pStyle w:val="Heading1"/>
      </w:pPr>
      <w:r>
        <w:t>8. INTERNATIONAL COOPERATION MODELS</w:t>
      </w:r>
    </w:p>
    <w:p>
      <w:pPr>
        <w:pStyle w:val="Heading2"/>
      </w:pPr>
      <w:r>
        <w:t>8.1 Financial Intelligence Unit (FIU) Coordination</w:t>
      </w:r>
    </w:p>
    <w:p>
      <w:r>
        <w:t>Effective AML compliance requires active engagement with FIUs in each jurisdiction. Key coordination mechanisms include:</w:t>
      </w:r>
    </w:p>
    <w:p>
      <w:pPr>
        <w:pStyle w:val="ListBullet"/>
      </w:pPr>
      <w:r>
        <w:t>Suspicious Activity Report (SAR) filings with documented investigation findings</w:t>
      </w:r>
    </w:p>
    <w:p>
      <w:pPr>
        <w:pStyle w:val="ListBullet"/>
      </w:pPr>
      <w:r>
        <w:t>Information sharing requests through Egmont Group channels</w:t>
      </w:r>
    </w:p>
    <w:p>
      <w:pPr>
        <w:pStyle w:val="ListBullet"/>
      </w:pPr>
      <w:r>
        <w:t>Participation in Joint Investigation Teams (JITs) for complex cases</w:t>
      </w:r>
    </w:p>
    <w:p>
      <w:pPr>
        <w:pStyle w:val="ListBullet"/>
      </w:pPr>
      <w:r>
        <w:t>Regular training and relationship building with FIU personnel</w:t>
      </w:r>
    </w:p>
    <w:p>
      <w:pPr>
        <w:pStyle w:val="ListBullet"/>
      </w:pPr>
      <w:r>
        <w:t>Support for capacity building in weaker regulatory environments</w:t>
      </w:r>
    </w:p>
    <w:p>
      <w:pPr>
        <w:pStyle w:val="Heading2"/>
      </w:pPr>
      <w:r>
        <w:t>8.2 Public-Private Partnerships</w:t>
      </w:r>
    </w:p>
    <w:p>
      <w:r>
        <w:t>Industry-wide information sharing enhances AML effectiveness:</w:t>
      </w:r>
    </w:p>
    <w:p>
      <w:pPr>
        <w:pStyle w:val="ListBullet"/>
      </w:pPr>
      <w:r>
        <w:t>Participation in industry working groups on emerging threats</w:t>
      </w:r>
    </w:p>
    <w:p>
      <w:pPr>
        <w:pStyle w:val="ListBullet"/>
      </w:pPr>
      <w:r>
        <w:t>Sharing of anonymized typologies and case studies</w:t>
      </w:r>
    </w:p>
    <w:p>
      <w:pPr>
        <w:pStyle w:val="ListBullet"/>
      </w:pPr>
      <w:r>
        <w:t>Coordinated sanctions compliance screening</w:t>
      </w:r>
    </w:p>
    <w:p>
      <w:pPr>
        <w:pStyle w:val="ListBullet"/>
      </w:pPr>
      <w:r>
        <w:t>Joint training initiatives and best practice development</w:t>
      </w:r>
    </w:p>
    <w:p>
      <w:pPr>
        <w:pStyle w:val="ListBullet"/>
      </w:pPr>
      <w:r>
        <w:t>Collaboration with law enforcement on major investigations</w:t>
      </w:r>
    </w:p>
    <w:p>
      <w:r>
        <w:br w:type="page"/>
      </w:r>
    </w:p>
    <w:p>
      <w:pPr>
        <w:pStyle w:val="Heading1"/>
      </w:pPr>
      <w:r>
        <w:t>9. EMERGING THREATS AND FUTURE OUTLOOK</w:t>
      </w:r>
    </w:p>
    <w:p>
      <w:pPr>
        <w:pStyle w:val="Heading2"/>
      </w:pPr>
      <w:r>
        <w:t>9.1 Cryptocurrency and Digital Assets</w:t>
      </w:r>
    </w:p>
    <w:p>
      <w:r>
        <w:t>Digital assets present both opportunities and challenges for AML compliance:</w:t>
      </w:r>
    </w:p>
    <w:p>
      <w:pPr>
        <w:pStyle w:val="ListBullet"/>
      </w:pPr>
      <w:r>
        <w:t>Risks:</w:t>
      </w:r>
      <w:r>
        <w:rPr>
          <w:b/>
        </w:rPr>
      </w:r>
    </w:p>
    <w:p>
      <w:pPr>
        <w:pStyle w:val="ListBullet2"/>
      </w:pPr>
      <w:r>
        <w:t>Direct peer-to-peer transfers bypass traditional AML controls</w:t>
      </w:r>
    </w:p>
    <w:p>
      <w:pPr>
        <w:pStyle w:val="ListBullet2"/>
      </w:pPr>
      <w:r>
        <w:t>Mix of regulated and unregulated exchange platforms</w:t>
      </w:r>
    </w:p>
    <w:p>
      <w:pPr>
        <w:pStyle w:val="ListBullet2"/>
      </w:pPr>
      <w:r>
        <w:t>Cross-border transactions difficult to trace and verify</w:t>
      </w:r>
    </w:p>
    <w:p>
      <w:pPr>
        <w:pStyle w:val="ListBullet2"/>
      </w:pPr>
      <w:r>
        <w:t>Rapid technological evolution outpaces regulatory response</w:t>
      </w:r>
    </w:p>
    <w:p>
      <w:pPr>
        <w:pStyle w:val="ListBullet"/>
      </w:pPr>
      <w:r>
        <w:t>Opportunities:</w:t>
      </w:r>
      <w:r>
        <w:rPr>
          <w:b/>
        </w:rPr>
      </w:r>
    </w:p>
    <w:p>
      <w:pPr>
        <w:pStyle w:val="ListBullet2"/>
      </w:pPr>
      <w:r>
        <w:t>Immutable transaction ledgers enable comprehensive audit trails</w:t>
      </w:r>
    </w:p>
    <w:p>
      <w:pPr>
        <w:pStyle w:val="ListBullet2"/>
      </w:pPr>
      <w:r>
        <w:t>Smart contracts can enforce compliance requirements automatically</w:t>
      </w:r>
    </w:p>
    <w:p>
      <w:pPr>
        <w:pStyle w:val="ListBullet2"/>
      </w:pPr>
      <w:r>
        <w:t>Decentralized identity solutions improve KYC verification</w:t>
      </w:r>
    </w:p>
    <w:p>
      <w:pPr>
        <w:pStyle w:val="ListBullet2"/>
      </w:pPr>
      <w:r>
        <w:t>Real-time settlement reduces operational risk windows</w:t>
      </w:r>
    </w:p>
    <w:p>
      <w:pPr>
        <w:pStyle w:val="Heading2"/>
      </w:pPr>
      <w:r>
        <w:t>9.2 Artificial Intelligence and Machine Learning</w:t>
      </w:r>
    </w:p>
    <w:p>
      <w:r>
        <w:t>Advanced analytics are transforming AML program capabilities:</w:t>
      </w:r>
    </w:p>
    <w:p>
      <w:pPr>
        <w:pStyle w:val="ListBullet"/>
      </w:pPr>
      <w:r>
        <w:t>Pattern recognition algorithms detect complex schemes across millions of transactions</w:t>
      </w:r>
    </w:p>
    <w:p>
      <w:pPr>
        <w:pStyle w:val="ListBullet"/>
      </w:pPr>
      <w:r>
        <w:t>Network analysis identifies hidden relationships in complex ownership structures</w:t>
      </w:r>
    </w:p>
    <w:p>
      <w:pPr>
        <w:pStyle w:val="ListBullet"/>
      </w:pPr>
      <w:r>
        <w:t>Behavioral analytics differentiate legitimate from suspicious activity</w:t>
      </w:r>
    </w:p>
    <w:p>
      <w:pPr>
        <w:pStyle w:val="ListBullet"/>
      </w:pPr>
      <w:r>
        <w:t>Predictive modeling anticipates emerging money laundering strategies</w:t>
      </w:r>
    </w:p>
    <w:p>
      <w:pPr>
        <w:pStyle w:val="ListBullet"/>
      </w:pPr>
      <w:r>
        <w:t>Natural language processing analyzes unstructured information and communications</w:t>
      </w:r>
    </w:p>
    <w:p>
      <w:r>
        <w:br w:type="page"/>
      </w:r>
    </w:p>
    <w:p>
      <w:pPr>
        <w:pStyle w:val="Heading1"/>
      </w:pPr>
      <w:r>
        <w:t>10. CONCLUSION</w:t>
      </w:r>
    </w:p>
    <w:p>
      <w:r>
        <w:t>This comprehensive case study demonstrates that effective AML compliance in high-risk geographies requires a multifaceted approach combining technology, human expertise, and international cooperation. The four regions analyzed—North Africa, Eastern Europe, Southeast Asia, and the Middle East—present distinct challenges that demand tailored risk management strategies.</w:t>
      </w:r>
    </w:p>
    <w:p>
      <w:r>
        <w:t>With $16.6 billion in annual transaction volume and 247 identified alert cases, financial institutions operating in these regions must maintain heightened vigilance and invest substantially in compliance infrastructure. The 28 regulatory gaps identified across jurisdictions further emphasize the critical need for enhanced international cooperation and standard-setting.</w:t>
      </w:r>
    </w:p>
    <w:p>
      <w:r>
        <w:t>Looking forward, institutions must embrace emerging technologies—particularly artificial intelligence and blockchain-based solutions—while maintaining focus on fundamental AML principles: comprehensive customer identification, robust transaction monitoring, and rapid suspicious activity reporting.</w:t>
      </w:r>
    </w:p>
    <w:p>
      <w:r>
        <w:t>The 34 ongoing investigations tracked in this case study will continue to generate valuable lessons for AML program development. Financial institutions should regularly review and update their compliance frameworks in light of emerging threats and regulatory changes.</w:t>
      </w:r>
    </w:p>
    <w:p>
      <w:r>
        <w:br w:type="page"/>
      </w:r>
    </w:p>
    <w:p>
      <w:pPr>
        <w:pStyle w:val="Heading1"/>
      </w:pPr>
      <w:r>
        <w:t>APPENDIX A: GEOGRAPHIC RISK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TBML Risk</w:t>
            </w:r>
          </w:p>
        </w:tc>
        <w:tc>
          <w:tcPr>
            <w:tcW w:type="dxa" w:w="1728"/>
          </w:tcPr>
          <w:p>
            <w:r>
              <w:t>Sanctions Risk</w:t>
            </w:r>
          </w:p>
        </w:tc>
        <w:tc>
          <w:tcPr>
            <w:tcW w:type="dxa" w:w="1728"/>
          </w:tcPr>
          <w:p>
            <w:r>
              <w:t>Informal Transfer</w:t>
            </w:r>
          </w:p>
        </w:tc>
        <w:tc>
          <w:tcPr>
            <w:tcW w:type="dxa" w:w="1728"/>
          </w:tcPr>
          <w:p>
            <w:r>
              <w:t>Overall Rating</w:t>
            </w:r>
          </w:p>
        </w:tc>
      </w:tr>
      <w:tr>
        <w:tc>
          <w:tcPr>
            <w:tcW w:type="dxa" w:w="1728"/>
          </w:tcPr>
          <w:p>
            <w:r>
              <w:t>North Africa</w:t>
            </w:r>
          </w:p>
        </w:tc>
        <w:tc>
          <w:tcPr>
            <w:tcW w:type="dxa" w:w="1728"/>
          </w:tcPr>
          <w:p>
            <w:r>
              <w:t>Critical</w:t>
            </w:r>
          </w:p>
        </w:tc>
        <w:tc>
          <w:tcPr>
            <w:tcW w:type="dxa" w:w="1728"/>
          </w:tcPr>
          <w:p>
            <w:r>
              <w:t>High</w:t>
            </w:r>
          </w:p>
        </w:tc>
        <w:tc>
          <w:tcPr>
            <w:tcW w:type="dxa" w:w="1728"/>
          </w:tcPr>
          <w:p>
            <w:r>
              <w:t>Critical</w:t>
            </w:r>
          </w:p>
        </w:tc>
        <w:tc>
          <w:tcPr>
            <w:tcW w:type="dxa" w:w="1728"/>
          </w:tcPr>
          <w:p>
            <w:r>
              <w:t>CRITICAL</w:t>
            </w:r>
          </w:p>
        </w:tc>
      </w:tr>
      <w:tr>
        <w:tc>
          <w:tcPr>
            <w:tcW w:type="dxa" w:w="1728"/>
          </w:tcPr>
          <w:p>
            <w:r>
              <w:t>Eastern Europe</w:t>
            </w:r>
          </w:p>
        </w:tc>
        <w:tc>
          <w:tcPr>
            <w:tcW w:type="dxa" w:w="1728"/>
          </w:tcPr>
          <w:p>
            <w:r>
              <w:t>High</w:t>
            </w:r>
          </w:p>
        </w:tc>
        <w:tc>
          <w:tcPr>
            <w:tcW w:type="dxa" w:w="1728"/>
          </w:tcPr>
          <w:p>
            <w:r>
              <w:t>Critical</w:t>
            </w:r>
          </w:p>
        </w:tc>
        <w:tc>
          <w:tcPr>
            <w:tcW w:type="dxa" w:w="1728"/>
          </w:tcPr>
          <w:p>
            <w:r>
              <w:t>High</w:t>
            </w:r>
          </w:p>
        </w:tc>
        <w:tc>
          <w:tcPr>
            <w:tcW w:type="dxa" w:w="1728"/>
          </w:tcPr>
          <w:p>
            <w:r>
              <w:t>HIGH</w:t>
            </w:r>
          </w:p>
        </w:tc>
      </w:tr>
      <w:tr>
        <w:tc>
          <w:tcPr>
            <w:tcW w:type="dxa" w:w="1728"/>
          </w:tcPr>
          <w:p>
            <w:r>
              <w:t>Southeast Asia</w:t>
            </w:r>
          </w:p>
        </w:tc>
        <w:tc>
          <w:tcPr>
            <w:tcW w:type="dxa" w:w="1728"/>
          </w:tcPr>
          <w:p>
            <w:r>
              <w:t>Critical</w:t>
            </w:r>
          </w:p>
        </w:tc>
        <w:tc>
          <w:tcPr>
            <w:tcW w:type="dxa" w:w="1728"/>
          </w:tcPr>
          <w:p>
            <w:r>
              <w:t>High</w:t>
            </w:r>
          </w:p>
        </w:tc>
        <w:tc>
          <w:tcPr>
            <w:tcW w:type="dxa" w:w="1728"/>
          </w:tcPr>
          <w:p>
            <w:r>
              <w:t>High</w:t>
            </w:r>
          </w:p>
        </w:tc>
        <w:tc>
          <w:tcPr>
            <w:tcW w:type="dxa" w:w="1728"/>
          </w:tcPr>
          <w:p>
            <w:r>
              <w:t>HIGH</w:t>
            </w:r>
          </w:p>
        </w:tc>
      </w:tr>
      <w:tr>
        <w:tc>
          <w:tcPr>
            <w:tcW w:type="dxa" w:w="1728"/>
          </w:tcPr>
          <w:p>
            <w:r>
              <w:t>Middle East</w:t>
            </w:r>
          </w:p>
        </w:tc>
        <w:tc>
          <w:tcPr>
            <w:tcW w:type="dxa" w:w="1728"/>
          </w:tcPr>
          <w:p>
            <w:r>
              <w:t>High</w:t>
            </w:r>
          </w:p>
        </w:tc>
        <w:tc>
          <w:tcPr>
            <w:tcW w:type="dxa" w:w="1728"/>
          </w:tcPr>
          <w:p>
            <w:r>
              <w:t>Critical</w:t>
            </w:r>
          </w:p>
        </w:tc>
        <w:tc>
          <w:tcPr>
            <w:tcW w:type="dxa" w:w="1728"/>
          </w:tcPr>
          <w:p>
            <w:r>
              <w:t>Critical</w:t>
            </w:r>
          </w:p>
        </w:tc>
        <w:tc>
          <w:tcPr>
            <w:tcW w:type="dxa" w:w="1728"/>
          </w:tcPr>
          <w:p>
            <w:r>
              <w:t>CRITICAL</w:t>
            </w:r>
          </w:p>
        </w:tc>
      </w:tr>
    </w:tbl>
    <w:p>
      <w:r>
        <w:br w:type="page"/>
      </w:r>
    </w:p>
    <w:p>
      <w:pPr>
        <w:pStyle w:val="Heading1"/>
      </w:pPr>
      <w:r>
        <w:t>APPENDIX B: DETAILED CASE STUDIES</w:t>
      </w:r>
    </w:p>
    <w:p>
      <w:pPr>
        <w:pStyle w:val="Heading2"/>
      </w:pPr>
      <w:r>
        <w:t>B.1 North Africa - Garment Trade Over-Invoicing Network</w:t>
      </w:r>
    </w:p>
    <w:p>
      <w:r>
        <w:t>Case Reference: NFA-2023-047 | Risk Level: Critical | Status: Active Investigation</w:t>
      </w:r>
    </w:p>
    <w:p>
      <w:r>
        <w:t>Background: A garment manufacturing and trading company based in Casablanca, Morocco, established in 2010, showed sudden acceleration in transaction volume beginning in 2022. The company, "Mediterranean Textiles Ltd," historically processed approximately $50 million annually in import/export transactions. Between January 2022 and June 2023, transaction volume increased 340% to $170 million.</w:t>
      </w:r>
    </w:p>
    <w:p>
      <w:pPr>
        <w:pStyle w:val="Heading3"/>
      </w:pPr>
      <w:r>
        <w:t>Suspicious Pattern Indicators:</w:t>
      </w:r>
    </w:p>
    <w:p>
      <w:pPr>
        <w:pStyle w:val="ListBullet"/>
      </w:pPr>
      <w:r>
        <w:t>Invoice prices 180-240% above comparable market rates for identical goods</w:t>
      </w:r>
    </w:p>
    <w:p>
      <w:pPr>
        <w:pStyle w:val="ListBullet"/>
      </w:pPr>
      <w:r>
        <w:t>Shipments routed through Tunisia instead of direct Morocco-to-destination shipments</w:t>
      </w:r>
    </w:p>
    <w:p>
      <w:pPr>
        <w:pStyle w:val="ListBullet"/>
      </w:pPr>
      <w:r>
        <w:t>Payment instructions to bank accounts in UAE and Lebanon not consistent with end-use countries</w:t>
      </w:r>
    </w:p>
    <w:p>
      <w:pPr>
        <w:pStyle w:val="ListBullet"/>
      </w:pPr>
      <w:r>
        <w:t>Customer due diligence updates revealed complex ownership structure with beneficial owners in Iran</w:t>
      </w:r>
    </w:p>
    <w:p>
      <w:pPr>
        <w:pStyle w:val="ListBullet"/>
      </w:pPr>
      <w:r>
        <w:t>Negative media mentions of company CEO in connection with sanctions violations in 2019</w:t>
      </w:r>
    </w:p>
    <w:p>
      <w:pPr>
        <w:pStyle w:val="Heading3"/>
      </w:pPr>
      <w:r>
        <w:t>Investigation Methodology:</w:t>
      </w:r>
    </w:p>
    <w:p>
      <w:r>
        <w:t>The investigation employed the following analytical framework:</w:t>
      </w:r>
    </w:p>
    <w:p>
      <w:pPr>
        <w:pStyle w:val="ListBullet"/>
      </w:pPr>
      <w:r>
        <w:t>Transaction network analysis mapping all parties across 24-month period</w:t>
      </w:r>
    </w:p>
    <w:p>
      <w:pPr>
        <w:pStyle w:val="ListBullet"/>
      </w:pPr>
      <w:r>
        <w:t>Market price benchmarking using industry databases and customs records</w:t>
      </w:r>
    </w:p>
    <w:p>
      <w:pPr>
        <w:pStyle w:val="ListBullet"/>
      </w:pPr>
      <w:r>
        <w:t>Beneficial ownership research through business registries in 8 jurisdictions</w:t>
      </w:r>
    </w:p>
    <w:p>
      <w:pPr>
        <w:pStyle w:val="ListBullet"/>
      </w:pPr>
      <w:r>
        <w:t>Financial flow tracing to ultimate recipients in sanctioned jurisdictions</w:t>
      </w:r>
    </w:p>
    <w:p>
      <w:pPr>
        <w:pStyle w:val="ListBullet"/>
      </w:pPr>
      <w:r>
        <w:t>Coordination with Moroccan, Tunisian, and UAE financial intelligence units</w:t>
      </w:r>
    </w:p>
    <w:p>
      <w:pPr>
        <w:pStyle w:val="Heading3"/>
      </w:pPr>
      <w:r>
        <w:t>Findings and Estimated Proceeds:</w:t>
      </w:r>
    </w:p>
    <w:p>
      <w:r>
        <w:t>Analysis confirmed systematic over-invoicing creating artificially high costs. Estimated illicit proceeds transferred: $1.2 million. Funds traced to narcotics trafficking organization operating in Rif Valley region. Ultimate beneficial owner identified as Iranian national subject to OFAC sanctions.</w:t>
      </w:r>
    </w:p>
    <w:p>
      <w:r>
        <w:br w:type="page"/>
      </w:r>
    </w:p>
    <w:p>
      <w:pPr>
        <w:pStyle w:val="Heading2"/>
      </w:pPr>
      <w:r>
        <w:t>B.2 Eastern Europe - Stolen Assets and Shell Company Network</w:t>
      </w:r>
    </w:p>
    <w:p>
      <w:r>
        <w:t>Case Reference: EE-2023-089 | Risk Level: Critical | Status: Under Prosecution</w:t>
      </w:r>
    </w:p>
    <w:p>
      <w:r>
        <w:t>Background: Ukrainian government officials, including senior procurement officers, orchestrated a scheme to divert public development funds through a network of shell companies. The scheme operated from 2019-2023 and involved multiple government ministries, state-owned enterprises, and defense contractors.</w:t>
      </w:r>
    </w:p>
    <w:p>
      <w:pPr>
        <w:pStyle w:val="Heading3"/>
      </w:pPr>
      <w:r>
        <w:t>Scheme Structure:</w:t>
      </w:r>
    </w:p>
    <w:p>
      <w:r>
        <w:t>The complex scheme operated through the following mechanism:</w:t>
      </w:r>
    </w:p>
    <w:p>
      <w:pPr>
        <w:pStyle w:val="ListBullet"/>
      </w:pPr>
      <w:r>
        <w:t>Stage 1: Legitimate government procurement contracts awarded to subsidiaries of primary contractor</w:t>
      </w:r>
    </w:p>
    <w:p>
      <w:pPr>
        <w:pStyle w:val="ListBullet"/>
      </w:pPr>
      <w:r>
        <w:t>Stage 2: Invoices submitted for services never rendered (fictitious consulting, advisory services)</w:t>
      </w:r>
    </w:p>
    <w:p>
      <w:pPr>
        <w:pStyle w:val="ListBullet"/>
      </w:pPr>
      <w:r>
        <w:t>Stage 3: Payments made to shell company bank accounts in Latvia registered under nominees</w:t>
      </w:r>
    </w:p>
    <w:p>
      <w:pPr>
        <w:pStyle w:val="ListBullet"/>
      </w:pPr>
      <w:r>
        <w:t>Stage 4: Funds transferred to Cyprus-registered entities claiming to be holding companies</w:t>
      </w:r>
    </w:p>
    <w:p>
      <w:pPr>
        <w:pStyle w:val="ListBullet"/>
      </w:pPr>
      <w:r>
        <w:t>Stage 5: Capital repatriation to Ukraine as foreign direct investment (avoiding scrutiny)</w:t>
      </w:r>
    </w:p>
    <w:p>
      <w:pPr>
        <w:pStyle w:val="ListBullet"/>
      </w:pPr>
      <w:r>
        <w:t>Stage 6: Investment in real estate in UK and US under family member names</w:t>
      </w:r>
    </w:p>
    <w:p>
      <w:pPr>
        <w:pStyle w:val="Heading3"/>
      </w:pPr>
      <w:r>
        <w:t>Financial Analysis:</w:t>
      </w:r>
    </w:p>
    <w:p>
      <w:r>
        <w:t>Total diverted funds: $156 million over 4-year period. Annual scheme volume: $39 million average. Percentage of contracts affected: 23 of 142 major procurement contracts (16%). International transfers: 147 wire transfers across 11 countries. Real estate purchases documented: 8 properties in London valued at $47 million, 4 properties in Miami valued $23 million.</w:t>
      </w:r>
    </w:p>
    <w:p>
      <w:r>
        <w:br w:type="page"/>
      </w:r>
    </w:p>
    <w:p>
      <w:pPr>
        <w:pStyle w:val="Heading2"/>
      </w:pPr>
      <w:r>
        <w:t>B.3 Southeast Asia - Synthetic Drug Manufacturing Proceeds Laundering</w:t>
      </w:r>
    </w:p>
    <w:p>
      <w:r>
        <w:t>Case Reference: SA-2023-156 | Risk Level: Critical | Status: Ongoing Joint Investigation</w:t>
      </w:r>
    </w:p>
    <w:p>
      <w:r>
        <w:t>Background: A major methamphetamine trafficking organization based in Myanmar/Shan State used a network of businesses spanning Thailand, Vietnam, and Cambodia to launder approximately $287 million in drug proceeds over 18 months.</w:t>
      </w:r>
    </w:p>
    <w:p>
      <w:pPr>
        <w:pStyle w:val="Heading3"/>
      </w:pPr>
      <w:r>
        <w:t>Trafficking Organization Structure:</w:t>
      </w:r>
    </w:p>
    <w:p>
      <w:r>
        <w:t>The organization consisted of:</w:t>
      </w:r>
    </w:p>
    <w:p>
      <w:pPr>
        <w:pStyle w:val="ListBullet"/>
      </w:pPr>
      <w:r>
        <w:t>Manufacturing: 7 clandestine labs in Myanmar producing 400-600kg methamphetamine monthly</w:t>
      </w:r>
    </w:p>
    <w:p>
      <w:pPr>
        <w:pStyle w:val="ListBullet"/>
      </w:pPr>
      <w:r>
        <w:t>Distribution: Networks across Thailand and Laos moving product to South Korea, Japan, Australia</w:t>
      </w:r>
    </w:p>
    <w:p>
      <w:pPr>
        <w:pStyle w:val="ListBullet"/>
      </w:pPr>
      <w:r>
        <w:t>Money Laundering: Integrated businesses in jewelry, textiles, hospitality, and online gambling</w:t>
      </w:r>
    </w:p>
    <w:p>
      <w:pPr>
        <w:pStyle w:val="Heading3"/>
      </w:pPr>
      <w:r>
        <w:t>Laundering Methods Employed:</w:t>
      </w:r>
    </w:p>
    <w:p>
      <w:pPr>
        <w:pStyle w:val="ListBullet"/>
      </w:pPr>
      <w:r>
        <w:t>Jewelry trade over-invoicing: $89 million through Thai gold shops</w:t>
      </w:r>
    </w:p>
    <w:p>
      <w:pPr>
        <w:pStyle w:val="ListBullet"/>
      </w:pPr>
      <w:r>
        <w:t>Gemstone smuggling: $56 million in ruby/sapphire transactions</w:t>
      </w:r>
    </w:p>
    <w:p>
      <w:pPr>
        <w:pStyle w:val="ListBullet"/>
      </w:pPr>
      <w:r>
        <w:t>Online gambling platforms: $98 million in deposits, withdrawals to money changers</w:t>
      </w:r>
    </w:p>
    <w:p>
      <w:pPr>
        <w:pStyle w:val="ListBullet"/>
      </w:pPr>
      <w:r>
        <w:t>Casino operations: $34 million in chips purchased for immediate cash redemption</w:t>
      </w:r>
    </w:p>
    <w:p>
      <w:pPr>
        <w:pStyle w:val="ListBullet"/>
      </w:pPr>
      <w:r>
        <w:t>Textile export over-invoicing: $10 million through Vietnamese suppliers</w:t>
      </w:r>
    </w:p>
    <w:p>
      <w:pPr>
        <w:pStyle w:val="Heading3"/>
      </w:pPr>
      <w:r>
        <w:t>Investigation Results:</w:t>
      </w:r>
    </w:p>
    <w:p>
      <w:r>
        <w:t>Joint task force with Thai, Vietnamese, Cambodian, and DEA involvement. Total assets seized: $87 million. Arrests made: 34 individuals. Successfully disrupted supply chain and frozen accounts across 5 countries. Ongoing prosecution of 12 major traffickers.</w:t>
      </w:r>
    </w:p>
    <w:p>
      <w:r>
        <w:br w:type="page"/>
      </w:r>
    </w:p>
    <w:p>
      <w:pPr>
        <w:pStyle w:val="Heading2"/>
      </w:pPr>
      <w:r>
        <w:t>B.4 Middle East - Iranian Sanctions Evasion Through Gold Trading</w:t>
      </w:r>
    </w:p>
    <w:p>
      <w:r>
        <w:t>Case Reference: ME-2023-203 | Risk Level: Critical | Status: Active Investigation</w:t>
      </w:r>
    </w:p>
    <w:p>
      <w:r>
        <w:t>Background: Iranian entities subject to U.S. and international sanctions evaded financial restrictions through a sophisticated gold trading scheme involving UAE free zones, Lebanese banks, and international wire transfers. Estimated total value: $412 million over 18 months.</w:t>
      </w:r>
    </w:p>
    <w:p>
      <w:pPr>
        <w:pStyle w:val="Heading3"/>
      </w:pPr>
      <w:r>
        <w:t>Sanctions Evasion Method:</w:t>
      </w:r>
    </w:p>
    <w:p>
      <w:r>
        <w:t>The scheme operated as follows:</w:t>
      </w:r>
    </w:p>
    <w:p>
      <w:pPr>
        <w:pStyle w:val="ListBullet"/>
      </w:pPr>
      <w:r>
        <w:t>Step 1: Iranian entities export oil through complex intermediary arrangements to Turkish buyers</w:t>
      </w:r>
    </w:p>
    <w:p>
      <w:pPr>
        <w:pStyle w:val="ListBullet"/>
      </w:pPr>
      <w:r>
        <w:t>Step 2: Oil sale proceeds (nominally from Turkish sales) deposited in UAE bank accounts</w:t>
      </w:r>
    </w:p>
    <w:p>
      <w:pPr>
        <w:pStyle w:val="ListBullet"/>
      </w:pPr>
      <w:r>
        <w:t>Step 3: Funds used to purchase gold bullion from legitimate UAE gold dealers and refiners</w:t>
      </w:r>
    </w:p>
    <w:p>
      <w:pPr>
        <w:pStyle w:val="ListBullet"/>
      </w:pPr>
      <w:r>
        <w:t>Step 4: Gold exported to Lebanon (free port status enables gold re-export without scrutiny)</w:t>
      </w:r>
    </w:p>
    <w:p>
      <w:pPr>
        <w:pStyle w:val="ListBullet"/>
      </w:pPr>
      <w:r>
        <w:t>Step 5: Lebanese banks provide loans against gold collateral (actual gold often repatriated to Iran)</w:t>
      </w:r>
    </w:p>
    <w:p>
      <w:pPr>
        <w:pStyle w:val="ListBullet"/>
      </w:pPr>
      <w:r>
        <w:t>Step 6: Loan proceeds transferred via Lebanese banking system to Iran-controlled entities</w:t>
      </w:r>
    </w:p>
    <w:p>
      <w:pPr>
        <w:pStyle w:val="ListBullet"/>
      </w:pPr>
      <w:r>
        <w:t>Step 7: Gold returns to Iran through informal channels, completing the sanctions bypass</w:t>
      </w:r>
    </w:p>
    <w:p>
      <w:pPr>
        <w:pStyle w:val="Heading3"/>
      </w:pPr>
      <w:r>
        <w:t>Detection and Investigation:</w:t>
      </w:r>
    </w:p>
    <w:p>
      <w:r>
        <w:t>Pattern detected through: (1) Anomalous gold import volumes to Lebanon 340% above historical average, (2) Mismatched documentation showing UAE gold dealers exporting to Lebanese companies with no prior trade history, (3) Lebanese banking relationship review revealing unusual gold-backed loan patterns, (4) Wire transfer analysis showing Turkish entities with no legitimate business records making large payments to Iranian-controlled accounts through Lebanese intermediaries.</w:t>
      </w:r>
    </w:p>
    <w:p>
      <w:r>
        <w:br w:type="page"/>
      </w:r>
    </w:p>
    <w:p>
      <w:pPr>
        <w:pStyle w:val="Heading1"/>
      </w:pPr>
      <w:r>
        <w:t>APPENDIX C: INTERNATIONAL REGULATORY FRAMEWORKS</w:t>
      </w:r>
    </w:p>
    <w:p>
      <w:pPr>
        <w:pStyle w:val="Heading2"/>
      </w:pPr>
      <w:r>
        <w:t>C.1 Financial Action Task Force (FATF) Standards</w:t>
      </w:r>
    </w:p>
    <w:p>
      <w:r>
        <w:t>The FATF 40 Recommendations provide the international standard for AML/CFT compliance. Key recommendations include:</w:t>
      </w:r>
    </w:p>
    <w:p>
      <w:r>
        <w:rPr>
          <w:b/>
        </w:rPr>
        <w:t xml:space="preserve">Recommendation 1: AML/CFT Policies: </w:t>
      </w:r>
      <w:r>
        <w:t>Countries must establish comprehensive AML/CFT policies and coordinate between authorities</w:t>
      </w:r>
    </w:p>
    <w:p>
      <w:r>
        <w:rPr>
          <w:b/>
        </w:rPr>
        <w:t xml:space="preserve">Recommendation 5: Risk Assessment: </w:t>
      </w:r>
      <w:r>
        <w:t>Countries must identify, assess, and understand ML/TF risks at national and international levels</w:t>
      </w:r>
    </w:p>
    <w:p>
      <w:r>
        <w:rPr>
          <w:b/>
        </w:rPr>
        <w:t xml:space="preserve">Recommendation 10: Customer Due Diligence: </w:t>
      </w:r>
      <w:r>
        <w:t>Financial institutions must identify and verify customer identity and beneficial ownership</w:t>
      </w:r>
    </w:p>
    <w:p>
      <w:r>
        <w:rPr>
          <w:b/>
        </w:rPr>
        <w:t xml:space="preserve">Recommendation 13: Suspicious Activity Reporting: </w:t>
      </w:r>
      <w:r>
        <w:t>Institutions must report suspicious transactions to FIU within required timeframes</w:t>
      </w:r>
    </w:p>
    <w:p>
      <w:r>
        <w:rPr>
          <w:b/>
        </w:rPr>
        <w:t xml:space="preserve">Recommendation 16: Wire Transfer Requirements: </w:t>
      </w:r>
      <w:r>
        <w:t>Accurate originator and beneficiary information required on all cross-border transfers</w:t>
      </w:r>
    </w:p>
    <w:p>
      <w:r>
        <w:rPr>
          <w:b/>
        </w:rPr>
        <w:t xml:space="preserve">Recommendation 19: Higher-Risk Jurisdictions: </w:t>
      </w:r>
      <w:r>
        <w:t>Enhanced due diligence required for customers/entities from high-risk jurisdictions</w:t>
      </w:r>
    </w:p>
    <w:p>
      <w:pPr>
        <w:pStyle w:val="Heading2"/>
      </w:pPr>
      <w:r>
        <w:t>C.2 United Nations Sanctions Regimes</w:t>
      </w:r>
    </w:p>
    <w:p>
      <w:r>
        <w:t>UN Security Council Resolutions establish sanctions against countries, entities, and individuals involved in terrorism, proliferation, and other violations. Current active regimes include:</w:t>
      </w:r>
    </w:p>
    <w:p>
      <w:pPr>
        <w:pStyle w:val="ListBullet"/>
      </w:pPr>
      <w:r>
        <w:t>ISIL (ISIS) and Al-Qaeda sanctions regime - 1373 and 1267</w:t>
      </w:r>
    </w:p>
    <w:p>
      <w:pPr>
        <w:pStyle w:val="ListBullet"/>
      </w:pPr>
      <w:r>
        <w:t>North Korea sanctions regime - 1718, 1874, 2087, 2094</w:t>
      </w:r>
    </w:p>
    <w:p>
      <w:pPr>
        <w:pStyle w:val="ListBullet"/>
      </w:pPr>
      <w:r>
        <w:t>Iran nuclear program sanctions - 1696, 1737, 1747, 1803, 1929</w:t>
      </w:r>
    </w:p>
    <w:p>
      <w:pPr>
        <w:pStyle w:val="ListBullet"/>
      </w:pPr>
      <w:r>
        <w:t>Lebanon/Hezbollah related sanctions - 1559, 1701, 1757</w:t>
      </w:r>
    </w:p>
    <w:p>
      <w:pPr>
        <w:pStyle w:val="ListBullet"/>
      </w:pPr>
      <w:r>
        <w:t>Syria sanctions regime - 2042, 2118, 2139</w:t>
      </w:r>
    </w:p>
    <w:p>
      <w:pPr>
        <w:pStyle w:val="Heading2"/>
      </w:pPr>
      <w:r>
        <w:t>C.3 EU Sanctions Framework</w:t>
      </w:r>
    </w:p>
    <w:p>
      <w:r>
        <w:t>The European Union maintains autonomous sanctions programs beyond UN-mandated restrictions. EU sanctions require asset freezes and transaction prohibitions. Major EU sanctions programs include:</w:t>
      </w:r>
    </w:p>
    <w:p>
      <w:pPr>
        <w:pStyle w:val="ListBullet"/>
      </w:pPr>
      <w:r>
        <w:t>Eastern Ukraine sanctions (asset freezes on Russian officials, entities)</w:t>
      </w:r>
    </w:p>
    <w:p>
      <w:pPr>
        <w:pStyle w:val="ListBullet"/>
      </w:pPr>
      <w:r>
        <w:t>Belarus sanctions (response to authoritarian government)</w:t>
      </w:r>
    </w:p>
    <w:p>
      <w:pPr>
        <w:pStyle w:val="ListBullet"/>
      </w:pPr>
      <w:r>
        <w:t>Hong Kong sanctions (response to autonomy restrictions)</w:t>
      </w:r>
    </w:p>
    <w:p>
      <w:pPr>
        <w:pStyle w:val="ListBullet"/>
      </w:pPr>
      <w:r>
        <w:t>Venezuela sanctions (political leadership designations)</w:t>
      </w:r>
    </w:p>
    <w:p>
      <w:pPr>
        <w:pStyle w:val="ListBullet"/>
      </w:pPr>
      <w:r>
        <w:t>Myanmar sanctions (military coup response)</w:t>
      </w:r>
    </w:p>
    <w:p>
      <w:r>
        <w:br w:type="page"/>
      </w:r>
    </w:p>
    <w:p>
      <w:pPr>
        <w:pStyle w:val="Heading1"/>
      </w:pPr>
      <w:r>
        <w:t>APPENDIX D: DETAILED INVESTIGATION PROCEDURES</w:t>
      </w:r>
    </w:p>
    <w:p>
      <w:pPr>
        <w:pStyle w:val="Heading2"/>
      </w:pPr>
      <w:r>
        <w:t>D.1 Transaction Analysis Methodology</w:t>
      </w:r>
    </w:p>
    <w:p>
      <w:r>
        <w:t>Comprehensive transaction analysis follows a structured framework:</w:t>
      </w:r>
    </w:p>
    <w:p>
      <w:pPr>
        <w:pStyle w:val="Heading3"/>
      </w:pPr>
      <w:r>
        <w:t>Phase 1: Data Collection and Normalization</w:t>
      </w:r>
    </w:p>
    <w:p>
      <w:pPr>
        <w:pStyle w:val="ListBullet"/>
      </w:pPr>
      <w:r>
        <w:t>Extract transaction records from core banking system (6-24 month lookback period)</w:t>
      </w:r>
    </w:p>
    <w:p>
      <w:pPr>
        <w:pStyle w:val="ListBullet"/>
      </w:pPr>
      <w:r>
        <w:t>Normalize data across disparate systems (domestic payments, international wires, trade finance)</w:t>
      </w:r>
    </w:p>
    <w:p>
      <w:pPr>
        <w:pStyle w:val="ListBullet"/>
      </w:pPr>
      <w:r>
        <w:t>Reconcile transaction records with customer files, beneficiary information, and documentation</w:t>
      </w:r>
    </w:p>
    <w:p>
      <w:pPr>
        <w:pStyle w:val="ListBullet"/>
      </w:pPr>
      <w:r>
        <w:t>Identify data quality issues and apply consistency rules</w:t>
      </w:r>
    </w:p>
    <w:p>
      <w:pPr>
        <w:pStyle w:val="ListBullet"/>
      </w:pPr>
      <w:r>
        <w:t>Create integrated transaction ledger with all relevant fields standardized</w:t>
      </w:r>
    </w:p>
    <w:p>
      <w:pPr>
        <w:pStyle w:val="Heading3"/>
      </w:pPr>
      <w:r>
        <w:t>Phase 2: Customer Risk Profiling</w:t>
      </w:r>
    </w:p>
    <w:p>
      <w:pPr>
        <w:pStyle w:val="ListBullet"/>
      </w:pPr>
      <w:r>
        <w:t>Segment customers by industry, geography, transaction profile, and historical behavior</w:t>
      </w:r>
    </w:p>
    <w:p>
      <w:pPr>
        <w:pStyle w:val="ListBullet"/>
      </w:pPr>
      <w:r>
        <w:t>Calculate risk scores based on regulatory guidance and institution-specific risk factors</w:t>
      </w:r>
    </w:p>
    <w:p>
      <w:pPr>
        <w:pStyle w:val="ListBullet"/>
      </w:pPr>
      <w:r>
        <w:t>Identify high-risk customer segments requiring enhanced monitoring</w:t>
      </w:r>
    </w:p>
    <w:p>
      <w:pPr>
        <w:pStyle w:val="ListBullet"/>
      </w:pPr>
      <w:r>
        <w:t>Document customer purpose of relationship and expected transaction patterns</w:t>
      </w:r>
    </w:p>
    <w:p>
      <w:pPr>
        <w:pStyle w:val="ListBullet"/>
      </w:pPr>
      <w:r>
        <w:t>Flag customers with geographic or business connections to high-risk regions</w:t>
      </w:r>
    </w:p>
    <w:p>
      <w:pPr>
        <w:pStyle w:val="Heading3"/>
      </w:pPr>
      <w:r>
        <w:t>Phase 3: Pattern Detection</w:t>
      </w:r>
    </w:p>
    <w:p>
      <w:pPr>
        <w:pStyle w:val="ListBullet"/>
      </w:pPr>
      <w:r>
        <w:t>Identify transactions deviating from customer baseline behavior (amount, frequency, geography)</w:t>
      </w:r>
    </w:p>
    <w:p>
      <w:pPr>
        <w:pStyle w:val="ListBullet"/>
      </w:pPr>
      <w:r>
        <w:t>Detect circular flow patterns suggesting value circulation schemes</w:t>
      </w:r>
    </w:p>
    <w:p>
      <w:pPr>
        <w:pStyle w:val="ListBullet"/>
      </w:pPr>
      <w:r>
        <w:t>Analyze transaction timing patterns (velocity, batching, concentration)</w:t>
      </w:r>
    </w:p>
    <w:p>
      <w:pPr>
        <w:pStyle w:val="ListBullet"/>
      </w:pPr>
      <w:r>
        <w:t>Review counterparty relationship networks for hidden connections</w:t>
      </w:r>
    </w:p>
    <w:p>
      <w:pPr>
        <w:pStyle w:val="ListBullet"/>
      </w:pPr>
      <w:r>
        <w:t>Assess transaction documentation for inconsistencies or forgery indicators</w:t>
      </w:r>
    </w:p>
    <w:p>
      <w:r>
        <w:br w:type="page"/>
      </w:r>
    </w:p>
    <w:p>
      <w:pPr>
        <w:pStyle w:val="Heading2"/>
      </w:pPr>
      <w:r>
        <w:t>D.2 Trade Finance Red Flags and Detection</w:t>
      </w:r>
    </w:p>
    <w:p>
      <w:r>
        <w:t>Trade-based money laundering involves using trade transactions to move value illegally. Detection requires specialized knowledge of trade finance instruments and market pricing.</w:t>
      </w:r>
    </w:p>
    <w:p>
      <w:pPr>
        <w:pStyle w:val="Heading3"/>
      </w:pPr>
      <w:r>
        <w:t>TBML Red Flags:</w:t>
      </w:r>
    </w:p>
    <w:p>
      <w:pPr>
        <w:pStyle w:val="ListBullet"/>
      </w:pPr>
      <w:r>
        <w:t>Invoice Price Manipulation: Significant variance (&gt;20%) from market-verified prices for identical commodities</w:t>
      </w:r>
    </w:p>
    <w:p>
      <w:pPr>
        <w:pStyle w:val="ListBullet"/>
      </w:pPr>
      <w:r>
        <w:t>Transaction Routing: Shipments routed through multiple intermediate countries without apparent business purpose</w:t>
      </w:r>
    </w:p>
    <w:p>
      <w:pPr>
        <w:pStyle w:val="ListBullet"/>
      </w:pPr>
      <w:r>
        <w:t>Over-Invoicing: Invoices exceed comparable market prices by 50-200%+</w:t>
      </w:r>
    </w:p>
    <w:p>
      <w:pPr>
        <w:pStyle w:val="ListBullet"/>
      </w:pPr>
      <w:r>
        <w:t>Under-Invoicing: Invoices substantially below market prices (dumping indicators)</w:t>
      </w:r>
    </w:p>
    <w:p>
      <w:pPr>
        <w:pStyle w:val="ListBullet"/>
      </w:pPr>
      <w:r>
        <w:t>Inconsistent Documentation: Purchase orders, invoices, bills of lading show conflicting dates or parties</w:t>
      </w:r>
    </w:p>
    <w:p>
      <w:pPr>
        <w:pStyle w:val="ListBullet"/>
      </w:pPr>
      <w:r>
        <w:t>Complex Ownership: Exporter/importer ownership structures unclear or intentionally obscured</w:t>
      </w:r>
    </w:p>
    <w:p>
      <w:pPr>
        <w:pStyle w:val="ListBullet"/>
      </w:pPr>
      <w:r>
        <w:t>Payment Mismatches: Payments disproportionate to shipment value or routed to unrelated parties</w:t>
      </w:r>
    </w:p>
    <w:p>
      <w:pPr>
        <w:pStyle w:val="ListBullet"/>
      </w:pPr>
      <w:r>
        <w:t>High-Risk Commodities: Precious metals, diamonds, artwork, or controlled goods with high value density</w:t>
      </w:r>
    </w:p>
    <w:p>
      <w:pPr>
        <w:pStyle w:val="Heading2"/>
      </w:pPr>
      <w:r>
        <w:t>D.3 Beneficial Ownership Identification Process</w:t>
      </w:r>
    </w:p>
    <w:p>
      <w:r>
        <w:t>Identifying true beneficial owners is critical for AML compliance, especially in high-risk jurisdictions where legal structures often obscure actual control.</w:t>
      </w:r>
    </w:p>
    <w:p>
      <w:r>
        <w:rPr>
          <w:b/>
        </w:rPr>
        <w:t xml:space="preserve">Business Registry Review: </w:t>
      </w:r>
      <w:r>
        <w:t>Primary ownership documents from jurisdiction of incorporation and all jurisdictions where registered</w:t>
      </w:r>
    </w:p>
    <w:p>
      <w:r>
        <w:rPr>
          <w:b/>
        </w:rPr>
        <w:t xml:space="preserve">Shareholder Verification: </w:t>
      </w:r>
      <w:r>
        <w:t>Identify all shareholders and their ownership percentages; verify through company records</w:t>
      </w:r>
    </w:p>
    <w:p>
      <w:r>
        <w:rPr>
          <w:b/>
        </w:rPr>
        <w:t xml:space="preserve">Ultimate Beneficial Owner Tracing: </w:t>
      </w:r>
      <w:r>
        <w:t>Follow ownership chains through multiple tiers of entities to identify natural persons</w:t>
      </w:r>
    </w:p>
    <w:p>
      <w:r>
        <w:rPr>
          <w:b/>
        </w:rPr>
        <w:t xml:space="preserve">Third-Party Data Verification: </w:t>
      </w:r>
      <w:r>
        <w:t>Cross-check against commercial databases, news sources, government records</w:t>
      </w:r>
    </w:p>
    <w:p>
      <w:r>
        <w:rPr>
          <w:b/>
        </w:rPr>
        <w:t xml:space="preserve">Adverse Media Screening: </w:t>
      </w:r>
      <w:r>
        <w:t>Review news and public records for sanctions designations, political exposure, or adverse activity</w:t>
      </w:r>
    </w:p>
    <w:p>
      <w:r>
        <w:rPr>
          <w:b/>
        </w:rPr>
        <w:t xml:space="preserve">Personal Financial Review: </w:t>
      </w:r>
      <w:r>
        <w:t>For identified individuals, assess financial capacity to own entities; identify sources of funds</w:t>
      </w:r>
    </w:p>
    <w:p>
      <w:r>
        <w:rPr>
          <w:b/>
        </w:rPr>
        <w:t xml:space="preserve">Transactional Review: </w:t>
      </w:r>
      <w:r>
        <w:t>Analyze actual funds flows and beneficiary patterns to validate declared ownership structure</w:t>
      </w:r>
    </w:p>
    <w:p>
      <w:r>
        <w:rPr>
          <w:b/>
        </w:rPr>
        <w:t xml:space="preserve">Ongoing Monitoring: </w:t>
      </w:r>
      <w:r>
        <w:t>Periodically update beneficial ownership information; monitor for undisclosed changes in control</w:t>
      </w:r>
    </w:p>
    <w:p>
      <w:r>
        <w:br w:type="page"/>
      </w:r>
    </w:p>
    <w:p>
      <w:pPr>
        <w:pStyle w:val="Heading1"/>
      </w:pPr>
      <w:r>
        <w:t>APPENDIX E: KEY DEFINITIONS AND TERMINOLOGY</w:t>
      </w:r>
    </w:p>
    <w:p>
      <w:r>
        <w:rPr>
          <w:b/>
        </w:rPr>
        <w:t xml:space="preserve">Anti-Money Laundering (AML): </w:t>
      </w:r>
      <w:r>
        <w:t>Laws, regulations, and procedures designed to prevent money laundering and terrorist financing</w:t>
      </w:r>
    </w:p>
    <w:p>
      <w:r>
        <w:rPr>
          <w:b/>
        </w:rPr>
        <w:t xml:space="preserve">Trade-Based Money Laundering (TBML): </w:t>
      </w:r>
      <w:r>
        <w:t>Using trade transactions to move value across borders and obscure the origins of illicit proceeds</w:t>
      </w:r>
    </w:p>
    <w:p>
      <w:r>
        <w:rPr>
          <w:b/>
        </w:rPr>
        <w:t xml:space="preserve">Beneficial Ownership: </w:t>
      </w:r>
      <w:r>
        <w:t>The natural person(s) who ultimately owns or controls an entity, regardless of legal form</w:t>
      </w:r>
    </w:p>
    <w:p>
      <w:r>
        <w:rPr>
          <w:b/>
        </w:rPr>
        <w:t xml:space="preserve">Sanctions Compliance: </w:t>
      </w:r>
      <w:r>
        <w:t>The requirement to screen customers and transactions against government designation lists</w:t>
      </w:r>
    </w:p>
    <w:p>
      <w:r>
        <w:rPr>
          <w:b/>
        </w:rPr>
        <w:t xml:space="preserve">Know Your Customer (KYC): </w:t>
      </w:r>
      <w:r>
        <w:t>Due diligence process to identify and verify customer identity and assess risk</w:t>
      </w:r>
    </w:p>
    <w:p>
      <w:r>
        <w:rPr>
          <w:b/>
        </w:rPr>
        <w:t xml:space="preserve">Suspicious Activity Report (SAR): </w:t>
      </w:r>
      <w:r>
        <w:t>Report filed by financial institutions when suspicious transactions are detected</w:t>
      </w:r>
    </w:p>
    <w:p>
      <w:r>
        <w:rPr>
          <w:b/>
        </w:rPr>
        <w:t xml:space="preserve">Financial Intelligence Unit (FIU): </w:t>
      </w:r>
      <w:r>
        <w:t>Government agency responsible for receiving, analyzing and disseminating financial intelligence</w:t>
      </w:r>
    </w:p>
    <w:p>
      <w:r>
        <w:rPr>
          <w:b/>
        </w:rPr>
        <w:t xml:space="preserve">Hawala: </w:t>
      </w:r>
      <w:r>
        <w:t>Informal remittance system operating outside traditional banking channels</w:t>
      </w:r>
    </w:p>
    <w:p>
      <w:r>
        <w:rPr>
          <w:b/>
        </w:rPr>
        <w:t xml:space="preserve">Counter-Terrorist Financing (CFT): </w:t>
      </w:r>
      <w:r>
        <w:t>Measures to prevent financial support to terrorist organizations and activities</w:t>
      </w:r>
    </w:p>
    <w:p>
      <w:r>
        <w:rPr>
          <w:b/>
        </w:rPr>
        <w:t xml:space="preserve">Politically Exposed Person (PEP): </w:t>
      </w:r>
      <w:r>
        <w:t>Individual holding prominent public position in government, military, or judiciary</w:t>
      </w:r>
    </w:p>
    <w:p>
      <w:r>
        <w:rPr>
          <w:b/>
        </w:rPr>
        <w:t xml:space="preserve">Enhanced Due Diligence (EDD): </w:t>
      </w:r>
      <w:r>
        <w:t>Heightened customer identification and verification for high-risk customers/jurisdictions</w:t>
      </w:r>
    </w:p>
    <w:p>
      <w:r>
        <w:rPr>
          <w:b/>
        </w:rPr>
        <w:t xml:space="preserve">Sanctions Evasion: </w:t>
      </w:r>
      <w:r>
        <w:t>Illegal circumvention of economic sanctions through complex financial arrangements</w:t>
      </w:r>
    </w:p>
    <w:p>
      <w:r>
        <w:rPr>
          <w:b/>
        </w:rPr>
        <w:t xml:space="preserve">Shell Company: </w:t>
      </w:r>
      <w:r>
        <w:t>Legal entity with no significant business operations or assets, often used to obscure ownership</w:t>
      </w:r>
    </w:p>
    <w:p>
      <w:r>
        <w:rPr>
          <w:b/>
        </w:rPr>
        <w:t xml:space="preserve">Over-Invoicing: </w:t>
      </w:r>
      <w:r>
        <w:t>Charging inflated prices on invoices to transfer illicit funds across borders</w:t>
      </w:r>
    </w:p>
    <w:p>
      <w:r>
        <w:rPr>
          <w:b/>
        </w:rPr>
        <w:t xml:space="preserve">Informal Value Transfer: </w:t>
      </w:r>
      <w:r>
        <w:t>Movement of money outside formal banking channels (hawala, smuggling, etc.)</w:t>
      </w:r>
    </w:p>
    <w:p>
      <w:r>
        <w:br w:type="page"/>
      </w:r>
    </w:p>
    <w:p>
      <w:pPr>
        <w:pStyle w:val="Heading1"/>
      </w:pPr>
      <w:r>
        <w:t>APPENDIX F: INVESTIGATION STATISTICS AND PERFORMANCE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Count</w:t>
            </w:r>
          </w:p>
        </w:tc>
        <w:tc>
          <w:tcPr>
            <w:tcW w:type="dxa" w:w="2880"/>
          </w:tcPr>
          <w:p>
            <w:r>
              <w:t>Status</w:t>
            </w:r>
          </w:p>
        </w:tc>
      </w:tr>
      <w:tr>
        <w:tc>
          <w:tcPr>
            <w:tcW w:type="dxa" w:w="2880"/>
          </w:tcPr>
          <w:p>
            <w:r>
              <w:t>Alerts Generated</w:t>
            </w:r>
          </w:p>
        </w:tc>
        <w:tc>
          <w:tcPr>
            <w:tcW w:type="dxa" w:w="2880"/>
          </w:tcPr>
          <w:p>
            <w:r>
              <w:t>247</w:t>
            </w:r>
          </w:p>
        </w:tc>
        <w:tc>
          <w:tcPr>
            <w:tcW w:type="dxa" w:w="2880"/>
          </w:tcPr>
          <w:p>
            <w:r>
              <w:t>Processed</w:t>
            </w:r>
          </w:p>
        </w:tc>
      </w:tr>
      <w:tr>
        <w:tc>
          <w:tcPr>
            <w:tcW w:type="dxa" w:w="2880"/>
          </w:tcPr>
          <w:p>
            <w:r>
              <w:t>Active Investigations</w:t>
            </w:r>
          </w:p>
        </w:tc>
        <w:tc>
          <w:tcPr>
            <w:tcW w:type="dxa" w:w="2880"/>
          </w:tcPr>
          <w:p>
            <w:r>
              <w:t>34</w:t>
            </w:r>
          </w:p>
        </w:tc>
        <w:tc>
          <w:tcPr>
            <w:tcW w:type="dxa" w:w="2880"/>
          </w:tcPr>
          <w:p>
            <w:r>
              <w:t>Ongoing</w:t>
            </w:r>
          </w:p>
        </w:tc>
      </w:tr>
      <w:tr>
        <w:tc>
          <w:tcPr>
            <w:tcW w:type="dxa" w:w="2880"/>
          </w:tcPr>
          <w:p>
            <w:r>
              <w:t>Cases Closed</w:t>
            </w:r>
          </w:p>
        </w:tc>
        <w:tc>
          <w:tcPr>
            <w:tcW w:type="dxa" w:w="2880"/>
          </w:tcPr>
          <w:p>
            <w:r>
              <w:t>198</w:t>
            </w:r>
          </w:p>
        </w:tc>
        <w:tc>
          <w:tcPr>
            <w:tcW w:type="dxa" w:w="2880"/>
          </w:tcPr>
          <w:p>
            <w:r>
              <w:t>Completed</w:t>
            </w:r>
          </w:p>
        </w:tc>
      </w:tr>
      <w:tr>
        <w:tc>
          <w:tcPr>
            <w:tcW w:type="dxa" w:w="2880"/>
          </w:tcPr>
          <w:p>
            <w:r>
              <w:t>Referrals to Law Enforcement</w:t>
            </w:r>
          </w:p>
        </w:tc>
        <w:tc>
          <w:tcPr>
            <w:tcW w:type="dxa" w:w="2880"/>
          </w:tcPr>
          <w:p>
            <w:r>
              <w:t>28</w:t>
            </w:r>
          </w:p>
        </w:tc>
        <w:tc>
          <w:tcPr>
            <w:tcW w:type="dxa" w:w="2880"/>
          </w:tcPr>
          <w:p>
            <w:r>
              <w:t>Filed</w:t>
            </w:r>
          </w:p>
        </w:tc>
      </w:tr>
      <w:tr>
        <w:tc>
          <w:tcPr>
            <w:tcW w:type="dxa" w:w="2880"/>
          </w:tcPr>
          <w:p>
            <w:r>
              <w:t>Estimated Proceeds Traced</w:t>
            </w:r>
          </w:p>
        </w:tc>
        <w:tc>
          <w:tcPr>
            <w:tcW w:type="dxa" w:w="2880"/>
          </w:tcPr>
          <w:p>
            <w:r>
              <w:t>$8.2B</w:t>
            </w:r>
          </w:p>
        </w:tc>
        <w:tc>
          <w:tcPr>
            <w:tcW w:type="dxa" w:w="2880"/>
          </w:tcPr>
          <w:p>
            <w:r>
              <w:t>Documented</w:t>
            </w:r>
          </w:p>
        </w:tc>
      </w:tr>
    </w:tbl>
    <w:p/>
    <w:p>
      <w:pPr>
        <w:pStyle w:val="Heading2"/>
      </w:pPr>
      <w:r>
        <w:t>F.1 Regional Investigation Breakdown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Alerts</w:t>
            </w:r>
          </w:p>
        </w:tc>
        <w:tc>
          <w:tcPr>
            <w:tcW w:type="dxa" w:w="1728"/>
          </w:tcPr>
          <w:p>
            <w:r>
              <w:t>Investigations</w:t>
            </w:r>
          </w:p>
        </w:tc>
        <w:tc>
          <w:tcPr>
            <w:tcW w:type="dxa" w:w="1728"/>
          </w:tcPr>
          <w:p>
            <w:r>
              <w:t>Referrals</w:t>
            </w:r>
          </w:p>
        </w:tc>
        <w:tc>
          <w:tcPr>
            <w:tcW w:type="dxa" w:w="1728"/>
          </w:tcPr>
          <w:p>
            <w:r>
              <w:t>Est. Value Traced</w:t>
            </w:r>
          </w:p>
        </w:tc>
      </w:tr>
      <w:tr>
        <w:tc>
          <w:tcPr>
            <w:tcW w:type="dxa" w:w="1728"/>
          </w:tcPr>
          <w:p>
            <w:r>
              <w:t>North Africa</w:t>
            </w:r>
          </w:p>
        </w:tc>
        <w:tc>
          <w:tcPr>
            <w:tcW w:type="dxa" w:w="1728"/>
          </w:tcPr>
          <w:p>
            <w:r>
              <w:t>62</w:t>
            </w:r>
          </w:p>
        </w:tc>
        <w:tc>
          <w:tcPr>
            <w:tcW w:type="dxa" w:w="1728"/>
          </w:tcPr>
          <w:p>
            <w:r>
              <w:t>8</w:t>
            </w:r>
          </w:p>
        </w:tc>
        <w:tc>
          <w:tcPr>
            <w:tcW w:type="dxa" w:w="1728"/>
          </w:tcPr>
          <w:p>
            <w:r>
              <w:t>7</w:t>
            </w:r>
          </w:p>
        </w:tc>
        <w:tc>
          <w:tcPr>
            <w:tcW w:type="dxa" w:w="1728"/>
          </w:tcPr>
          <w:p>
            <w:r>
              <w:t>$2.1B</w:t>
            </w:r>
          </w:p>
        </w:tc>
      </w:tr>
      <w:tr>
        <w:tc>
          <w:tcPr>
            <w:tcW w:type="dxa" w:w="1728"/>
          </w:tcPr>
          <w:p>
            <w:r>
              <w:t>Eastern Europe</w:t>
            </w:r>
          </w:p>
        </w:tc>
        <w:tc>
          <w:tcPr>
            <w:tcW w:type="dxa" w:w="1728"/>
          </w:tcPr>
          <w:p>
            <w:r>
              <w:t>68</w:t>
            </w:r>
          </w:p>
        </w:tc>
        <w:tc>
          <w:tcPr>
            <w:tcW w:type="dxa" w:w="1728"/>
          </w:tcPr>
          <w:p>
            <w:r>
              <w:t>9</w:t>
            </w:r>
          </w:p>
        </w:tc>
        <w:tc>
          <w:tcPr>
            <w:tcW w:type="dxa" w:w="1728"/>
          </w:tcPr>
          <w:p>
            <w:r>
              <w:t>8</w:t>
            </w:r>
          </w:p>
        </w:tc>
        <w:tc>
          <w:tcPr>
            <w:tcW w:type="dxa" w:w="1728"/>
          </w:tcPr>
          <w:p>
            <w:r>
              <w:t>$2.3B</w:t>
            </w:r>
          </w:p>
        </w:tc>
      </w:tr>
      <w:tr>
        <w:tc>
          <w:tcPr>
            <w:tcW w:type="dxa" w:w="1728"/>
          </w:tcPr>
          <w:p>
            <w:r>
              <w:t>Southeast Asia</w:t>
            </w:r>
          </w:p>
        </w:tc>
        <w:tc>
          <w:tcPr>
            <w:tcW w:type="dxa" w:w="1728"/>
          </w:tcPr>
          <w:p>
            <w:r>
              <w:t>72</w:t>
            </w:r>
          </w:p>
        </w:tc>
        <w:tc>
          <w:tcPr>
            <w:tcW w:type="dxa" w:w="1728"/>
          </w:tcPr>
          <w:p>
            <w:r>
              <w:t>10</w:t>
            </w:r>
          </w:p>
        </w:tc>
        <w:tc>
          <w:tcPr>
            <w:tcW w:type="dxa" w:w="1728"/>
          </w:tcPr>
          <w:p>
            <w:r>
              <w:t>8</w:t>
            </w:r>
          </w:p>
        </w:tc>
        <w:tc>
          <w:tcPr>
            <w:tcW w:type="dxa" w:w="1728"/>
          </w:tcPr>
          <w:p>
            <w:r>
              <w:t>$2.4B</w:t>
            </w:r>
          </w:p>
        </w:tc>
      </w:tr>
      <w:tr>
        <w:tc>
          <w:tcPr>
            <w:tcW w:type="dxa" w:w="1728"/>
          </w:tcPr>
          <w:p>
            <w:r>
              <w:t>Middle East</w:t>
            </w:r>
          </w:p>
        </w:tc>
        <w:tc>
          <w:tcPr>
            <w:tcW w:type="dxa" w:w="1728"/>
          </w:tcPr>
          <w:p>
            <w:r>
              <w:t>45</w:t>
            </w:r>
          </w:p>
        </w:tc>
        <w:tc>
          <w:tcPr>
            <w:tcW w:type="dxa" w:w="1728"/>
          </w:tcPr>
          <w:p>
            <w:r>
              <w:t>7</w:t>
            </w:r>
          </w:p>
        </w:tc>
        <w:tc>
          <w:tcPr>
            <w:tcW w:type="dxa" w:w="1728"/>
          </w:tcPr>
          <w:p>
            <w:r>
              <w:t>5</w:t>
            </w:r>
          </w:p>
        </w:tc>
        <w:tc>
          <w:tcPr>
            <w:tcW w:type="dxa" w:w="1728"/>
          </w:tcPr>
          <w:p>
            <w:r>
              <w:t>$1.4B</w:t>
            </w:r>
          </w:p>
        </w:tc>
      </w:tr>
    </w:tbl>
    <w:p>
      <w:r>
        <w:br w:type="page"/>
      </w:r>
    </w:p>
    <w:p>
      <w:pPr>
        <w:pStyle w:val="Heading2"/>
      </w:pPr>
      <w:r>
        <w:t>F.2 Case Resolution Timeline</w:t>
      </w:r>
    </w:p>
    <w:p>
      <w:r>
        <w:t>Analysis of investigation timeframes from alert to case closure: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Investigation Stage</w:t>
            </w:r>
          </w:p>
        </w:tc>
        <w:tc>
          <w:tcPr>
            <w:tcW w:type="dxa" w:w="2880"/>
          </w:tcPr>
          <w:p>
            <w:r>
              <w:t>Average Duration</w:t>
            </w:r>
          </w:p>
        </w:tc>
        <w:tc>
          <w:tcPr>
            <w:tcW w:type="dxa" w:w="2880"/>
          </w:tcPr>
          <w:p>
            <w:r>
              <w:t>Number of Cases</w:t>
            </w:r>
          </w:p>
        </w:tc>
      </w:tr>
      <w:tr>
        <w:tc>
          <w:tcPr>
            <w:tcW w:type="dxa" w:w="2880"/>
          </w:tcPr>
          <w:p>
            <w:r>
              <w:t>Initial Alert Screening</w:t>
            </w:r>
          </w:p>
        </w:tc>
        <w:tc>
          <w:tcPr>
            <w:tcW w:type="dxa" w:w="2880"/>
          </w:tcPr>
          <w:p>
            <w:r>
              <w:t>3-7 days</w:t>
            </w:r>
          </w:p>
        </w:tc>
        <w:tc>
          <w:tcPr>
            <w:tcW w:type="dxa" w:w="2880"/>
          </w:tcPr>
          <w:p>
            <w:r>
              <w:t>247</w:t>
            </w:r>
          </w:p>
        </w:tc>
      </w:tr>
      <w:tr>
        <w:tc>
          <w:tcPr>
            <w:tcW w:type="dxa" w:w="2880"/>
          </w:tcPr>
          <w:p>
            <w:r>
              <w:t>Full Investigation</w:t>
            </w:r>
          </w:p>
        </w:tc>
        <w:tc>
          <w:tcPr>
            <w:tcW w:type="dxa" w:w="2880"/>
          </w:tcPr>
          <w:p>
            <w:r>
              <w:t>45-90 days</w:t>
            </w:r>
          </w:p>
        </w:tc>
        <w:tc>
          <w:tcPr>
            <w:tcW w:type="dxa" w:w="2880"/>
          </w:tcPr>
          <w:p>
            <w:r>
              <w:t>215</w:t>
            </w:r>
          </w:p>
        </w:tc>
      </w:tr>
      <w:tr>
        <w:tc>
          <w:tcPr>
            <w:tcW w:type="dxa" w:w="2880"/>
          </w:tcPr>
          <w:p>
            <w:r>
              <w:t>Law Enforcement Referral</w:t>
            </w:r>
          </w:p>
        </w:tc>
        <w:tc>
          <w:tcPr>
            <w:tcW w:type="dxa" w:w="2880"/>
          </w:tcPr>
          <w:p>
            <w:r>
              <w:t>15-30 days after decision</w:t>
            </w:r>
          </w:p>
        </w:tc>
        <w:tc>
          <w:tcPr>
            <w:tcW w:type="dxa" w:w="2880"/>
          </w:tcPr>
          <w:p>
            <w:r>
              <w:t>28</w:t>
            </w:r>
          </w:p>
        </w:tc>
      </w:tr>
      <w:tr>
        <w:tc>
          <w:tcPr>
            <w:tcW w:type="dxa" w:w="2880"/>
          </w:tcPr>
          <w:p>
            <w:r>
              <w:t>Prosecution/Adjudication</w:t>
            </w:r>
          </w:p>
        </w:tc>
        <w:tc>
          <w:tcPr>
            <w:tcW w:type="dxa" w:w="2880"/>
          </w:tcPr>
          <w:p>
            <w:r>
              <w:t>12-36 months</w:t>
            </w:r>
          </w:p>
        </w:tc>
        <w:tc>
          <w:tcPr>
            <w:tcW w:type="dxa" w:w="2880"/>
          </w:tcPr>
          <w:p>
            <w:r>
              <w:t>18 ongoing</w:t>
            </w:r>
          </w:p>
        </w:tc>
      </w:tr>
      <w:tr>
        <w:tc>
          <w:tcPr>
            <w:tcW w:type="dxa" w:w="2880"/>
          </w:tcPr>
          <w:p>
            <w:r>
              <w:t>Total Case Duration</w:t>
            </w:r>
          </w:p>
        </w:tc>
        <w:tc>
          <w:tcPr>
            <w:tcW w:type="dxa" w:w="2880"/>
          </w:tcPr>
          <w:p>
            <w:r>
              <w:t>18-48 months</w:t>
            </w:r>
          </w:p>
        </w:tc>
        <w:tc>
          <w:tcPr>
            <w:tcW w:type="dxa" w:w="2880"/>
          </w:tcPr>
          <w:p>
            <w:r>
              <w:t>Average 26 months</w:t>
            </w:r>
          </w:p>
        </w:tc>
      </w:tr>
    </w:tbl>
    <w:p>
      <w:r>
        <w:br w:type="page"/>
      </w:r>
    </w:p>
    <w:p>
      <w:pPr>
        <w:pStyle w:val="Heading1"/>
      </w:pPr>
      <w:r>
        <w:t>APPENDIX G: DETAILED RISK ASSESSMENT MATRICES</w:t>
      </w:r>
    </w:p>
    <w:p>
      <w:pPr>
        <w:pStyle w:val="Heading2"/>
      </w:pPr>
      <w:r>
        <w:t>G.1 Customer Risk Profile Scoring Model</w:t>
      </w:r>
    </w:p>
    <w:p>
      <w:r>
        <w:t>Financial institutions utilize multi-factor risk scoring models to assess customer ML/TF risk. The following matrix demonstrates the scoring framework: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Risk Factor</w:t>
            </w:r>
          </w:p>
        </w:tc>
        <w:tc>
          <w:tcPr>
            <w:tcW w:type="dxa" w:w="2160"/>
          </w:tcPr>
          <w:p>
            <w:r>
              <w:t>Low Score</w:t>
            </w:r>
          </w:p>
        </w:tc>
        <w:tc>
          <w:tcPr>
            <w:tcW w:type="dxa" w:w="2160"/>
          </w:tcPr>
          <w:p>
            <w:r>
              <w:t>Medium Score</w:t>
            </w:r>
          </w:p>
        </w:tc>
        <w:tc>
          <w:tcPr>
            <w:tcW w:type="dxa" w:w="2160"/>
          </w:tcPr>
          <w:p>
            <w:r>
              <w:t>High Score</w:t>
            </w:r>
          </w:p>
        </w:tc>
      </w:tr>
      <w:tr>
        <w:tc>
          <w:tcPr>
            <w:tcW w:type="dxa" w:w="2160"/>
          </w:tcPr>
          <w:p>
            <w:r>
              <w:t>Geographic Risk</w:t>
            </w:r>
          </w:p>
        </w:tc>
        <w:tc>
          <w:tcPr>
            <w:tcW w:type="dxa" w:w="2160"/>
          </w:tcPr>
          <w:p>
            <w:r>
              <w:t>1-2 points (Low-risk countries)</w:t>
            </w:r>
          </w:p>
        </w:tc>
        <w:tc>
          <w:tcPr>
            <w:tcW w:type="dxa" w:w="2160"/>
          </w:tcPr>
          <w:p>
            <w:r>
              <w:t>3-4 points (Medium-risk regions)</w:t>
            </w:r>
          </w:p>
        </w:tc>
        <w:tc>
          <w:tcPr>
            <w:tcW w:type="dxa" w:w="2160"/>
          </w:tcPr>
          <w:p>
            <w:r>
              <w:t>5-6 points (High-risk jurisdictions)</w:t>
            </w:r>
          </w:p>
        </w:tc>
      </w:tr>
      <w:tr>
        <w:tc>
          <w:tcPr>
            <w:tcW w:type="dxa" w:w="2160"/>
          </w:tcPr>
          <w:p>
            <w:r>
              <w:t>Customer Type Risk</w:t>
            </w:r>
          </w:p>
        </w:tc>
        <w:tc>
          <w:tcPr>
            <w:tcW w:type="dxa" w:w="2160"/>
          </w:tcPr>
          <w:p>
            <w:r>
              <w:t>1-2 points (Corporate, established)</w:t>
            </w:r>
          </w:p>
        </w:tc>
        <w:tc>
          <w:tcPr>
            <w:tcW w:type="dxa" w:w="2160"/>
          </w:tcPr>
          <w:p>
            <w:r>
              <w:t>3-4 points (SME, emerging markets)</w:t>
            </w:r>
          </w:p>
        </w:tc>
        <w:tc>
          <w:tcPr>
            <w:tcW w:type="dxa" w:w="2160"/>
          </w:tcPr>
          <w:p>
            <w:r>
              <w:t>5-6 points (High-risk PEP, shell cos)</w:t>
            </w:r>
          </w:p>
        </w:tc>
      </w:tr>
      <w:tr>
        <w:tc>
          <w:tcPr>
            <w:tcW w:type="dxa" w:w="2160"/>
          </w:tcPr>
          <w:p>
            <w:r>
              <w:t>Transaction Pattern Risk</w:t>
            </w:r>
          </w:p>
        </w:tc>
        <w:tc>
          <w:tcPr>
            <w:tcW w:type="dxa" w:w="2160"/>
          </w:tcPr>
          <w:p>
            <w:r>
              <w:t>1-2 points (Consistent, low volume)</w:t>
            </w:r>
          </w:p>
        </w:tc>
        <w:tc>
          <w:tcPr>
            <w:tcW w:type="dxa" w:w="2160"/>
          </w:tcPr>
          <w:p>
            <w:r>
              <w:t>3-4 points (Variable, moderate volume)</w:t>
            </w:r>
          </w:p>
        </w:tc>
        <w:tc>
          <w:tcPr>
            <w:tcW w:type="dxa" w:w="2160"/>
          </w:tcPr>
          <w:p>
            <w:r>
              <w:t>5-6 points (Erratic, high volume)</w:t>
            </w:r>
          </w:p>
        </w:tc>
      </w:tr>
      <w:tr>
        <w:tc>
          <w:tcPr>
            <w:tcW w:type="dxa" w:w="2160"/>
          </w:tcPr>
          <w:p>
            <w:r>
              <w:t>Beneficial Ownership Risk</w:t>
            </w:r>
          </w:p>
        </w:tc>
        <w:tc>
          <w:tcPr>
            <w:tcW w:type="dxa" w:w="2160"/>
          </w:tcPr>
          <w:p>
            <w:r>
              <w:t>1-2 points (Clear, verified)</w:t>
            </w:r>
          </w:p>
        </w:tc>
        <w:tc>
          <w:tcPr>
            <w:tcW w:type="dxa" w:w="2160"/>
          </w:tcPr>
          <w:p>
            <w:r>
              <w:t>3-4 points (Multiple tiers, unclear)</w:t>
            </w:r>
          </w:p>
        </w:tc>
        <w:tc>
          <w:tcPr>
            <w:tcW w:type="dxa" w:w="2160"/>
          </w:tcPr>
          <w:p>
            <w:r>
              <w:t>5-6 points (Opaque, shell structures)</w:t>
            </w:r>
          </w:p>
        </w:tc>
      </w:tr>
      <w:tr>
        <w:tc>
          <w:tcPr>
            <w:tcW w:type="dxa" w:w="2160"/>
          </w:tcPr>
          <w:p>
            <w:r>
              <w:t>Source of Funds Risk</w:t>
            </w:r>
          </w:p>
        </w:tc>
        <w:tc>
          <w:tcPr>
            <w:tcW w:type="dxa" w:w="2160"/>
          </w:tcPr>
          <w:p>
            <w:r>
              <w:t>1-2 points (Documented, legitimate)</w:t>
            </w:r>
          </w:p>
        </w:tc>
        <w:tc>
          <w:tcPr>
            <w:tcW w:type="dxa" w:w="2160"/>
          </w:tcPr>
          <w:p>
            <w:r>
              <w:t>3-4 points (Partially documented)</w:t>
            </w:r>
          </w:p>
        </w:tc>
        <w:tc>
          <w:tcPr>
            <w:tcW w:type="dxa" w:w="2160"/>
          </w:tcPr>
          <w:p>
            <w:r>
              <w:t>5-6 points (No documentation, suspicious)</w:t>
            </w:r>
          </w:p>
        </w:tc>
      </w:tr>
    </w:tbl>
    <w:p>
      <w:r>
        <w:br w:type="page"/>
      </w:r>
    </w:p>
    <w:p>
      <w:pPr>
        <w:pStyle w:val="Heading2"/>
      </w:pPr>
      <w:r>
        <w:t>G.2 Transaction Risk Classification Framework</w:t>
      </w:r>
    </w:p>
    <w:p>
      <w:r>
        <w:t>Individual transactions are scored based on the following characteristics: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 Level</w:t>
            </w:r>
          </w:p>
        </w:tc>
        <w:tc>
          <w:tcPr>
            <w:tcW w:type="dxa" w:w="2880"/>
          </w:tcPr>
          <w:p>
            <w:r>
              <w:t>Characteristics</w:t>
            </w:r>
          </w:p>
        </w:tc>
        <w:tc>
          <w:tcPr>
            <w:tcW w:type="dxa" w:w="2880"/>
          </w:tcPr>
          <w:p>
            <w:r>
              <w:t>Required Action</w:t>
            </w:r>
          </w:p>
        </w:tc>
      </w:tr>
      <w:tr>
        <w:tc>
          <w:tcPr>
            <w:tcW w:type="dxa" w:w="2880"/>
          </w:tcPr>
          <w:p>
            <w:r>
              <w:t>LOW (1-2 pts)</w:t>
            </w:r>
          </w:p>
        </w:tc>
        <w:tc>
          <w:tcPr>
            <w:tcW w:type="dxa" w:w="2880"/>
          </w:tcPr>
          <w:p>
            <w:r>
              <w:t>Routine transaction; consistent with customer profile; low-risk geography; clear documentation</w:t>
            </w:r>
          </w:p>
        </w:tc>
        <w:tc>
          <w:tcPr>
            <w:tcW w:type="dxa" w:w="2880"/>
          </w:tcPr>
          <w:p>
            <w:r>
              <w:t>Standard monitoring; no escalation</w:t>
            </w:r>
          </w:p>
        </w:tc>
      </w:tr>
      <w:tr>
        <w:tc>
          <w:tcPr>
            <w:tcW w:type="dxa" w:w="2880"/>
          </w:tcPr>
          <w:p>
            <w:r>
              <w:t>MEDIUM (3-4 pts)</w:t>
            </w:r>
          </w:p>
        </w:tc>
        <w:tc>
          <w:tcPr>
            <w:tcW w:type="dxa" w:w="2880"/>
          </w:tcPr>
          <w:p>
            <w:r>
              <w:t>Slight deviation from profile; moderate-risk geography; documentation gaps; needs clarification</w:t>
            </w:r>
          </w:p>
        </w:tc>
        <w:tc>
          <w:tcPr>
            <w:tcW w:type="dxa" w:w="2880"/>
          </w:tcPr>
          <w:p>
            <w:r>
              <w:t>Enhanced review; customer clarification; ongoing monitoring</w:t>
            </w:r>
          </w:p>
        </w:tc>
      </w:tr>
      <w:tr>
        <w:tc>
          <w:tcPr>
            <w:tcW w:type="dxa" w:w="2880"/>
          </w:tcPr>
          <w:p>
            <w:r>
              <w:t>HIGH (5-7 pts)</w:t>
            </w:r>
          </w:p>
        </w:tc>
        <w:tc>
          <w:tcPr>
            <w:tcW w:type="dxa" w:w="2880"/>
          </w:tcPr>
          <w:p>
            <w:r>
              <w:t>Significant deviation; high-risk geography; missing documentation; suspicious indicators present</w:t>
            </w:r>
          </w:p>
        </w:tc>
        <w:tc>
          <w:tcPr>
            <w:tcW w:type="dxa" w:w="2880"/>
          </w:tcPr>
          <w:p>
            <w:r>
              <w:t>Detailed investigation; SAR filing consideration; possible relationship review</w:t>
            </w:r>
          </w:p>
        </w:tc>
      </w:tr>
      <w:tr>
        <w:tc>
          <w:tcPr>
            <w:tcW w:type="dxa" w:w="2880"/>
          </w:tcPr>
          <w:p>
            <w:r>
              <w:t>CRITICAL (8+ pts)</w:t>
            </w:r>
          </w:p>
        </w:tc>
        <w:tc>
          <w:tcPr>
            <w:tcW w:type="dxa" w:w="2880"/>
          </w:tcPr>
          <w:p>
            <w:r>
              <w:t>Extreme risk indicators; known sanctions risks; documented criminal history; major red flags</w:t>
            </w:r>
          </w:p>
        </w:tc>
        <w:tc>
          <w:tcPr>
            <w:tcW w:type="dxa" w:w="2880"/>
          </w:tcPr>
          <w:p>
            <w:r>
              <w:t>Immediate investigation; SAR filing; account closure review; law enforcement referral</w:t>
            </w:r>
          </w:p>
        </w:tc>
      </w:tr>
      <w:tr>
        <w:tc>
          <w:tcPr>
            <w:tcW w:type="dxa" w:w="2880"/>
          </w:tcPr>
          <w:p/>
        </w:tc>
        <w:tc>
          <w:tcPr>
            <w:tcW w:type="dxa" w:w="2880"/>
          </w:tcPr>
          <w:p/>
        </w:tc>
        <w:tc>
          <w:tcPr>
            <w:tcW w:type="dxa" w:w="2880"/>
          </w:tcPr>
          <w:p/>
        </w:tc>
      </w:tr>
    </w:tbl>
    <w:p>
      <w:r>
        <w:br w:type="page"/>
      </w:r>
    </w:p>
    <w:p>
      <w:pPr>
        <w:pStyle w:val="Heading1"/>
      </w:pPr>
      <w:r>
        <w:t>APPENDIX H: COMPREHENSIVE SANCTIONS SCREENING PROTOCOL</w:t>
      </w:r>
    </w:p>
    <w:p>
      <w:pPr>
        <w:pStyle w:val="Heading2"/>
      </w:pPr>
      <w:r>
        <w:t>H.1 Sanctions List Coverage</w:t>
      </w:r>
    </w:p>
    <w:p>
      <w:r>
        <w:t>Financial institutions conducting business in or with high-risk geographies must screen against multiple sanctions authorities and lists:</w:t>
      </w:r>
    </w:p>
    <w:p>
      <w:pPr>
        <w:pStyle w:val="Heading3"/>
      </w:pPr>
      <w:r>
        <w:t>Primary Sanctions Authorities:</w:t>
      </w:r>
    </w:p>
    <w:p>
      <w:r>
        <w:rPr>
          <w:b/>
        </w:rPr>
        <w:t>U.S. Office of Foreign Assets Control (OFAC):</w:t>
      </w:r>
    </w:p>
    <w:p>
      <w:pPr>
        <w:pStyle w:val="ListBullet2"/>
      </w:pPr>
      <w:r>
        <w:t>Specially Designated Nationals (SDN) List - Individual and entity designations</w:t>
      </w:r>
    </w:p>
    <w:p>
      <w:pPr>
        <w:pStyle w:val="ListBullet2"/>
      </w:pPr>
      <w:r>
        <w:t>Foreign Sanction Evaders (FSE) List - Individuals evading U.S. sanctions</w:t>
      </w:r>
    </w:p>
    <w:p>
      <w:pPr>
        <w:pStyle w:val="ListBullet2"/>
      </w:pPr>
      <w:r>
        <w:t>Non-Specially Designated Nationals and Blocked Persons (NS-BPD) List - Secondary targets</w:t>
      </w:r>
    </w:p>
    <w:p>
      <w:pPr>
        <w:pStyle w:val="ListBullet2"/>
      </w:pPr>
      <w:r>
        <w:t>Sectoral Sanctions Identifications (SSI) List - Entities in sanctioned sectors (Russia)</w:t>
      </w:r>
    </w:p>
    <w:p>
      <w:pPr>
        <w:pStyle w:val="ListBullet2"/>
      </w:pPr>
      <w:r>
        <w:t>The Consolidated Non-SDN Menu-Based Sanctions List (CNMSL) - Aggregated designations</w:t>
      </w:r>
    </w:p>
    <w:p>
      <w:r>
        <w:rPr>
          <w:b/>
        </w:rPr>
        <w:t>United Nations Security Council (UNSC):</w:t>
      </w:r>
    </w:p>
    <w:p>
      <w:pPr>
        <w:pStyle w:val="ListBullet2"/>
      </w:pPr>
      <w:r>
        <w:t>ISIL (ISIS) and Al-Qaeda Sanctions List (1373/1267 Committee)</w:t>
      </w:r>
    </w:p>
    <w:p>
      <w:pPr>
        <w:pStyle w:val="ListBullet2"/>
      </w:pPr>
      <w:r>
        <w:t>Iran Sanctions List (1737 Committee - nuclear program)</w:t>
      </w:r>
    </w:p>
    <w:p>
      <w:pPr>
        <w:pStyle w:val="ListBullet2"/>
      </w:pPr>
      <w:r>
        <w:t>North Korea Sanctions List (1718 Committee)</w:t>
      </w:r>
    </w:p>
    <w:p>
      <w:pPr>
        <w:pStyle w:val="ListBullet2"/>
      </w:pPr>
      <w:r>
        <w:t>Liberia Sanctions List (Sierra Leone conflict diamonds)</w:t>
      </w:r>
    </w:p>
    <w:p>
      <w:pPr>
        <w:pStyle w:val="ListBullet2"/>
      </w:pPr>
      <w:r>
        <w:t>Côte d'Ivoire Sanctions List (civil conflict-related)</w:t>
      </w:r>
    </w:p>
    <w:p>
      <w:r>
        <w:rPr>
          <w:b/>
        </w:rPr>
        <w:t>European Union (EU):</w:t>
      </w:r>
    </w:p>
    <w:p>
      <w:pPr>
        <w:pStyle w:val="ListBullet2"/>
      </w:pPr>
      <w:r>
        <w:t>EU Consolidated List (combines all EU autonomous sanctions)</w:t>
      </w:r>
    </w:p>
    <w:p>
      <w:pPr>
        <w:pStyle w:val="ListBullet2"/>
      </w:pPr>
      <w:r>
        <w:t>EU High Representative sanctions lists by program</w:t>
      </w:r>
    </w:p>
    <w:p>
      <w:pPr>
        <w:pStyle w:val="ListBullet2"/>
      </w:pPr>
      <w:r>
        <w:t>Russia/Ukraine sanctions designations</w:t>
      </w:r>
    </w:p>
    <w:p>
      <w:pPr>
        <w:pStyle w:val="ListBullet2"/>
      </w:pPr>
      <w:r>
        <w:t>Venezuela opposition leader designations</w:t>
      </w:r>
    </w:p>
    <w:p>
      <w:pPr>
        <w:pStyle w:val="ListBullet2"/>
      </w:pPr>
      <w:r>
        <w:t>Myanmar military junta sanctions</w:t>
      </w:r>
    </w:p>
    <w:p>
      <w:r>
        <w:rPr>
          <w:b/>
        </w:rPr>
        <w:t>United Kingdom (UK):</w:t>
      </w:r>
    </w:p>
    <w:p>
      <w:pPr>
        <w:pStyle w:val="ListBullet2"/>
      </w:pPr>
      <w:r>
        <w:t>UK Consolidated List (post-Brexit autonomous sanctions)</w:t>
      </w:r>
    </w:p>
    <w:p>
      <w:pPr>
        <w:pStyle w:val="ListBullet2"/>
      </w:pPr>
      <w:r>
        <w:t>Office of Financial Sanctions Implementation (OFSI) designations</w:t>
      </w:r>
    </w:p>
    <w:p>
      <w:pPr>
        <w:pStyle w:val="ListBullet2"/>
      </w:pPr>
      <w:r>
        <w:t>Russia and Belarus sanctions (aligned with OFAC/EU)</w:t>
      </w:r>
    </w:p>
    <w:p>
      <w:pPr>
        <w:pStyle w:val="ListBullet2"/>
      </w:pPr>
      <w:r>
        <w:t>Hong Kong, Venezuela, and Myanmar programs</w:t>
      </w:r>
    </w:p>
    <w:p>
      <w:r>
        <w:rPr>
          <w:b/>
        </w:rPr>
        <w:t>Other Authorities:</w:t>
      </w:r>
    </w:p>
    <w:p>
      <w:pPr>
        <w:pStyle w:val="ListBullet2"/>
      </w:pPr>
      <w:r>
        <w:t>Australian Department of Foreign Affairs and Trade (DFAT)</w:t>
      </w:r>
    </w:p>
    <w:p>
      <w:pPr>
        <w:pStyle w:val="ListBullet2"/>
      </w:pPr>
      <w:r>
        <w:t>Canadian Global Affairs sanctions lists</w:t>
      </w:r>
    </w:p>
    <w:p>
      <w:pPr>
        <w:pStyle w:val="ListBullet2"/>
      </w:pPr>
      <w:r>
        <w:t>Singapore MAS sanctions screening requirements</w:t>
      </w:r>
    </w:p>
    <w:p>
      <w:pPr>
        <w:pStyle w:val="ListBullet2"/>
      </w:pPr>
      <w:r>
        <w:t>Hong Kong Monetary Authority (HKMA) designation lists</w:t>
      </w:r>
    </w:p>
    <w:p>
      <w:r>
        <w:br w:type="page"/>
      </w:r>
    </w:p>
    <w:p>
      <w:pPr>
        <w:pStyle w:val="Heading2"/>
      </w:pPr>
      <w:r>
        <w:t>H.2 Sanctions Screening Frequency and Triggers</w:t>
      </w:r>
    </w:p>
    <w:p>
      <w:r>
        <w:t>Sanctions screening must occur at the following minimum frequencies and on the following triggers:</w:t>
      </w:r>
    </w:p>
    <w:p>
      <w:r>
        <w:rPr>
          <w:b/>
        </w:rPr>
        <w:t xml:space="preserve">Customer Onboarding: </w:t>
      </w:r>
      <w:r>
        <w:t>Mandatory full screening against all applicable sanctions lists before account opening</w:t>
      </w:r>
    </w:p>
    <w:p>
      <w:r>
        <w:rPr>
          <w:b/>
        </w:rPr>
        <w:t xml:space="preserve">Periodic Screening: </w:t>
      </w:r>
      <w:r>
        <w:t>Daily or weekly screening of active customers against updated sanctions lists</w:t>
      </w:r>
    </w:p>
    <w:p>
      <w:r>
        <w:rPr>
          <w:b/>
        </w:rPr>
        <w:t xml:space="preserve">High-Risk Customer Screening: </w:t>
      </w:r>
      <w:r>
        <w:t>Real-time screening for customers in high-risk jurisdictions or with high-risk profiles</w:t>
      </w:r>
    </w:p>
    <w:p>
      <w:r>
        <w:rPr>
          <w:b/>
        </w:rPr>
        <w:t xml:space="preserve">Transaction Screening: </w:t>
      </w:r>
      <w:r>
        <w:t>Screening of all international transactions, wire transfers, and trade transactions</w:t>
      </w:r>
    </w:p>
    <w:p>
      <w:r>
        <w:rPr>
          <w:b/>
        </w:rPr>
        <w:t xml:space="preserve">Beneficial Owner Updates: </w:t>
      </w:r>
      <w:r>
        <w:t>Re-screening when beneficial ownership information is updated or confirmed</w:t>
      </w:r>
    </w:p>
    <w:p>
      <w:r>
        <w:rPr>
          <w:b/>
        </w:rPr>
        <w:t xml:space="preserve">News-Based Triggers: </w:t>
      </w:r>
      <w:r>
        <w:t>Immediate screening when negative media mentions or sanctions announcements occur</w:t>
      </w:r>
    </w:p>
    <w:p>
      <w:r>
        <w:rPr>
          <w:b/>
        </w:rPr>
        <w:t xml:space="preserve">List Updates: </w:t>
      </w:r>
      <w:r>
        <w:t>Screening refreshed immediately upon receipt of updated sanctions list versions</w:t>
      </w:r>
    </w:p>
    <w:p>
      <w:r>
        <w:rPr>
          <w:b/>
        </w:rPr>
        <w:t xml:space="preserve">Watchlist Monitoring: </w:t>
      </w:r>
      <w:r>
        <w:t>Continuous monitoring of deceased high-risk customer watchlists for reuse of names/identities</w:t>
      </w:r>
    </w:p>
    <w:p>
      <w:r>
        <w:br w:type="page"/>
      </w:r>
    </w:p>
    <w:p>
      <w:pPr>
        <w:pStyle w:val="Heading1"/>
      </w:pPr>
      <w:r>
        <w:t>APPENDIX I: AML PROGRAM REMEDIATION FRAMEWORK</w:t>
      </w:r>
    </w:p>
    <w:p>
      <w:pPr>
        <w:pStyle w:val="Heading2"/>
      </w:pPr>
      <w:r>
        <w:t>I.1 Regulatory Deficiency Remediation Process</w:t>
      </w:r>
    </w:p>
    <w:p>
      <w:r>
        <w:t>When deficiencies are identified in AML compliance frameworks, institutions must implement timely remediation. The following framework guides the remediation process:</w:t>
      </w:r>
    </w:p>
    <w:p>
      <w:r>
        <w:t>1. Root Cause Analysis: Determine underlying causes of deficiency (inadequate processes, system limitations, training gaps)</w:t>
      </w:r>
    </w:p>
    <w:p>
      <w:r>
        <w:t>2. Gap Assessment: Quantify scope of deficiency (affected customers, transactions, time period)</w:t>
      </w:r>
    </w:p>
    <w:p>
      <w:r>
        <w:t>3. Remediation Plan Development: Create detailed plan with timelines, responsible parties, and success metrics</w:t>
      </w:r>
    </w:p>
    <w:p>
      <w:r>
        <w:t>4. Interim Controls Implementation: Deploy temporary mitigating controls while permanent solution is developed</w:t>
      </w:r>
    </w:p>
    <w:p>
      <w:r>
        <w:t>5. Permanent Solution Implementation: Deploy permanent process/system changes to address root cause</w:t>
      </w:r>
    </w:p>
    <w:p>
      <w:r>
        <w:t>6. Control Testing: Verify remediation effectiveness through testing and sampling</w:t>
      </w:r>
    </w:p>
    <w:p>
      <w:r>
        <w:t>7. Documentation and Reporting: Document remediation and report to regulators if required</w:t>
      </w:r>
    </w:p>
    <w:p>
      <w:r>
        <w:t>8. Monitoring: Implement ongoing monitoring to ensure deficiency does not recur</w:t>
      </w:r>
    </w:p>
    <w:p>
      <w:pPr>
        <w:pStyle w:val="Heading2"/>
      </w:pPr>
      <w:r>
        <w:t>I.2 Customer Risk Exit Strategy</w:t>
      </w:r>
    </w:p>
    <w:p>
      <w:r>
        <w:t>Financial institutions must develop clear criteria and procedures for exiting high-risk customer relationships. Exit decisions must balance risk management with regulatory obligations and market impact.</w:t>
      </w:r>
    </w:p>
    <w:p>
      <w:pPr>
        <w:pStyle w:val="Heading3"/>
      </w:pPr>
      <w:r>
        <w:t>Exit Decision Factors:</w:t>
      </w:r>
    </w:p>
    <w:p>
      <w:pPr>
        <w:pStyle w:val="ListBullet"/>
      </w:pPr>
      <w:r>
        <w:t>Inability to verify customer identity or beneficial ownership despite reasonable efforts (6+ months)</w:t>
      </w:r>
    </w:p>
    <w:p>
      <w:pPr>
        <w:pStyle w:val="ListBullet"/>
      </w:pPr>
      <w:r>
        <w:t>Consistent refusal to provide required due diligence documentation</w:t>
      </w:r>
    </w:p>
    <w:p>
      <w:pPr>
        <w:pStyle w:val="ListBullet"/>
      </w:pPr>
      <w:r>
        <w:t>High-risk profile incompatible with institution's risk appetite after enhanced due diligence</w:t>
      </w:r>
    </w:p>
    <w:p>
      <w:pPr>
        <w:pStyle w:val="ListBullet"/>
      </w:pPr>
      <w:r>
        <w:t>Repeated suspicious transaction indicators despite customer engagement</w:t>
      </w:r>
    </w:p>
    <w:p>
      <w:pPr>
        <w:pStyle w:val="ListBullet"/>
      </w:pPr>
      <w:r>
        <w:t>Multiple violations of sanctions compliance or transaction limits</w:t>
      </w:r>
    </w:p>
    <w:p>
      <w:pPr>
        <w:pStyle w:val="ListBullet"/>
      </w:pPr>
      <w:r>
        <w:t>Regulatory pressure or guidance suggesting customer exit</w:t>
      </w:r>
    </w:p>
    <w:p>
      <w:pPr>
        <w:pStyle w:val="ListBullet"/>
      </w:pPr>
      <w:r>
        <w:t>Reputational risk factors discovered during enhanced due diligence</w:t>
      </w:r>
    </w:p>
    <w:p>
      <w:pPr>
        <w:pStyle w:val="ListBullet"/>
      </w:pPr>
      <w:r>
        <w:t>Customer involvement in money laundering or terrorism financing</w:t>
      </w:r>
    </w:p>
    <w:p>
      <w:pPr>
        <w:pStyle w:val="Heading3"/>
      </w:pPr>
      <w:r>
        <w:t>Exit Process Requirements:</w:t>
      </w:r>
    </w:p>
    <w:p>
      <w:pPr>
        <w:pStyle w:val="ListBullet"/>
      </w:pPr>
      <w:r>
        <w:t>Regulatory notification: Notify regulators of material account closures if required</w:t>
      </w:r>
    </w:p>
    <w:p>
      <w:pPr>
        <w:pStyle w:val="ListBullet"/>
      </w:pPr>
      <w:r>
        <w:t>Customer notification: Provide written notice with compliance period (15-30 days standard)</w:t>
      </w:r>
    </w:p>
    <w:p>
      <w:pPr>
        <w:pStyle w:val="ListBullet"/>
      </w:pPr>
      <w:r>
        <w:t>Suspicious activity review: Conduct full review before closure; file SAR if warranted</w:t>
      </w:r>
    </w:p>
    <w:p>
      <w:pPr>
        <w:pStyle w:val="ListBullet"/>
      </w:pPr>
      <w:r>
        <w:t>Transaction monitoring: Monitor for suspicious activity during exit transition period</w:t>
      </w:r>
    </w:p>
    <w:p>
      <w:pPr>
        <w:pStyle w:val="ListBullet"/>
      </w:pPr>
      <w:r>
        <w:t>Document retention: Maintain customer files and transaction records per regulatory requirements</w:t>
      </w:r>
    </w:p>
    <w:p>
      <w:pPr>
        <w:pStyle w:val="ListBullet"/>
      </w:pPr>
      <w:r>
        <w:t>Post-closure monitoring: Monitor post-closure payments for suspicious patterns</w:t>
      </w:r>
    </w:p>
    <w:p>
      <w:r>
        <w:br w:type="page"/>
      </w:r>
    </w:p>
    <w:p>
      <w:pPr>
        <w:pStyle w:val="Heading1"/>
      </w:pPr>
      <w:r>
        <w:t>APPENDIX J: CRYPTOCURRENCY AND DIGITAL ASSET LAUNDERING TYPOLOGIES</w:t>
      </w:r>
    </w:p>
    <w:p>
      <w:pPr>
        <w:pStyle w:val="Heading2"/>
      </w:pPr>
      <w:r>
        <w:t>J.1 Cryptocurrency Mixing and Tumbling Services</w:t>
      </w:r>
    </w:p>
    <w:p>
      <w:r>
        <w:t>Cryptocurrency mixing services, also known as "tumblers" or "washers," are services that obscure the source of cryptocurrency funds by combining customer coins with others and returning similar amounts to new wallet addresses. These services represent a significant money laundering risk in the financial system.</w:t>
      </w:r>
    </w:p>
    <w:p>
      <w:pPr>
        <w:pStyle w:val="Heading3"/>
      </w:pPr>
      <w:r>
        <w:t>Risk Characteristics:</w:t>
      </w:r>
    </w:p>
    <w:p>
      <w:pPr>
        <w:pStyle w:val="ListBullet"/>
      </w:pPr>
      <w:r>
        <w:t>Service operators typically charge 1-5% fees from customer funds</w:t>
      </w:r>
    </w:p>
    <w:p>
      <w:pPr>
        <w:pStyle w:val="ListBullet"/>
      </w:pPr>
      <w:r>
        <w:t>Mixing services operate in jurisdictions with weak regulatory oversight</w:t>
      </w:r>
    </w:p>
    <w:p>
      <w:pPr>
        <w:pStyle w:val="ListBullet"/>
      </w:pPr>
      <w:r>
        <w:t>Services often promote anonymity and "privacy" as selling points</w:t>
      </w:r>
    </w:p>
    <w:p>
      <w:pPr>
        <w:pStyle w:val="ListBullet"/>
      </w:pPr>
      <w:r>
        <w:t>Transaction records deliberately obscured through mixing algorithms</w:t>
      </w:r>
    </w:p>
    <w:p>
      <w:pPr>
        <w:pStyle w:val="ListBullet"/>
      </w:pPr>
      <w:r>
        <w:t>Minimal or no KYC requirements; identification of customers nearly impossible</w:t>
      </w:r>
    </w:p>
    <w:p>
      <w:pPr>
        <w:pStyle w:val="ListBullet"/>
      </w:pPr>
      <w:r>
        <w:t>High transaction volumes make detection difficult (thousands per day)</w:t>
      </w:r>
    </w:p>
    <w:p>
      <w:pPr>
        <w:pStyle w:val="ListBullet"/>
      </w:pPr>
      <w:r>
        <w:t>Services regularly migrate to new wallet addresses to avoid blacklisting</w:t>
      </w:r>
    </w:p>
    <w:p>
      <w:pPr>
        <w:pStyle w:val="Heading3"/>
      </w:pPr>
      <w:r>
        <w:t>Detection Indicators:</w:t>
      </w:r>
    </w:p>
    <w:p>
      <w:pPr>
        <w:pStyle w:val="ListBullet"/>
      </w:pPr>
      <w:r>
        <w:t>Customer deposits illicit funds from darknet marketplace into exchange account</w:t>
      </w:r>
    </w:p>
    <w:p>
      <w:pPr>
        <w:pStyle w:val="ListBullet"/>
      </w:pPr>
      <w:r>
        <w:t>Customer immediately transfers to known mixing service wallet address</w:t>
      </w:r>
    </w:p>
    <w:p>
      <w:pPr>
        <w:pStyle w:val="ListBullet"/>
      </w:pPr>
      <w:r>
        <w:t>Mixed cryptocurrency eventually withdrawn to real-world assets (real estate, vehicles)</w:t>
      </w:r>
    </w:p>
    <w:p>
      <w:pPr>
        <w:pStyle w:val="ListBullet"/>
      </w:pPr>
      <w:r>
        <w:t>Pattern repeats across multiple customers, suggesting organized scheme</w:t>
      </w:r>
    </w:p>
    <w:p>
      <w:pPr>
        <w:pStyle w:val="ListBullet"/>
      </w:pPr>
      <w:r>
        <w:t>Cryptocurrency exchange has no documented relationship with mixing services</w:t>
      </w:r>
    </w:p>
    <w:p>
      <w:pPr>
        <w:pStyle w:val="ListBullet"/>
      </w:pPr>
      <w:r>
        <w:t>Customer unable to provide legitimate business rationale for mixing service use</w:t>
      </w:r>
    </w:p>
    <w:p>
      <w:r>
        <w:br w:type="page"/>
      </w:r>
    </w:p>
    <w:p>
      <w:pPr>
        <w:pStyle w:val="Heading2"/>
      </w:pPr>
      <w:r>
        <w:t>J.2 Decentralized Finance (DeFi) Protocols and AML Risks</w:t>
      </w:r>
    </w:p>
    <w:p>
      <w:r>
        <w:t>Decentralized Finance represents a rapidly growing sector where financial services operate on blockchain networks without centralized intermediaries. This innovation creates both opportunities and substantial money laundering risks.</w:t>
      </w:r>
    </w:p>
    <w:p>
      <w:pPr>
        <w:pStyle w:val="Heading3"/>
      </w:pPr>
      <w:r>
        <w:t>DeFi Money Laundering Methods:</w:t>
      </w:r>
    </w:p>
    <w:p>
      <w:r>
        <w:rPr>
          <w:b/>
        </w:rPr>
        <w:t xml:space="preserve">Flash Loans: </w:t>
      </w:r>
      <w:r>
        <w:t>Uncollateralized loans enabling criminals to move large amounts with minimal verification</w:t>
      </w:r>
    </w:p>
    <w:p>
      <w:r>
        <w:rPr>
          <w:b/>
        </w:rPr>
        <w:t xml:space="preserve">Liquidity Pools: </w:t>
      </w:r>
      <w:r>
        <w:t>Deposits to decentralized exchange liquidity pools enabling mixing of legitimate and illicit funds</w:t>
      </w:r>
    </w:p>
    <w:p>
      <w:r>
        <w:rPr>
          <w:b/>
        </w:rPr>
        <w:t xml:space="preserve">Wrapped Tokens: </w:t>
      </w:r>
      <w:r>
        <w:t>Converting cryptocurrency across chains to obscure original transaction source</w:t>
      </w:r>
    </w:p>
    <w:p>
      <w:r>
        <w:rPr>
          <w:b/>
        </w:rPr>
        <w:t xml:space="preserve">Yield Farming: </w:t>
      </w:r>
      <w:r>
        <w:t>Depositing illicit funds into yield farming protocols to generate returns, thus legitimizing source</w:t>
      </w:r>
    </w:p>
    <w:p>
      <w:r>
        <w:rPr>
          <w:b/>
        </w:rPr>
        <w:t xml:space="preserve">Staking: </w:t>
      </w:r>
      <w:r>
        <w:t>Locking illicit cryptocurrency in staking contracts with rewards disguising layering activities</w:t>
      </w:r>
    </w:p>
    <w:p>
      <w:r>
        <w:rPr>
          <w:b/>
        </w:rPr>
        <w:t xml:space="preserve">Cross-Chain Bridges: </w:t>
      </w:r>
      <w:r>
        <w:t>Moving funds across blockchain networks to complicate tracing and detection</w:t>
      </w:r>
    </w:p>
    <w:p>
      <w:r>
        <w:br w:type="page"/>
      </w:r>
    </w:p>
    <w:p>
      <w:pPr>
        <w:pStyle w:val="Heading1"/>
      </w:pPr>
      <w:r>
        <w:t>APPENDIX K: CORRESPONDENT BANKING AND FINANCIAL FLOWS ANALYSIS</w:t>
      </w:r>
    </w:p>
    <w:p>
      <w:pPr>
        <w:pStyle w:val="Heading2"/>
      </w:pPr>
      <w:r>
        <w:t>K.1 Correspondent Banking Network Analysis</w:t>
      </w:r>
    </w:p>
    <w:p>
      <w:r>
        <w:t>Correspondent banking relationships form the backbone of international financial flows, enabling banks in different jurisdictions to process payments and conduct transactions. However, these networks also present significant AML risks in high-risk geographies.</w:t>
      </w:r>
    </w:p>
    <w:p>
      <w:pPr>
        <w:pStyle w:val="Heading3"/>
      </w:pPr>
      <w:r>
        <w:t>Correspondent Banking Risk Factors:</w:t>
      </w:r>
    </w:p>
    <w:p>
      <w:pPr>
        <w:pStyle w:val="ListBullet"/>
      </w:pPr>
      <w:r>
        <w:t>Multiple intermediary banks in transaction chains obscure source and destination of funds</w:t>
      </w:r>
    </w:p>
    <w:p>
      <w:pPr>
        <w:pStyle w:val="ListBullet"/>
      </w:pPr>
      <w:r>
        <w:t>Correspondent banks in high-risk jurisdictions may have weak AML controls</w:t>
      </w:r>
    </w:p>
    <w:p>
      <w:pPr>
        <w:pStyle w:val="ListBullet"/>
      </w:pPr>
      <w:r>
        <w:t>Lack of transparency regarding ultimate beneficial parties to transactions</w:t>
      </w:r>
    </w:p>
    <w:p>
      <w:pPr>
        <w:pStyle w:val="ListBullet"/>
      </w:pPr>
      <w:r>
        <w:t>Rapid fund flows through multiple jurisdictions complicate detection</w:t>
      </w:r>
    </w:p>
    <w:p>
      <w:pPr>
        <w:pStyle w:val="ListBullet"/>
      </w:pPr>
      <w:r>
        <w:t>Commingling of legitimate and illicit funds makes separation difficult</w:t>
      </w:r>
    </w:p>
    <w:p>
      <w:pPr>
        <w:pStyle w:val="ListBullet"/>
      </w:pPr>
      <w:r>
        <w:t>Information gaps between correspondent banks limit visibility</w:t>
      </w:r>
    </w:p>
    <w:p>
      <w:pPr>
        <w:pStyle w:val="ListBullet"/>
      </w:pPr>
      <w:r>
        <w:t>SWIFT messaging standards enable minimization of customer identification information</w:t>
      </w:r>
    </w:p>
    <w:p>
      <w:pPr>
        <w:pStyle w:val="Heading2"/>
      </w:pPr>
      <w:r>
        <w:t>K.2 De-Risking Trends in Correspondent Banking</w:t>
      </w:r>
    </w:p>
    <w:p>
      <w:r>
        <w:t>In recent years, many international banks have reduced or eliminated correspondent banking relationships with banks in high-risk jurisdictions. This "de-risking" trend has both benefits and unintended consequences.</w:t>
      </w:r>
    </w:p>
    <w:p>
      <w:pPr>
        <w:pStyle w:val="Heading3"/>
      </w:pPr>
      <w:r>
        <w:t>De-Risking Benefits:</w:t>
      </w:r>
    </w:p>
    <w:p>
      <w:pPr>
        <w:pStyle w:val="ListBullet"/>
      </w:pPr>
      <w:r>
        <w:t>Reduced AML compliance burden and regulatory risk</w:t>
      </w:r>
    </w:p>
    <w:p>
      <w:pPr>
        <w:pStyle w:val="ListBullet"/>
      </w:pPr>
      <w:r>
        <w:t>Lower operational costs from eliminating high-risk relationships</w:t>
      </w:r>
    </w:p>
    <w:p>
      <w:pPr>
        <w:pStyle w:val="ListBullet"/>
      </w:pPr>
      <w:r>
        <w:t>Decreased exposure to sanctions violations</w:t>
      </w:r>
    </w:p>
    <w:p>
      <w:pPr>
        <w:pStyle w:val="ListBullet"/>
      </w:pPr>
      <w:r>
        <w:t>Simplified correspondent bank networks</w:t>
      </w:r>
    </w:p>
    <w:p>
      <w:pPr>
        <w:pStyle w:val="ListBullet"/>
      </w:pPr>
      <w:r>
        <w:t>Enhanced transparency in remaining relationships</w:t>
      </w:r>
    </w:p>
    <w:p>
      <w:pPr>
        <w:pStyle w:val="Heading3"/>
      </w:pPr>
      <w:r>
        <w:t>De-Risking Unintended Consequences:</w:t>
      </w:r>
    </w:p>
    <w:p>
      <w:pPr>
        <w:pStyle w:val="ListBullet"/>
      </w:pPr>
      <w:r>
        <w:t>Financial exclusion of legitimate businesses in high-risk jurisdictions</w:t>
      </w:r>
    </w:p>
    <w:p>
      <w:pPr>
        <w:pStyle w:val="ListBullet"/>
      </w:pPr>
      <w:r>
        <w:t>Diversion of financial flows to informal channels and money laundering networks</w:t>
      </w:r>
    </w:p>
    <w:p>
      <w:pPr>
        <w:pStyle w:val="ListBullet"/>
      </w:pPr>
      <w:r>
        <w:t>Reduced financial sector stability in affected countries</w:t>
      </w:r>
    </w:p>
    <w:p>
      <w:pPr>
        <w:pStyle w:val="ListBullet"/>
      </w:pPr>
      <w:r>
        <w:t>Increased cross-border smuggling of physical currency</w:t>
      </w:r>
    </w:p>
    <w:p>
      <w:pPr>
        <w:pStyle w:val="ListBullet"/>
      </w:pPr>
      <w:r>
        <w:t>Greater reliance on informal value transfer systems (Hawala)</w:t>
      </w:r>
    </w:p>
    <w:p>
      <w:pPr>
        <w:pStyle w:val="ListBullet"/>
      </w:pPr>
      <w:r>
        <w:t>Decreased ability of regulators to monitor financial flows</w:t>
      </w:r>
    </w:p>
    <w:p>
      <w:r>
        <w:br w:type="page"/>
      </w:r>
    </w:p>
    <w:p>
      <w:pPr>
        <w:pStyle w:val="Heading1"/>
      </w:pPr>
      <w:r>
        <w:t>APPENDIX L: AML PROGRAM BENCHMARKING AND INDUSTRY BEST PRACTICES</w:t>
      </w:r>
    </w:p>
    <w:p>
      <w:pPr>
        <w:pStyle w:val="Heading2"/>
      </w:pPr>
      <w:r>
        <w:t>L.1 Key Performance Indicators for AML Programs</w:t>
      </w:r>
    </w:p>
    <w:p>
      <w:r>
        <w:t>Financial institutions should track and monitor the following KPIs to assess AML program effectiveness: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KPI</w:t>
            </w:r>
          </w:p>
        </w:tc>
        <w:tc>
          <w:tcPr>
            <w:tcW w:type="dxa" w:w="2880"/>
          </w:tcPr>
          <w:p>
            <w:r>
              <w:t>Target Range</w:t>
            </w:r>
          </w:p>
        </w:tc>
        <w:tc>
          <w:tcPr>
            <w:tcW w:type="dxa" w:w="2880"/>
          </w:tcPr>
          <w:p>
            <w:r>
              <w:t>Analysis</w:t>
            </w:r>
          </w:p>
        </w:tc>
      </w:tr>
      <w:tr>
        <w:tc>
          <w:tcPr>
            <w:tcW w:type="dxa" w:w="2880"/>
          </w:tcPr>
          <w:p>
            <w:r>
              <w:t>Alert to SAR Ratio</w:t>
            </w:r>
          </w:p>
        </w:tc>
        <w:tc>
          <w:tcPr>
            <w:tcW w:type="dxa" w:w="2880"/>
          </w:tcPr>
          <w:p>
            <w:r>
              <w:t>3-7% of alerts to SAR</w:t>
            </w:r>
          </w:p>
        </w:tc>
        <w:tc>
          <w:tcPr>
            <w:tcW w:type="dxa" w:w="2880"/>
          </w:tcPr>
          <w:p>
            <w:r>
              <w:t>Indicates alert tuning quality; very high ratios suggest over-alerting</w:t>
            </w:r>
          </w:p>
        </w:tc>
      </w:tr>
      <w:tr>
        <w:tc>
          <w:tcPr>
            <w:tcW w:type="dxa" w:w="2880"/>
          </w:tcPr>
          <w:p>
            <w:r>
              <w:t>SAR Filing Timeliness</w:t>
            </w:r>
          </w:p>
        </w:tc>
        <w:tc>
          <w:tcPr>
            <w:tcW w:type="dxa" w:w="2880"/>
          </w:tcPr>
          <w:p>
            <w:r>
              <w:t>100% within 30 days</w:t>
            </w:r>
          </w:p>
        </w:tc>
        <w:tc>
          <w:tcPr>
            <w:tcW w:type="dxa" w:w="2880"/>
          </w:tcPr>
          <w:p>
            <w:r>
              <w:t>Measures compliance with filing deadlines</w:t>
            </w:r>
          </w:p>
        </w:tc>
      </w:tr>
      <w:tr>
        <w:tc>
          <w:tcPr>
            <w:tcW w:type="dxa" w:w="2880"/>
          </w:tcPr>
          <w:p>
            <w:r>
              <w:t>Customer Coverage by EDD</w:t>
            </w:r>
          </w:p>
        </w:tc>
        <w:tc>
          <w:tcPr>
            <w:tcW w:type="dxa" w:w="2880"/>
          </w:tcPr>
          <w:p>
            <w:r>
              <w:t>100% of high-risk customers</w:t>
            </w:r>
          </w:p>
        </w:tc>
        <w:tc>
          <w:tcPr>
            <w:tcW w:type="dxa" w:w="2880"/>
          </w:tcPr>
          <w:p>
            <w:r>
              <w:t>Indicates completeness of enhanced due diligence</w:t>
            </w:r>
          </w:p>
        </w:tc>
      </w:tr>
      <w:tr>
        <w:tc>
          <w:tcPr>
            <w:tcW w:type="dxa" w:w="2880"/>
          </w:tcPr>
          <w:p>
            <w:r>
              <w:t>Sanctions List Match Rate</w:t>
            </w:r>
          </w:p>
        </w:tc>
        <w:tc>
          <w:tcPr>
            <w:tcW w:type="dxa" w:w="2880"/>
          </w:tcPr>
          <w:p>
            <w:r>
              <w:t>0.1-0.5% of customer base</w:t>
            </w:r>
          </w:p>
        </w:tc>
        <w:tc>
          <w:tcPr>
            <w:tcW w:type="dxa" w:w="2880"/>
          </w:tcPr>
          <w:p>
            <w:r>
              <w:t>Higher rates may indicate data quality issues or true-positive concentration</w:t>
            </w:r>
          </w:p>
        </w:tc>
      </w:tr>
      <w:tr>
        <w:tc>
          <w:tcPr>
            <w:tcW w:type="dxa" w:w="2880"/>
          </w:tcPr>
          <w:p>
            <w:r>
              <w:t>Investigation Case Closure Rate</w:t>
            </w:r>
          </w:p>
        </w:tc>
        <w:tc>
          <w:tcPr>
            <w:tcW w:type="dxa" w:w="2880"/>
          </w:tcPr>
          <w:p>
            <w:r>
              <w:t>80-95% within 12 months</w:t>
            </w:r>
          </w:p>
        </w:tc>
        <w:tc>
          <w:tcPr>
            <w:tcW w:type="dxa" w:w="2880"/>
          </w:tcPr>
          <w:p>
            <w:r>
              <w:t>Measures investigation efficiency and resource adequacy</w:t>
            </w:r>
          </w:p>
        </w:tc>
      </w:tr>
      <w:tr>
        <w:tc>
          <w:tcPr>
            <w:tcW w:type="dxa" w:w="2880"/>
          </w:tcPr>
          <w:p>
            <w:r>
              <w:t>Training Completion Rates</w:t>
            </w:r>
          </w:p>
        </w:tc>
        <w:tc>
          <w:tcPr>
            <w:tcW w:type="dxa" w:w="2880"/>
          </w:tcPr>
          <w:p>
            <w:r>
              <w:t>100% annually</w:t>
            </w:r>
          </w:p>
        </w:tc>
        <w:tc>
          <w:tcPr>
            <w:tcW w:type="dxa" w:w="2880"/>
          </w:tcPr>
          <w:p>
            <w:r>
              <w:t>Indicates staff understanding of AML obligations</w:t>
            </w:r>
          </w:p>
        </w:tc>
      </w:tr>
      <w:tr>
        <w:tc>
          <w:tcPr>
            <w:tcW w:type="dxa" w:w="2880"/>
          </w:tcPr>
          <w:p>
            <w:r>
              <w:t>Technology System Uptime</w:t>
            </w:r>
          </w:p>
        </w:tc>
        <w:tc>
          <w:tcPr>
            <w:tcW w:type="dxa" w:w="2880"/>
          </w:tcPr>
          <w:p>
            <w:r>
              <w:t>99.5%+ availability</w:t>
            </w:r>
          </w:p>
        </w:tc>
        <w:tc>
          <w:tcPr>
            <w:tcW w:type="dxa" w:w="2880"/>
          </w:tcPr>
          <w:p>
            <w:r>
              <w:t>Ensures continuous transaction monitoring coverage</w:t>
            </w:r>
          </w:p>
        </w:tc>
      </w:tr>
    </w:tbl>
    <w:p>
      <w:r>
        <w:br w:type="page"/>
      </w:r>
    </w:p>
    <w:p>
      <w:pPr>
        <w:pStyle w:val="Heading2"/>
      </w:pPr>
      <w:r>
        <w:t>L.2 Industry Best Practice Benchmarks</w:t>
      </w:r>
    </w:p>
    <w:p>
      <w:r>
        <w:t>Comparison of AML program characteristics against industry best practices: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Program Component</w:t>
            </w:r>
          </w:p>
        </w:tc>
        <w:tc>
          <w:tcPr>
            <w:tcW w:type="dxa" w:w="2880"/>
          </w:tcPr>
          <w:p>
            <w:r>
              <w:t>Industry Best Practice</w:t>
            </w:r>
          </w:p>
        </w:tc>
        <w:tc>
          <w:tcPr>
            <w:tcW w:type="dxa" w:w="2880"/>
          </w:tcPr>
          <w:p>
            <w:r>
              <w:t>Our Program Status</w:t>
            </w:r>
          </w:p>
        </w:tc>
      </w:tr>
      <w:tr>
        <w:tc>
          <w:tcPr>
            <w:tcW w:type="dxa" w:w="2880"/>
          </w:tcPr>
          <w:p>
            <w:r>
              <w:t>AML Staffing</w:t>
            </w:r>
          </w:p>
        </w:tc>
        <w:tc>
          <w:tcPr>
            <w:tcW w:type="dxa" w:w="2880"/>
          </w:tcPr>
          <w:p>
            <w:r>
              <w:t>1 FTE per $500M-$1B AUM</w:t>
            </w:r>
          </w:p>
        </w:tc>
        <w:tc>
          <w:tcPr>
            <w:tcW w:type="dxa" w:w="2880"/>
          </w:tcPr>
          <w:p>
            <w:r>
              <w:t>Aligned with best practice</w:t>
            </w:r>
          </w:p>
        </w:tc>
      </w:tr>
      <w:tr>
        <w:tc>
          <w:tcPr>
            <w:tcW w:type="dxa" w:w="2880"/>
          </w:tcPr>
          <w:p>
            <w:r>
              <w:t>Transaction Monitoring Coverage</w:t>
            </w:r>
          </w:p>
        </w:tc>
        <w:tc>
          <w:tcPr>
            <w:tcW w:type="dxa" w:w="2880"/>
          </w:tcPr>
          <w:p>
            <w:r>
              <w:t>100% of cross-border and high-risk transactions</w:t>
            </w:r>
          </w:p>
        </w:tc>
        <w:tc>
          <w:tcPr>
            <w:tcW w:type="dxa" w:w="2880"/>
          </w:tcPr>
          <w:p>
            <w:r>
              <w:t>Exceeds minimum requirements</w:t>
            </w:r>
          </w:p>
        </w:tc>
      </w:tr>
      <w:tr>
        <w:tc>
          <w:tcPr>
            <w:tcW w:type="dxa" w:w="2880"/>
          </w:tcPr>
          <w:p>
            <w:r>
              <w:t>Sanctions Screening Technology</w:t>
            </w:r>
          </w:p>
        </w:tc>
        <w:tc>
          <w:tcPr>
            <w:tcW w:type="dxa" w:w="2880"/>
          </w:tcPr>
          <w:p>
            <w:r>
              <w:t>Real-time, multi-list, fuzzy-match enabled</w:t>
            </w:r>
          </w:p>
        </w:tc>
        <w:tc>
          <w:tcPr>
            <w:tcW w:type="dxa" w:w="2880"/>
          </w:tcPr>
          <w:p>
            <w:r>
              <w:t>Modernization in progress</w:t>
            </w:r>
          </w:p>
        </w:tc>
      </w:tr>
      <w:tr>
        <w:tc>
          <w:tcPr>
            <w:tcW w:type="dxa" w:w="2880"/>
          </w:tcPr>
          <w:p>
            <w:r>
              <w:t>Customer Risk Rating</w:t>
            </w:r>
          </w:p>
        </w:tc>
        <w:tc>
          <w:tcPr>
            <w:tcW w:type="dxa" w:w="2880"/>
          </w:tcPr>
          <w:p>
            <w:r>
              <w:t>Automated with quarterly review and manual override</w:t>
            </w:r>
          </w:p>
        </w:tc>
        <w:tc>
          <w:tcPr>
            <w:tcW w:type="dxa" w:w="2880"/>
          </w:tcPr>
          <w:p>
            <w:r>
              <w:t>Implemented across 98% of customer base</w:t>
            </w:r>
          </w:p>
        </w:tc>
      </w:tr>
      <w:tr>
        <w:tc>
          <w:tcPr>
            <w:tcW w:type="dxa" w:w="2880"/>
          </w:tcPr>
          <w:p>
            <w:r>
              <w:t>Regulatory Relationship</w:t>
            </w:r>
          </w:p>
        </w:tc>
        <w:tc>
          <w:tcPr>
            <w:tcW w:type="dxa" w:w="2880"/>
          </w:tcPr>
          <w:p>
            <w:r>
              <w:t>Quarterly engagement with primary regulator</w:t>
            </w:r>
          </w:p>
        </w:tc>
        <w:tc>
          <w:tcPr>
            <w:tcW w:type="dxa" w:w="2880"/>
          </w:tcPr>
          <w:p>
            <w:r>
              <w:t>Established cadence in place</w:t>
            </w:r>
          </w:p>
        </w:tc>
      </w:tr>
      <w:tr>
        <w:tc>
          <w:tcPr>
            <w:tcW w:type="dxa" w:w="2880"/>
          </w:tcPr>
          <w:p>
            <w:r>
              <w:t>Training Frequency</w:t>
            </w:r>
          </w:p>
        </w:tc>
        <w:tc>
          <w:tcPr>
            <w:tcW w:type="dxa" w:w="2880"/>
          </w:tcPr>
          <w:p>
            <w:r>
              <w:t>Annual mandatory plus role-specific quarterly</w:t>
            </w:r>
          </w:p>
        </w:tc>
        <w:tc>
          <w:tcPr>
            <w:tcW w:type="dxa" w:w="2880"/>
          </w:tcPr>
          <w:p>
            <w:r>
              <w:t>Exceeds regulatory minimum</w:t>
            </w:r>
          </w:p>
        </w:tc>
      </w:tr>
    </w:tbl>
    <w:p>
      <w:r>
        <w:br w:type="page"/>
      </w:r>
    </w:p>
    <w:p>
      <w:pPr>
        <w:pStyle w:val="Heading1"/>
      </w:pPr>
      <w:r>
        <w:t>APPENDIX M: FUTURE TRENDS IN AML TECHNOLOGY AND REGULATION</w:t>
      </w:r>
    </w:p>
    <w:p>
      <w:pPr>
        <w:pStyle w:val="Heading2"/>
      </w:pPr>
      <w:r>
        <w:t>M.1 Artificial Intelligence and Machine Learning Applications</w:t>
      </w:r>
    </w:p>
    <w:p>
      <w:r>
        <w:t>Advanced AI and ML technologies are increasingly deployed in AML programs to enhance detection and reduce false positives:</w:t>
      </w:r>
    </w:p>
    <w:p>
      <w:r>
        <w:rPr>
          <w:b/>
        </w:rPr>
        <w:t xml:space="preserve">Behavioral Analytics: </w:t>
      </w:r>
      <w:r>
        <w:t>Machine learning models that learn normal customer patterns and flag deviations with high accuracy</w:t>
      </w:r>
    </w:p>
    <w:p>
      <w:r>
        <w:rPr>
          <w:b/>
        </w:rPr>
        <w:t xml:space="preserve">Network Analysis: </w:t>
      </w:r>
      <w:r>
        <w:t>Graph databases and algorithms to identify hidden relationships in complex ownership structures</w:t>
      </w:r>
    </w:p>
    <w:p>
      <w:r>
        <w:rPr>
          <w:b/>
        </w:rPr>
        <w:t xml:space="preserve">Natural Language Processing: </w:t>
      </w:r>
      <w:r>
        <w:t>Analysis of news, communications, and documents to identify suspicious activity indicators</w:t>
      </w:r>
    </w:p>
    <w:p>
      <w:r>
        <w:rPr>
          <w:b/>
        </w:rPr>
        <w:t xml:space="preserve">Predictive Modeling: </w:t>
      </w:r>
      <w:r>
        <w:t>Algorithms that predict which customers are at highest ML/TF risk based on historical patterns</w:t>
      </w:r>
    </w:p>
    <w:p>
      <w:r>
        <w:rPr>
          <w:b/>
        </w:rPr>
        <w:t xml:space="preserve">Anomaly Detection: </w:t>
      </w:r>
      <w:r>
        <w:t>Automated identification of unusual transaction patterns without pre-programmed rules</w:t>
      </w:r>
    </w:p>
    <w:p>
      <w:r>
        <w:rPr>
          <w:b/>
        </w:rPr>
        <w:t xml:space="preserve">Computer Vision: </w:t>
      </w:r>
      <w:r>
        <w:t>Document analysis and fraud detection through automated document review and verification</w:t>
      </w:r>
    </w:p>
    <w:p>
      <w:pPr>
        <w:pStyle w:val="Heading2"/>
      </w:pPr>
      <w:r>
        <w:t>M.2 Blockchain and Distributed Ledger Technology Impact</w:t>
      </w:r>
    </w:p>
    <w:p>
      <w:r>
        <w:t>While cryptocurrencies pose money laundering risks, blockchain technology also offers opportunities to enhance AML compliance through greater transparency and immutable transaction records.</w:t>
      </w:r>
    </w:p>
    <w:p>
      <w:pPr>
        <w:pStyle w:val="ListBullet"/>
      </w:pPr>
      <w:r>
        <w:t>Immutable transaction history enabling comprehensive audit trails and forensic analysis</w:t>
      </w:r>
    </w:p>
    <w:p>
      <w:pPr>
        <w:pStyle w:val="ListBullet"/>
      </w:pPr>
      <w:r>
        <w:t>Smart contracts automatically enforcing compliance requirements at transaction level</w:t>
      </w:r>
    </w:p>
    <w:p>
      <w:pPr>
        <w:pStyle w:val="ListBullet"/>
      </w:pPr>
      <w:r>
        <w:t>Decentralized identity solutions improving KYC/AML verification efficiency</w:t>
      </w:r>
    </w:p>
    <w:p>
      <w:pPr>
        <w:pStyle w:val="ListBullet"/>
      </w:pPr>
      <w:r>
        <w:t>Interoperable settlement systems reducing correspondent banking intermediaries and opacity</w:t>
      </w:r>
    </w:p>
    <w:p>
      <w:pPr>
        <w:pStyle w:val="ListBullet"/>
      </w:pPr>
      <w:r>
        <w:t>Real-time settlement reducing operational risk windows used in layering schemes</w:t>
      </w:r>
    </w:p>
    <w:p>
      <w:r>
        <w:br w:type="page"/>
      </w:r>
    </w:p>
    <w:p>
      <w:pPr>
        <w:pStyle w:val="Heading2"/>
      </w:pPr>
      <w:r>
        <w:t>M.3 Regulatory Evolution and Anticipated Changes</w:t>
      </w:r>
    </w:p>
    <w:p>
      <w:r>
        <w:t>AML regulations continue to evolve to address emerging risks and technological changes:</w:t>
      </w:r>
    </w:p>
    <w:p>
      <w:r>
        <w:rPr>
          <w:b/>
        </w:rPr>
        <w:t xml:space="preserve">Beneficial Ownership Registries: </w:t>
      </w:r>
      <w:r>
        <w:t>Global movement toward public and private registries of company beneficial owners to increase transparency</w:t>
      </w:r>
    </w:p>
    <w:p>
      <w:r>
        <w:rPr>
          <w:b/>
        </w:rPr>
        <w:t xml:space="preserve">Cryptocurrency Regulation: </w:t>
      </w:r>
      <w:r>
        <w:t>Enhanced regulation of cryptocurrency exchanges, stablecoins, and DeFi platforms</w:t>
      </w:r>
    </w:p>
    <w:p>
      <w:r>
        <w:rPr>
          <w:b/>
        </w:rPr>
        <w:t xml:space="preserve">Cross-Border Payment Standards: </w:t>
      </w:r>
      <w:r>
        <w:t>International standards for end-to-end information in cross-border payments (SWIFT ISO 20022)</w:t>
      </w:r>
    </w:p>
    <w:p>
      <w:r>
        <w:rPr>
          <w:b/>
        </w:rPr>
        <w:t xml:space="preserve">Technology Regulation: </w:t>
      </w:r>
      <w:r>
        <w:t>Potential regulation of AI/ML systems used in AML, including explainability and bias testing requirements</w:t>
      </w:r>
    </w:p>
    <w:p>
      <w:r>
        <w:rPr>
          <w:b/>
        </w:rPr>
        <w:t xml:space="preserve">Public-Private Data Sharing: </w:t>
      </w:r>
      <w:r>
        <w:t>Increased frameworks enabling regulated entities to share AML intelligence with government authorities</w:t>
      </w:r>
    </w:p>
    <w:p>
      <w:r>
        <w:rPr>
          <w:b/>
        </w:rPr>
        <w:t xml:space="preserve">Sanctions Expansion: </w:t>
      </w:r>
      <w:r>
        <w:t>Ongoing expansion of sanctions designations requiring rapid screening and compliance updates</w:t>
      </w:r>
    </w:p>
    <w:p>
      <w:r>
        <w:br w:type="page"/>
      </w:r>
    </w:p>
    <w:p>
      <w:pPr>
        <w:pStyle w:val="Heading1"/>
      </w:pPr>
      <w:r>
        <w:t>APPENDIX N: DOCUMENT INFORMATION AND REVISION HISTORY</w:t>
      </w:r>
    </w:p>
    <w:p>
      <w:pPr>
        <w:pStyle w:val="Heading2"/>
      </w:pPr>
      <w:r>
        <w:t>N.1 Document Control</w:t>
      </w:r>
    </w:p>
    <w:tbl>
      <w:tblPr>
        <w:tblStyle w:val="LightGrid-Accent1"/>
        <w:tblW w:type="auto" w:w="0"/>
        <w:tblLook w:firstColumn="1" w:firstRow="1" w:lastColumn="0" w:lastRow="0" w:noHBand="0" w:noVBand="1" w:val="04A0"/>
      </w:tblPr>
      <w:tblGrid>
        <w:gridCol w:w="4320"/>
        <w:gridCol w:w="4320"/>
      </w:tblGrid>
      <w:tr>
        <w:tc>
          <w:tcPr>
            <w:tcW w:type="dxa" w:w="4320"/>
          </w:tcPr>
          <w:p>
            <w:r>
              <w:t>Document Property</w:t>
            </w:r>
          </w:p>
        </w:tc>
        <w:tc>
          <w:tcPr>
            <w:tcW w:type="dxa" w:w="4320"/>
          </w:tcPr>
          <w:p>
            <w:r>
              <w:t>Value</w:t>
            </w:r>
          </w:p>
        </w:tc>
      </w:tr>
      <w:tr>
        <w:tc>
          <w:tcPr>
            <w:tcW w:type="dxa" w:w="4320"/>
          </w:tcPr>
          <w:p>
            <w:r>
              <w:t>Document Title</w:t>
            </w:r>
          </w:p>
        </w:tc>
        <w:tc>
          <w:tcPr>
            <w:tcW w:type="dxa" w:w="4320"/>
          </w:tcPr>
          <w:p>
            <w:r>
              <w:t>AML Case Study: High-Risk Geographies Comprehensive Analysis</w:t>
            </w:r>
          </w:p>
        </w:tc>
      </w:tr>
      <w:tr>
        <w:tc>
          <w:tcPr>
            <w:tcW w:type="dxa" w:w="4320"/>
          </w:tcPr>
          <w:p>
            <w:r>
              <w:t>Classification</w:t>
            </w:r>
          </w:p>
        </w:tc>
        <w:tc>
          <w:tcPr>
            <w:tcW w:type="dxa" w:w="4320"/>
          </w:tcPr>
          <w:p>
            <w:r>
              <w:t>Confidential - Internal Use Only</w:t>
            </w:r>
          </w:p>
        </w:tc>
      </w:tr>
      <w:tr>
        <w:tc>
          <w:tcPr>
            <w:tcW w:type="dxa" w:w="4320"/>
          </w:tcPr>
          <w:p>
            <w:r>
              <w:t>Prepared By</w:t>
            </w:r>
          </w:p>
        </w:tc>
        <w:tc>
          <w:tcPr>
            <w:tcW w:type="dxa" w:w="4320"/>
          </w:tcPr>
          <w:p>
            <w:r>
              <w:t>Financial Crime Compliance Division</w:t>
            </w:r>
          </w:p>
        </w:tc>
      </w:tr>
      <w:tr>
        <w:tc>
          <w:tcPr>
            <w:tcW w:type="dxa" w:w="4320"/>
          </w:tcPr>
          <w:p>
            <w:r>
              <w:t>Prepared Date</w:t>
            </w:r>
          </w:p>
        </w:tc>
        <w:tc>
          <w:tcPr>
            <w:tcW w:type="dxa" w:w="4320"/>
          </w:tcPr>
          <w:p>
            <w:r>
              <w:t>October 11, 2026</w:t>
            </w:r>
          </w:p>
        </w:tc>
      </w:tr>
      <w:tr>
        <w:tc>
          <w:tcPr>
            <w:tcW w:type="dxa" w:w="4320"/>
          </w:tcPr>
          <w:p>
            <w:r>
              <w:t>Version</w:t>
            </w:r>
          </w:p>
        </w:tc>
        <w:tc>
          <w:tcPr>
            <w:tcW w:type="dxa" w:w="4320"/>
          </w:tcPr>
          <w:p>
            <w:r>
              <w:t>2.0 - Expanded Edition</w:t>
            </w:r>
          </w:p>
        </w:tc>
      </w:tr>
      <w:tr>
        <w:tc>
          <w:tcPr>
            <w:tcW w:type="dxa" w:w="4320"/>
          </w:tcPr>
          <w:p>
            <w:r>
              <w:t>Next Review Date</w:t>
            </w:r>
          </w:p>
        </w:tc>
        <w:tc>
          <w:tcPr>
            <w:tcW w:type="dxa" w:w="4320"/>
          </w:tcPr>
          <w:p>
            <w:r>
              <w:t>Q1 2027</w:t>
            </w:r>
          </w:p>
        </w:tc>
      </w:tr>
    </w:tbl>
    <w:p>
      <w:pPr>
        <w:pStyle w:val="Heading2"/>
      </w:pPr>
      <w:r>
        <w:t>N.2 Document Scope and Limitations</w:t>
      </w:r>
    </w:p>
    <w:p>
      <w:r>
        <w:t>This document provides a comprehensive analysis of anti-money laundering risks in four high-risk geographic regions. The analysis is based on case studies and regulatory frameworks as of the document preparation date. Financial crime methodologies and money laundering techniques continue to evolve, requiring regular updates to AML programs and compliance frameworks.</w:t>
      </w:r>
    </w:p>
    <w:p>
      <w:r>
        <w:t>This document should not be considered a complete AML compliance framework, but rather a reference document for understanding risks in affected jurisdictions. All financial institutions must develop AML programs tailored to their specific business lines, customer base, and regulatory requirements.</w:t>
      </w:r>
    </w:p>
    <w:p>
      <w:pPr>
        <w:pStyle w:val="Heading2"/>
      </w:pPr>
      <w:r>
        <w:t>N.3 References and Further Reading</w:t>
      </w:r>
    </w:p>
    <w:p>
      <w:r>
        <w:t>For additional information on AML compliance, the following resources are recommended:</w:t>
      </w:r>
    </w:p>
    <w:p>
      <w:pPr>
        <w:pStyle w:val="ListBullet"/>
      </w:pPr>
      <w:r>
        <w:t>Financial Action Task Force (FATF) 40 Recommendations on Money Laundering Prevention</w:t>
      </w:r>
    </w:p>
    <w:p>
      <w:pPr>
        <w:pStyle w:val="ListBullet"/>
      </w:pPr>
      <w:r>
        <w:t>FATF Guidance on Trade-Based Money Laundering (TBML)</w:t>
      </w:r>
    </w:p>
    <w:p>
      <w:pPr>
        <w:pStyle w:val="ListBullet"/>
      </w:pPr>
      <w:r>
        <w:t>U.S. Department of Treasury FinCEN Guidance on Suspicious Activity Reporting</w:t>
      </w:r>
    </w:p>
    <w:p>
      <w:pPr>
        <w:pStyle w:val="ListBullet"/>
      </w:pPr>
      <w:r>
        <w:t>World Bank Combating Money Laundering and Terrorism Financing Program</w:t>
      </w:r>
    </w:p>
    <w:p>
      <w:pPr>
        <w:pStyle w:val="ListBullet"/>
      </w:pPr>
      <w:r>
        <w:t>International Monetary Fund (IMF) Monetary and Capital Markets Department AML/CFT Publications</w:t>
      </w:r>
    </w:p>
    <w:p>
      <w:pPr>
        <w:pStyle w:val="ListBullet"/>
      </w:pPr>
      <w:r>
        <w:t>United Nations Office on Drugs and Crime (UNODC) Money-Laundering and Terrorism Financing Monitorings</w:t>
      </w:r>
    </w:p>
    <w:p>
      <w:pPr>
        <w:pStyle w:val="ListBullet"/>
      </w:pPr>
      <w:r>
        <w:t>Basel Committee on Banking Supervision Guidance on AML/CFT</w:t>
      </w:r>
    </w:p>
    <w:p>
      <w:pPr>
        <w:pStyle w:val="ListBullet"/>
      </w:pPr>
      <w:r>
        <w:t>Individual country FIU websites and annual reports from each geographic region analyzed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