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single" w:color="0D7377" w:sz="12"/>
          <w:right w:val="none" w:color="FFFFFF" w:sz="0"/>
          <w:insideH w:val="none" w:color="FFFFFF" w:sz="0"/>
          <w:insideV w:val="none" w:color="FFFFFF" w:sz="0"/>
        </w:tblBorders>
      </w:tblPr>
      <w:tblGrid>
        <w:gridCol w:w="7200"/>
        <w:gridCol w:w="2800"/>
      </w:tblGrid>
      <w:tr>
        <w:tc>
          <w:tcPr>
            <w:tcBorders>
              <w:top w:val="none" w:color="FFFFFF" w:sz="0"/>
              <w:left w:val="none" w:color="FFFFFF" w:sz="0"/>
              <w:bottom w:val="none" w:color="FFFFFF" w:sz="0"/>
              <w:right w:val="none" w:color="FFFFFF" w:sz="0"/>
            </w:tcBorders>
            <w:tcMar>
              <w:bottom w:type="dxa" w:w="90"/>
            </w:tcMar>
          </w:tcPr>
          <w:p>
            <w:pPr>
              <w:spacing w:after="20"/>
            </w:pPr>
            <w:r>
              <w:rPr>
                <w:rFonts w:ascii="Arial" w:cs="Arial" w:eastAsia="Arial" w:hAnsi="Arial"/>
                <w:b/>
                <w:bCs/>
                <w:color w:val="111111"/>
                <w:spacing w:val="14"/>
                <w:sz w:val="32"/>
                <w:szCs w:val="32"/>
              </w:rPr>
              <w:t xml:space="preserve">SENTHILNATHAN KARUPPAIAH</w:t>
            </w:r>
          </w:p>
          <w:p>
            <w:pPr>
              <w:spacing w:after="0"/>
            </w:pPr>
            <w:r>
              <w:rPr>
                <w:rFonts w:ascii="Arial" w:cs="Arial" w:eastAsia="Arial" w:hAnsi="Arial"/>
                <w:b/>
                <w:bCs/>
                <w:color w:val="0D7377"/>
                <w:sz w:val="18"/>
                <w:szCs w:val="18"/>
              </w:rPr>
              <w:t xml:space="preserve">Senior Engineering Manager · Hands-on GenAI &amp; Data Architect · Healthcare IT</w:t>
            </w:r>
          </w:p>
          <w:p>
            <w:pPr>
              <w:spacing w:after="0" w:before="40"/>
            </w:pPr>
            <w:r>
              <w:rPr>
                <w:rFonts w:ascii="Arial Narrow" w:cs="Arial Narrow" w:eastAsia="Arial Narrow" w:hAnsi="Arial Narrow"/>
                <w:b w:val="false"/>
                <w:bCs w:val="false"/>
                <w:i w:val="false"/>
                <w:iCs w:val="false"/>
                <w:color w:val="555555"/>
                <w:sz w:val="18"/>
                <w:szCs w:val="18"/>
              </w:rPr>
              <w:t xml:space="preserve">linkedin.com/in/senthilsweb · github.com/senthilsweb · senthilsweb.com</w:t>
            </w:r>
          </w:p>
        </w:tc>
        <w:tc>
          <w:tcPr>
            <w:tcBorders>
              <w:top w:val="none" w:color="FFFFFF" w:sz="0"/>
              <w:left w:val="none" w:color="FFFFFF" w:sz="0"/>
              <w:bottom w:val="none" w:color="FFFFFF" w:sz="0"/>
              <w:right w:val="none" w:color="FFFFFF" w:sz="0"/>
            </w:tcBorders>
            <w:tcMar>
              <w:bottom w:type="dxa" w:w="90"/>
            </w:tcMar>
          </w:tcPr>
          <w:p>
            <w:pPr>
              <w:spacing w:after="0"/>
              <w:jc w:val="right"/>
            </w:pPr>
            <w:r>
              <w:rPr>
                <w:rFonts w:ascii="Arial Narrow" w:cs="Arial Narrow" w:eastAsia="Arial Narrow" w:hAnsi="Arial Narrow"/>
                <w:b w:val="false"/>
                <w:bCs w:val="false"/>
                <w:i w:val="false"/>
                <w:iCs w:val="false"/>
                <w:color w:val="222222"/>
                <w:sz w:val="18"/>
                <w:szCs w:val="18"/>
              </w:rPr>
              <w:t xml:space="preserve">nathansweb@icloud.com</w:t>
            </w:r>
          </w:p>
          <w:p>
            <w:pPr>
              <w:spacing w:after="0"/>
              <w:jc w:val="right"/>
            </w:pPr>
            <w:r>
              <w:rPr>
                <w:rFonts w:ascii="Arial Narrow" w:cs="Arial Narrow" w:eastAsia="Arial Narrow" w:hAnsi="Arial Narrow"/>
                <w:b w:val="false"/>
                <w:bCs w:val="false"/>
                <w:i w:val="false"/>
                <w:iCs w:val="false"/>
                <w:color w:val="222222"/>
                <w:sz w:val="18"/>
                <w:szCs w:val="18"/>
              </w:rPr>
              <w:t xml:space="preserve">{{PHONE}}</w:t>
            </w:r>
          </w:p>
          <w:p>
            <w:pPr>
              <w:spacing w:after="0"/>
              <w:jc w:val="right"/>
            </w:pPr>
            <w:r>
              <w:rPr>
                <w:rFonts w:ascii="Arial Narrow" w:cs="Arial Narrow" w:eastAsia="Arial Narrow" w:hAnsi="Arial Narrow"/>
                <w:b w:val="false"/>
                <w:bCs w:val="false"/>
                <w:i w:val="false"/>
                <w:iCs w:val="false"/>
                <w:color w:val="222222"/>
                <w:sz w:val="18"/>
                <w:szCs w:val="18"/>
              </w:rPr>
              <w:t xml:space="preserve">New Jersey, USA (NYC/EST)</w:t>
            </w:r>
          </w:p>
        </w:tc>
      </w:tr>
    </w:tbl>
    <w:p>
      <w:pPr>
        <w:pBdr>
          <w:bottom w:val="single" w:color="0D7377" w:sz="6"/>
        </w:pBdr>
        <w:spacing w:after="60" w:before="140"/>
      </w:pPr>
      <w:r>
        <w:rPr>
          <w:rFonts w:ascii="Arial" w:cs="Arial" w:eastAsia="Arial" w:hAnsi="Arial"/>
          <w:b/>
          <w:bCs/>
          <w:color w:val="0D7377"/>
          <w:spacing w:val="20"/>
          <w:sz w:val="20"/>
          <w:szCs w:val="20"/>
        </w:rPr>
        <w:t xml:space="preserve">SUMMARY HIGHLIGHTS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Engineering manager who stays hands-on — led an average team of 15 engineers across India, the UK, Portugal, Ukraine and the US (East, Central and West) in a follow-the-sun model: hiring, mentoring, performance reviews, roadmap input, engineering standards and release ownership; reported directly to the CTO or Head of Engineering from 2014 to 2026.</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Runs an AI-native operating model — developed AI-DLC and the SDET AI Workbench, a spec-driven way of working where agents do the repeatable work and engineers review, adopted as a standard across the wider Pentaho engineering team; now builds and operates production multi-agent systems with evaluation suites and human-in-the-loop as release gates.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Still writes production code — Python, TypeScript, Golang, Java and SQL on AWS, Azure, Docker and Kubernetes with CI/CD; uses Claude Code daily as the primary development tool and keeps an active open-source portfolio of agents, data tooling and privacy utilities.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Healthcare technology built from inside the business — worked on-site in AZ-Tech Radiology's imaging centers with the group's own domain experts to architect and build a cloud RIS, HL7 interface engine (ADT, ORM, ORU, SIU), referring-physician portal and mobile app; later delivered data governance for healthcare and life sciences clients and open-sourced ClaimWise, a healthcare revenue cycle data generator.</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Startup-shaped career — founding-era member of Io-Tahoe, an early-stage AI data discovery startup, and carried the same product through three acquisitions (Rokittech → Io-Tahoe → Hitachi Vantara → Pentaho); comfortable with limited resources and changing priorities.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A decade of making enterprise data trustworthy in regulated industries — catalog, discovery, classification, lineage, data quality and privacy — extended to ML model and AI agent governance; forward-deployed across 10+ enterprise engagements.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Ships customer-facing GenAI to production — agentic analytics, text-to-SQL on a governed semantic layer, RAG, semantic search and PII detection — with evals, guardrails and human review before release.</w:t>
      </w:r>
    </w:p>
    <w:p>
      <w:pPr>
        <w:pBdr>
          <w:bottom w:val="single" w:color="0D7377" w:sz="6"/>
        </w:pBdr>
        <w:spacing w:after="60" w:before="140"/>
      </w:pPr>
      <w:r>
        <w:rPr>
          <w:rFonts w:ascii="Arial" w:cs="Arial" w:eastAsia="Arial" w:hAnsi="Arial"/>
          <w:b/>
          <w:bCs/>
          <w:color w:val="0D7377"/>
          <w:spacing w:val="20"/>
          <w:sz w:val="20"/>
          <w:szCs w:val="20"/>
        </w:rPr>
        <w:t xml:space="preserve">CORE COMPETENCIES</w:t>
      </w:r>
    </w:p>
    <w:tbl>
      <w:tblPr>
        <w:tblW w:type="pct" w:w="5000"/>
        <w:tblBorders>
          <w:top w:val="none" w:color="FFFFFF" w:sz="0"/>
          <w:left w:val="none" w:color="FFFFFF" w:sz="0"/>
          <w:bottom w:val="none" w:color="FFFFFF" w:sz="0"/>
          <w:right w:val="none" w:color="FFFFFF" w:sz="0"/>
          <w:insideH w:val="single" w:color="FFFFFF" w:sz="4"/>
          <w:insideV w:val="single" w:color="FFFFFF" w:sz="4"/>
        </w:tblBorders>
      </w:tblPr>
      <w:tblGrid>
        <w:gridCol w:w="3613"/>
        <w:gridCol w:w="3613"/>
        <w:gridCol w:w="3613"/>
      </w:tblGrid>
      <w:tr>
        <w:trPr>
          <w:tblHeader/>
        </w:trPr>
        <w:tc>
          <w:tcPr>
            <w:tcW w:type="pct" w:w="1667"/>
            <w:shd w:fill="0D7377" w:val="clear"/>
            <w:tcMar>
              <w:top w:type="dxa" w:w="60"/>
              <w:left w:type="dxa" w:w="110"/>
              <w:bottom w:type="dxa" w:w="60"/>
              <w:right w:type="dxa" w:w="110"/>
            </w:tcMar>
          </w:tcPr>
          <w:p>
            <w:pPr>
              <w:spacing w:after="0"/>
            </w:pPr>
            <w:r>
              <w:rPr>
                <w:rFonts w:ascii="Arial" w:cs="Arial" w:eastAsia="Arial" w:hAnsi="Arial"/>
                <w:b/>
                <w:bCs/>
                <w:color w:val="FFFFFF"/>
                <w:sz w:val="18"/>
                <w:szCs w:val="18"/>
              </w:rPr>
              <w:t xml:space="preserve">Engineering Leadership &amp; Delivery</w:t>
            </w:r>
          </w:p>
        </w:tc>
        <w:tc>
          <w:tcPr>
            <w:tcW w:type="pct" w:w="1667"/>
            <w:shd w:fill="0D7377" w:val="clear"/>
            <w:tcMar>
              <w:top w:type="dxa" w:w="60"/>
              <w:left w:type="dxa" w:w="110"/>
              <w:bottom w:type="dxa" w:w="60"/>
              <w:right w:type="dxa" w:w="110"/>
            </w:tcMar>
          </w:tcPr>
          <w:p>
            <w:pPr>
              <w:spacing w:after="0"/>
            </w:pPr>
            <w:r>
              <w:rPr>
                <w:rFonts w:ascii="Arial" w:cs="Arial" w:eastAsia="Arial" w:hAnsi="Arial"/>
                <w:b/>
                <w:bCs/>
                <w:color w:val="FFFFFF"/>
                <w:sz w:val="18"/>
                <w:szCs w:val="18"/>
              </w:rPr>
              <w:t xml:space="preserve">Agentic &amp; GenAI Engineering</w:t>
            </w:r>
          </w:p>
        </w:tc>
        <w:tc>
          <w:tcPr>
            <w:tcW w:type="pct" w:w="1667"/>
            <w:shd w:fill="0D7377" w:val="clear"/>
            <w:tcMar>
              <w:top w:type="dxa" w:w="60"/>
              <w:left w:type="dxa" w:w="110"/>
              <w:bottom w:type="dxa" w:w="60"/>
              <w:right w:type="dxa" w:w="110"/>
            </w:tcMar>
          </w:tcPr>
          <w:p>
            <w:pPr>
              <w:spacing w:after="0"/>
            </w:pPr>
            <w:r>
              <w:rPr>
                <w:rFonts w:ascii="Arial" w:cs="Arial" w:eastAsia="Arial" w:hAnsi="Arial"/>
                <w:b/>
                <w:bCs/>
                <w:color w:val="FFFFFF"/>
                <w:sz w:val="18"/>
                <w:szCs w:val="18"/>
              </w:rPr>
              <w:t xml:space="preserve">Data, Platform &amp; Healthcare</w:t>
            </w:r>
          </w:p>
        </w:tc>
      </w:tr>
      <w:tr>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Distributed Teams · Hiring · Mentoring</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Agent Fleets · Skills/Tools · MCP</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Python · TypeScript · Golang · Java · SQL</w:t>
            </w:r>
          </w:p>
        </w:tc>
      </w:tr>
      <w:tr>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Engineering Standards · Design Reviews</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Evals · Guardrails · Human-in-the-Loop</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AWS · Azure · Kubernetes · CI/CD</w:t>
            </w:r>
          </w:p>
        </w:tc>
      </w:tr>
      <w:tr>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SDET · Performance Eng · Release Readiness</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RAG · Text-to-SQL · Agentic Analytics</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Snowflake · Lakehouse · DuckDB · Postgres</w:t>
            </w:r>
          </w:p>
        </w:tc>
      </w:tr>
      <w:tr>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Product Partnership · Roadmap · Scope</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AI-DLC · Spec-First · Claude Code</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RIS · HL7 (ADT/ORM/ORU/SIU) · PHI Privacy</w:t>
            </w:r>
          </w:p>
        </w:tc>
      </w:tr>
      <w:tr>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Forward-Deployed · Client Delivery · Startups</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eve · Pydantic AI · LangChain · BentoML</w:t>
            </w:r>
          </w:p>
        </w:tc>
        <w:tc>
          <w:tcPr>
            <w:tcW w:type="pct" w:w="1667"/>
            <w:shd w:fill="EAF6F6" w:val="clear"/>
            <w:tcMar>
              <w:top w:type="dxa" w:w="60"/>
              <w:left w:type="dxa" w:w="110"/>
              <w:bottom w:type="dxa" w:w="60"/>
              <w:right w:type="dxa" w:w="110"/>
            </w:tcMar>
          </w:tcPr>
          <w:p>
            <w:pPr>
              <w:spacing w:after="0"/>
            </w:pPr>
            <w:r>
              <w:rPr>
                <w:rFonts w:ascii="Arial Narrow" w:cs="Arial Narrow" w:eastAsia="Arial Narrow" w:hAnsi="Arial Narrow"/>
                <w:b w:val="false"/>
                <w:bCs w:val="false"/>
                <w:color w:val="222222"/>
                <w:sz w:val="19"/>
                <w:szCs w:val="19"/>
              </w:rPr>
              <w:t xml:space="preserve">ETL/ELT · DBT · dlthub · Dagster · Lineage</w:t>
            </w:r>
          </w:p>
        </w:tc>
      </w:tr>
    </w:tbl>
    <w:p>
      <w:pPr>
        <w:pBdr>
          <w:bottom w:val="single" w:color="0D7377" w:sz="6"/>
        </w:pBdr>
        <w:spacing w:after="60" w:before="140"/>
      </w:pPr>
      <w:r>
        <w:rPr>
          <w:rFonts w:ascii="Arial" w:cs="Arial" w:eastAsia="Arial" w:hAnsi="Arial"/>
          <w:b/>
          <w:bCs/>
          <w:color w:val="0D7377"/>
          <w:spacing w:val="20"/>
          <w:sz w:val="20"/>
          <w:szCs w:val="20"/>
        </w:rPr>
        <w:t xml:space="preserve">PROFESSIONAL EXPERIENCE</w:t>
      </w:r>
    </w:p>
    <w:p>
      <w:pPr>
        <w:tabs>
          <w:tab w:val="right" w:pos="9360"/>
        </w:tabs>
        <w:spacing w:after="0" w:before="110"/>
      </w:pPr>
      <w:r>
        <w:rPr>
          <w:rFonts w:ascii="Arial Narrow" w:cs="Arial Narrow" w:eastAsia="Arial Narrow" w:hAnsi="Arial Narrow"/>
          <w:b/>
          <w:bCs/>
          <w:i w:val="false"/>
          <w:iCs w:val="false"/>
          <w:color w:val="111111"/>
          <w:sz w:val="20"/>
          <w:szCs w:val="20"/>
        </w:rPr>
        <w:t xml:space="preserve">Senior Engineering Manager &amp; Data / GenAI Architect | Pentaho</w:t>
      </w:r>
      <w:r>
        <w:rPr>
          <w:rFonts w:ascii="Arial Narrow" w:cs="Arial Narrow" w:eastAsia="Arial Narrow" w:hAnsi="Arial Narrow"/>
          <w:b w:val="false"/>
          <w:bCs w:val="false"/>
          <w:i w:val="false"/>
          <w:iCs w:val="false"/>
          <w:color w:val="222222"/>
          <w:sz w:val="19"/>
          <w:szCs w:val="19"/>
        </w:rPr>
        <w:t xml:space="preserve">	</w:t>
      </w:r>
      <w:r>
        <w:rPr>
          <w:rFonts w:ascii="Arial Narrow" w:cs="Arial Narrow" w:eastAsia="Arial Narrow" w:hAnsi="Arial Narrow"/>
          <w:b/>
          <w:bCs/>
          <w:i w:val="false"/>
          <w:iCs w:val="false"/>
          <w:color w:val="0D7377"/>
          <w:sz w:val="19"/>
          <w:szCs w:val="19"/>
        </w:rPr>
        <w:t xml:space="preserve">May 2021 – Aug 2026</w:t>
      </w:r>
    </w:p>
    <w:p>
      <w:pPr>
        <w:spacing w:after="60"/>
      </w:pPr>
      <w:r>
        <w:rPr>
          <w:rFonts w:ascii="Arial Narrow" w:cs="Arial Narrow" w:eastAsia="Arial Narrow" w:hAnsi="Arial Narrow"/>
          <w:b w:val="false"/>
          <w:bCs w:val="false"/>
          <w:i/>
          <w:iCs/>
          <w:color w:val="555555"/>
          <w:sz w:val="19"/>
          <w:szCs w:val="19"/>
        </w:rPr>
        <w:t xml:space="preserve">Remote, New Jersey · Pentaho was part of Hitachi Vantara until 15 June 2026</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Ran delivery management, release readiness and engineering standards for the follow-the-sun team behind Pentaho Data Integration (PDI), Pentaho Business Analytics (PBA) and Pentaho Data Catalog.</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Built the SDET and Performance Engineering competencies from the ground up — defining the practice, standards and tooling, hiring and training engineers, and automating 80% of regression testing ahead of any AI adoption; later developed AI-DLC and the Pentaho SDET AI Workbench, a spec-driven AI engineering methodology combining requirements traceability, deterministic tooling, automated validation, human review and repeatable evaluation, adopted as a standard across the wider engineering team and in internal production use.</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Owned quality and performance engineering for Pentaho Data Integration (PDI) — an enterprise ETL and data integration product — covering connectors, transformations and job orchestration, large-volume performance runs and release readiness.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Drove engineering and architecture for Pentaho Data Catalog — automated discovery, classification, metadata harvesting and lineage across many thousands of data sources and billions of rows and files (databases, documents, object stores, lakehouses), with data and pipeline observability via Grafana, Prometheus and OpenObserve.</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Extended the governance model beyond data to ML model and AI agent governance — bringing catalog, lineage and policy controls to the models and agents themselves for regulated enterprise customers.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Took customer-facing GenAI from prototype through production with product engineering and enterprise customers — AI chat and analytics grounded on governed semantic layers, NLP/ML classification (Legal-BERT via BentoML) and privacy-safe LLM processing (Presidio) in-product.</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Designed the agent patterns behind those features — multi-agent orchestration, structured output contracts with strict schemas so model output is checkable, deterministic pre-checks ahead of model calls to reject or route early and control token cost, and citation-grounded extraction so every answer traces back to source evidence.</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Built TestDataLake, an internal governed data platform engineered like a real customer business application — dlthub ingestion pipelines feeding DBT models — producing realistic data at volume for catalog, discovery, classification and lineage validation.</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Served as Data Solutions Architect across 10+ concurrent enterprise engagements — large banks, insurance, healthcare and life sciences, government and a leading US mortgage institution — delivering Catalog, Discovery and Lakehouse implementations through discovery, BRDs, specs, demos, workshops and enablement with CDO, CISO and product stakeholders.</w:t>
      </w:r>
    </w:p>
    <w:p>
      <w:pPr>
        <w:tabs>
          <w:tab w:val="right" w:pos="9360"/>
        </w:tabs>
        <w:spacing w:after="0" w:before="110"/>
      </w:pPr>
      <w:r>
        <w:rPr>
          <w:rFonts w:ascii="Arial Narrow" w:cs="Arial Narrow" w:eastAsia="Arial Narrow" w:hAnsi="Arial Narrow"/>
          <w:b/>
          <w:bCs/>
          <w:i w:val="false"/>
          <w:iCs w:val="false"/>
          <w:color w:val="111111"/>
          <w:sz w:val="20"/>
          <w:szCs w:val="20"/>
        </w:rPr>
        <w:t xml:space="preserve">Solutions Architect / Client Delivery &amp; Head of Production Engineering | Io-Tahoe LLC</w:t>
      </w:r>
      <w:r>
        <w:rPr>
          <w:rFonts w:ascii="Arial Narrow" w:cs="Arial Narrow" w:eastAsia="Arial Narrow" w:hAnsi="Arial Narrow"/>
          <w:b w:val="false"/>
          <w:bCs w:val="false"/>
          <w:i w:val="false"/>
          <w:iCs w:val="false"/>
          <w:color w:val="222222"/>
          <w:sz w:val="19"/>
          <w:szCs w:val="19"/>
        </w:rPr>
        <w:t xml:space="preserve">	</w:t>
      </w:r>
      <w:r>
        <w:rPr>
          <w:rFonts w:ascii="Arial Narrow" w:cs="Arial Narrow" w:eastAsia="Arial Narrow" w:hAnsi="Arial Narrow"/>
          <w:b/>
          <w:bCs/>
          <w:i w:val="false"/>
          <w:iCs w:val="false"/>
          <w:color w:val="0D7377"/>
          <w:sz w:val="19"/>
          <w:szCs w:val="19"/>
        </w:rPr>
        <w:t xml:space="preserve">Dec 2018 – May 2021</w:t>
      </w:r>
    </w:p>
    <w:p>
      <w:pPr>
        <w:spacing w:after="60"/>
      </w:pPr>
      <w:r>
        <w:rPr>
          <w:rFonts w:ascii="Arial Narrow" w:cs="Arial Narrow" w:eastAsia="Arial Narrow" w:hAnsi="Arial Narrow"/>
          <w:b w:val="false"/>
          <w:bCs w:val="false"/>
          <w:i/>
          <w:iCs/>
          <w:color w:val="555555"/>
          <w:sz w:val="19"/>
          <w:szCs w:val="19"/>
        </w:rPr>
        <w:t xml:space="preserve">New York City, New York</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Rejoined Io-Tahoe — an early-stage AI-driven data discovery and governance startup, acquired twice — having been with the team since its Rokittech days; shaped product capabilities from ideation through enterprise implementation.</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Led ActiveDQ, a data quality product built natively on Snowflake — delivering quality capability that ran directly against warehouse data for enterprise customers.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Led client delivery and production engineering across banking, insurance and healthcare — scoping, implementation, reliability and release readiness for multiple concurrent engagements.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Established the SDET competency from the ground up — defining test automation standards, tooling and engineering discipline that were later scaled organization-wide at Pentaho.</w:t>
      </w:r>
    </w:p>
    <w:p>
      <w:pPr>
        <w:tabs>
          <w:tab w:val="right" w:pos="9360"/>
        </w:tabs>
        <w:spacing w:after="0" w:before="110"/>
      </w:pPr>
      <w:r>
        <w:rPr>
          <w:rFonts w:ascii="Arial Narrow" w:cs="Arial Narrow" w:eastAsia="Arial Narrow" w:hAnsi="Arial Narrow"/>
          <w:b/>
          <w:bCs/>
          <w:i w:val="false"/>
          <w:iCs w:val="false"/>
          <w:color w:val="111111"/>
          <w:sz w:val="20"/>
          <w:szCs w:val="20"/>
        </w:rPr>
        <w:t xml:space="preserve">Solutions Architect | AZ-Tech Radiology &amp; Open M.R.I.</w:t>
      </w:r>
      <w:r>
        <w:rPr>
          <w:rFonts w:ascii="Arial Narrow" w:cs="Arial Narrow" w:eastAsia="Arial Narrow" w:hAnsi="Arial Narrow"/>
          <w:b w:val="false"/>
          <w:bCs w:val="false"/>
          <w:i w:val="false"/>
          <w:iCs w:val="false"/>
          <w:color w:val="222222"/>
          <w:sz w:val="19"/>
          <w:szCs w:val="19"/>
        </w:rPr>
        <w:t xml:space="preserve">	</w:t>
      </w:r>
      <w:r>
        <w:rPr>
          <w:rFonts w:ascii="Arial Narrow" w:cs="Arial Narrow" w:eastAsia="Arial Narrow" w:hAnsi="Arial Narrow"/>
          <w:b/>
          <w:bCs/>
          <w:i w:val="false"/>
          <w:iCs w:val="false"/>
          <w:color w:val="0D7377"/>
          <w:sz w:val="19"/>
          <w:szCs w:val="19"/>
        </w:rPr>
        <w:t xml:space="preserve">Aug 2017 – Dec 2018</w:t>
      </w:r>
    </w:p>
    <w:p>
      <w:pPr>
        <w:spacing w:after="60"/>
      </w:pPr>
      <w:r>
        <w:rPr>
          <w:rFonts w:ascii="Arial Narrow" w:cs="Arial Narrow" w:eastAsia="Arial Narrow" w:hAnsi="Arial Narrow"/>
          <w:b w:val="false"/>
          <w:bCs w:val="false"/>
          <w:i/>
          <w:iCs/>
          <w:color w:val="555555"/>
          <w:sz w:val="19"/>
          <w:szCs w:val="19"/>
        </w:rPr>
        <w:t xml:space="preserve">Mesa, Arizona · multi-site medical imaging group · built on-site inside the radiology centers with the group's own domain experts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Architected and built a cloud-based Radiology Information System (RIS) and HL7 interface engine connecting imaging modalities, external EMRs and insurance companies — ADT A28/A31, ORM O01, ORU R01 and SIU messages — built to HIPAA requirements, auto-scaling to thousands of reports a day.</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Delivered the referring-physician portal and mobile app — two-factor login, multi-location access, high-resolution diagnostic images viewable online without client tools, report sharing between providers with consent, Elasticsearch search and real-time dashboards — cutting report delivery from days to minutes and replacing manual faxing.</w:t>
      </w:r>
    </w:p>
    <w:p>
      <w:pPr>
        <w:pBdr>
          <w:bottom w:val="single" w:color="0D7377" w:sz="6"/>
        </w:pBdr>
        <w:spacing w:after="60" w:before="140"/>
      </w:pPr>
      <w:r>
        <w:rPr>
          <w:rFonts w:ascii="Arial" w:cs="Arial" w:eastAsia="Arial" w:hAnsi="Arial"/>
          <w:b/>
          <w:bCs/>
          <w:color w:val="0D7377"/>
          <w:spacing w:val="20"/>
          <w:sz w:val="20"/>
          <w:szCs w:val="20"/>
        </w:rPr>
        <w:t xml:space="preserve">EARLIER EXPERIENCE</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420"/>
        <w:gridCol w:w="5420"/>
      </w:tblGrid>
      <w:tr>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Vmoksha Technologies — Solutions Architect</w:t>
            </w:r>
          </w:p>
          <w:p>
            <w:pPr>
              <w:spacing w:after="0"/>
            </w:pPr>
            <w:r>
              <w:rPr>
                <w:rFonts w:ascii="Arial Narrow" w:cs="Arial Narrow" w:eastAsia="Arial Narrow" w:hAnsi="Arial Narrow"/>
                <w:b w:val="false"/>
                <w:bCs w:val="false"/>
                <w:i w:val="false"/>
                <w:iCs w:val="false"/>
                <w:color w:val="0D7377"/>
                <w:sz w:val="18"/>
                <w:szCs w:val="18"/>
              </w:rPr>
              <w:t xml:space="preserve">NJ, USA &amp; Bangalore, India | Aug 2008 – Jul 2017</w:t>
            </w:r>
          </w:p>
          <w:p>
            <w:pPr>
              <w:spacing w:after="0"/>
            </w:pPr>
            <w:r>
              <w:rPr>
                <w:rFonts w:ascii="Arial Narrow" w:cs="Arial Narrow" w:eastAsia="Arial Narrow" w:hAnsi="Arial Narrow"/>
                <w:b w:val="false"/>
                <w:bCs w:val="false"/>
                <w:i w:val="false"/>
                <w:iCs w:val="false"/>
                <w:color w:val="444444"/>
                <w:sz w:val="18"/>
                <w:szCs w:val="18"/>
              </w:rPr>
              <w:t xml:space="preserve">Enterprise application delivery; led teams across US and India. Client assignment: Rokittech, later Io-Tahoe (Feb 2015 – Jul 2017) — platform engineering and product ideation for the data discovery product.</w:t>
            </w:r>
          </w:p>
        </w:tc>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Infosys Technologies — Team Leader</w:t>
            </w:r>
          </w:p>
          <w:p>
            <w:pPr>
              <w:spacing w:after="0"/>
            </w:pPr>
            <w:r>
              <w:rPr>
                <w:rFonts w:ascii="Arial Narrow" w:cs="Arial Narrow" w:eastAsia="Arial Narrow" w:hAnsi="Arial Narrow"/>
                <w:b w:val="false"/>
                <w:bCs w:val="false"/>
                <w:i w:val="false"/>
                <w:iCs w:val="false"/>
                <w:color w:val="0D7377"/>
                <w:sz w:val="18"/>
                <w:szCs w:val="18"/>
              </w:rPr>
              <w:t xml:space="preserve">Bangalore, India | Jun 2004 – Dec 2005</w:t>
            </w:r>
          </w:p>
          <w:p>
            <w:pPr>
              <w:spacing w:after="0"/>
            </w:pPr>
            <w:r>
              <w:rPr>
                <w:rFonts w:ascii="Arial Narrow" w:cs="Arial Narrow" w:eastAsia="Arial Narrow" w:hAnsi="Arial Narrow"/>
                <w:b w:val="false"/>
                <w:bCs w:val="false"/>
                <w:i w:val="false"/>
                <w:iCs w:val="false"/>
                <w:color w:val="444444"/>
                <w:sz w:val="18"/>
                <w:szCs w:val="18"/>
              </w:rPr>
              <w:t xml:space="preserve">Solution engineering, technology consultation and performance optimization for enterprise clients.</w:t>
            </w:r>
          </w:p>
        </w:tc>
      </w:tr>
      <w:tr>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Digitalpia — Programmer Analyst</w:t>
            </w:r>
          </w:p>
          <w:p>
            <w:pPr>
              <w:spacing w:after="0"/>
            </w:pPr>
            <w:r>
              <w:rPr>
                <w:rFonts w:ascii="Arial Narrow" w:cs="Arial Narrow" w:eastAsia="Arial Narrow" w:hAnsi="Arial Narrow"/>
                <w:b w:val="false"/>
                <w:bCs w:val="false"/>
                <w:i w:val="false"/>
                <w:iCs w:val="false"/>
                <w:color w:val="0D7377"/>
                <w:sz w:val="18"/>
                <w:szCs w:val="18"/>
              </w:rPr>
              <w:t xml:space="preserve">Matsuyama, Japan | Jan 2006 – Aug 2008</w:t>
            </w:r>
          </w:p>
          <w:p>
            <w:pPr>
              <w:spacing w:after="0"/>
            </w:pPr>
            <w:r>
              <w:rPr>
                <w:rFonts w:ascii="Arial Narrow" w:cs="Arial Narrow" w:eastAsia="Arial Narrow" w:hAnsi="Arial Narrow"/>
                <w:b w:val="false"/>
                <w:bCs w:val="false"/>
                <w:i w:val="false"/>
                <w:iCs w:val="false"/>
                <w:color w:val="444444"/>
                <w:sz w:val="18"/>
                <w:szCs w:val="18"/>
              </w:rPr>
              <w:t xml:space="preserve">Multiple web and client-server projects using Oracle, MS SQL Server and MS Access.</w:t>
            </w:r>
          </w:p>
        </w:tc>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Hewlett Packard — Systems Engineer</w:t>
            </w:r>
          </w:p>
          <w:p>
            <w:pPr>
              <w:spacing w:after="0"/>
            </w:pPr>
            <w:r>
              <w:rPr>
                <w:rFonts w:ascii="Arial Narrow" w:cs="Arial Narrow" w:eastAsia="Arial Narrow" w:hAnsi="Arial Narrow"/>
                <w:b w:val="false"/>
                <w:bCs w:val="false"/>
                <w:i w:val="false"/>
                <w:iCs w:val="false"/>
                <w:color w:val="0D7377"/>
                <w:sz w:val="18"/>
                <w:szCs w:val="18"/>
              </w:rPr>
              <w:t xml:space="preserve">Bangalore, India | Oct 2003 – Jun 2004</w:t>
            </w:r>
          </w:p>
          <w:p>
            <w:pPr>
              <w:spacing w:after="0"/>
            </w:pPr>
            <w:r>
              <w:rPr>
                <w:rFonts w:ascii="Arial Narrow" w:cs="Arial Narrow" w:eastAsia="Arial Narrow" w:hAnsi="Arial Narrow"/>
                <w:b w:val="false"/>
                <w:bCs w:val="false"/>
                <w:i w:val="false"/>
                <w:iCs w:val="false"/>
                <w:color w:val="444444"/>
                <w:sz w:val="18"/>
                <w:szCs w:val="18"/>
              </w:rPr>
              <w:t xml:space="preserve">Workforce Management product and SMART CRAWLER for information security.</w:t>
            </w:r>
          </w:p>
        </w:tc>
      </w:tr>
      <w:tr>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Earlier Roles</w:t>
            </w:r>
          </w:p>
          <w:p>
            <w:pPr>
              <w:spacing w:after="0"/>
            </w:pPr>
            <w:r>
              <w:rPr>
                <w:rFonts w:ascii="Arial Narrow" w:cs="Arial Narrow" w:eastAsia="Arial Narrow" w:hAnsi="Arial Narrow"/>
                <w:b w:val="false"/>
                <w:bCs w:val="false"/>
                <w:i w:val="false"/>
                <w:iCs w:val="false"/>
                <w:color w:val="0D7377"/>
                <w:sz w:val="18"/>
                <w:szCs w:val="18"/>
              </w:rPr>
              <w:t xml:space="preserve">Bangalore, India | 1999 – 2003</w:t>
            </w:r>
          </w:p>
          <w:p>
            <w:pPr>
              <w:spacing w:after="0"/>
            </w:pPr>
            <w:r>
              <w:rPr>
                <w:rFonts w:ascii="Arial Narrow" w:cs="Arial Narrow" w:eastAsia="Arial Narrow" w:hAnsi="Arial Narrow"/>
                <w:b w:val="false"/>
                <w:bCs w:val="false"/>
                <w:i w:val="false"/>
                <w:iCs w:val="false"/>
                <w:color w:val="444444"/>
                <w:sz w:val="18"/>
                <w:szCs w:val="18"/>
              </w:rPr>
              <w:t xml:space="preserve">Software engineering across call-centre, CMS, e-commerce and telecom directory systems.</w:t>
            </w:r>
          </w:p>
        </w:tc>
        <w:tc>
          <w:tcPr>
            <w:tcW w:type="pct" w:w="2500"/>
            <w:tcMar>
              <w:top w:type="dxa" w:w="50"/>
              <w:left w:type="dxa" w:w="0"/>
              <w:bottom w:type="dxa" w:w="50"/>
              <w:right w:type="dxa" w:w="180"/>
            </w:tcMar>
          </w:tcPr>
          <w:p>
            <w:r>
              <w:rPr>
                <w:rFonts w:ascii="Arial Narrow" w:cs="Arial Narrow" w:eastAsia="Arial Narrow" w:hAnsi="Arial Narrow"/>
                <w:b w:val="false"/>
                <w:bCs w:val="false"/>
                <w:i w:val="false"/>
                <w:iCs w:val="false"/>
                <w:color w:val="222222"/>
                <w:sz w:val="19"/>
                <w:szCs w:val="19"/>
              </w:rPr>
              <w:t xml:space="preserve"/>
            </w:r>
          </w:p>
        </w:tc>
      </w:tr>
    </w:tbl>
    <w:p>
      <w:pPr>
        <w:pBdr>
          <w:bottom w:val="single" w:color="0D7377" w:sz="6"/>
        </w:pBdr>
        <w:spacing w:after="60" w:before="140"/>
      </w:pPr>
      <w:r>
        <w:rPr>
          <w:rFonts w:ascii="Arial" w:cs="Arial" w:eastAsia="Arial" w:hAnsi="Arial"/>
          <w:b/>
          <w:bCs/>
          <w:color w:val="0D7377"/>
          <w:spacing w:val="20"/>
          <w:sz w:val="20"/>
          <w:szCs w:val="20"/>
        </w:rPr>
        <w:t xml:space="preserve">INDEPENDENT PROJECTS &amp; OPEN-SOURCE</w:t>
      </w:r>
    </w:p>
    <w:p>
      <w:pPr>
        <w:spacing w:after="8" w:before="55"/>
      </w:pPr>
      <w:r>
        <w:rPr>
          <w:rFonts w:ascii="Arial Narrow" w:cs="Arial Narrow" w:eastAsia="Arial Narrow" w:hAnsi="Arial Narrow"/>
          <w:b/>
          <w:bCs/>
          <w:i w:val="false"/>
          <w:iCs w:val="false"/>
          <w:color w:val="0D7377"/>
          <w:sz w:val="19"/>
          <w:szCs w:val="19"/>
        </w:rPr>
        <w:t xml:space="preserve">Privacy &amp; Governance Engineering</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Privacy Shield — open-source Python/FastAPI utility using Presidio, LangChain and OpenAI/Ollama to detect and anonymize PII before LLM processing and reverse it afterwards with full auditability. Also an OpenLineage proxy capturing lineage events as JSON, and ClaimWise, a healthcare revenue cycle synthetic data generator built as DBT pipelines, open-sourced to demonstrate DBT lineage in the catalog product.</w:t>
      </w:r>
    </w:p>
    <w:p>
      <w:pPr>
        <w:spacing w:after="8" w:before="55"/>
      </w:pPr>
      <w:r>
        <w:rPr>
          <w:rFonts w:ascii="Arial Narrow" w:cs="Arial Narrow" w:eastAsia="Arial Narrow" w:hAnsi="Arial Narrow"/>
          <w:b/>
          <w:bCs/>
          <w:i w:val="false"/>
          <w:iCs w:val="false"/>
          <w:color w:val="0D7377"/>
          <w:sz w:val="19"/>
          <w:szCs w:val="19"/>
        </w:rPr>
        <w:t xml:space="preserve">Agentic Analytics &amp; Data Tooling</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DuckDB Data Studio — browser-based analytics console querying S3/Parquet via DuckDB-WASM over a governed DBT/Cube.dev semantic layer for text-to-SQL. Also dlthub and DBT pipelines orchestrated with Dagster with agentic analytics on top, a Data Pipeline Visualizer, and TemplrGo, a single-binary data/ops toolkit with a built-in AI assistant.</w:t>
      </w:r>
    </w:p>
    <w:p>
      <w:pPr>
        <w:spacing w:after="8" w:before="55"/>
      </w:pPr>
      <w:r>
        <w:rPr>
          <w:rFonts w:ascii="Arial Narrow" w:cs="Arial Narrow" w:eastAsia="Arial Narrow" w:hAnsi="Arial Narrow"/>
          <w:b/>
          <w:bCs/>
          <w:i w:val="false"/>
          <w:iCs w:val="false"/>
          <w:color w:val="0D7377"/>
          <w:sz w:val="19"/>
          <w:szCs w:val="19"/>
        </w:rPr>
        <w:t xml:space="preserve">AI Agents</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ai-agents — monorepo of filesystem-first eve agents sharing one runtime kit; typed tools do the deterministic work and models only coordinate, with every run recording data, reports and metrics to a timestamped folder — an observability-first agent pattern.</w:t>
      </w:r>
    </w:p>
    <w:p>
      <w:pPr>
        <w:spacing w:after="8" w:before="55"/>
      </w:pPr>
      <w:r>
        <w:rPr>
          <w:rFonts w:ascii="Arial Narrow" w:cs="Arial Narrow" w:eastAsia="Arial Narrow" w:hAnsi="Arial Narrow"/>
          <w:b/>
          <w:bCs/>
          <w:i w:val="false"/>
          <w:iCs w:val="false"/>
          <w:color w:val="0D7377"/>
          <w:sz w:val="19"/>
          <w:szCs w:val="19"/>
        </w:rPr>
        <w:t xml:space="preserve">Writing &amp; Community</w:t>
      </w:r>
    </w:p>
    <w:p>
      <w:pPr>
        <w:pStyle w:val="ListParagraph"/>
        <w:numPr>
          <w:ilvl w:val="0"/>
          <w:numId w:val="2"/>
        </w:numPr>
        <w:spacing w:after="32"/>
      </w:pPr>
      <w:r>
        <w:rPr>
          <w:rFonts w:ascii="Arial Narrow" w:cs="Arial Narrow" w:eastAsia="Arial Narrow" w:hAnsi="Arial Narrow"/>
          <w:b w:val="false"/>
          <w:bCs w:val="false"/>
          <w:i w:val="false"/>
          <w:iCs w:val="false"/>
          <w:color w:val="222222"/>
          <w:sz w:val="19"/>
          <w:szCs w:val="19"/>
        </w:rPr>
        <w:t xml:space="preserve">Active blogger since 2007 — long-form articles and cheatsheets on GenAI, agentic engineering and data governance, plus a write-up series on building the AZ-Tech RIS, physician portal and HL7 engine — github.com/senthilsweb · senthilsweb.com.</w:t>
      </w:r>
    </w:p>
    <w:p>
      <w:pPr>
        <w:pBdr>
          <w:bottom w:val="single" w:color="0D7377" w:sz="6"/>
        </w:pBdr>
        <w:spacing w:after="60" w:before="140"/>
      </w:pPr>
      <w:r>
        <w:rPr>
          <w:rFonts w:ascii="Arial" w:cs="Arial" w:eastAsia="Arial" w:hAnsi="Arial"/>
          <w:b/>
          <w:bCs/>
          <w:color w:val="0D7377"/>
          <w:spacing w:val="20"/>
          <w:sz w:val="20"/>
          <w:szCs w:val="20"/>
        </w:rPr>
        <w:t xml:space="preserve">GENAI, DATA &amp; PLATFORM TOOLING</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420"/>
        <w:gridCol w:w="5420"/>
      </w:tblGrid>
      <w:tr>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0D7377"/>
                <w:sz w:val="19"/>
                <w:szCs w:val="19"/>
              </w:rPr>
              <w:t xml:space="preserve">Data Engineering &amp; Governance: </w:t>
            </w:r>
            <w:r>
              <w:rPr>
                <w:rFonts w:ascii="Arial Narrow" w:cs="Arial Narrow" w:eastAsia="Arial Narrow" w:hAnsi="Arial Narrow"/>
                <w:b w:val="false"/>
                <w:bCs w:val="false"/>
                <w:i w:val="false"/>
                <w:iCs w:val="false"/>
                <w:color w:val="222222"/>
                <w:sz w:val="18"/>
                <w:szCs w:val="18"/>
              </w:rPr>
              <w:t xml:space="preserve">Enterprise ETL/ELT (Pentaho Data Integration), dlthub, DBT, Dagster, Cube.dev semantic layers; catalog, discovery, classification, lineage, data quality, PII/privacy (Presidio), ML and agent governance; Snowflake, lakehouse, S3, DuckDB, pgvector</w:t>
            </w:r>
          </w:p>
        </w:tc>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0D7377"/>
                <w:sz w:val="19"/>
                <w:szCs w:val="19"/>
              </w:rPr>
              <w:t xml:space="preserve">Agents &amp; Frameworks: </w:t>
            </w:r>
            <w:r>
              <w:rPr>
                <w:rFonts w:ascii="Arial Narrow" w:cs="Arial Narrow" w:eastAsia="Arial Narrow" w:hAnsi="Arial Narrow"/>
                <w:b w:val="false"/>
                <w:bCs w:val="false"/>
                <w:i w:val="false"/>
                <w:iCs w:val="false"/>
                <w:color w:val="222222"/>
                <w:sz w:val="18"/>
                <w:szCs w:val="18"/>
              </w:rPr>
              <w:t xml:space="preserve">eve (Vercel), Pydantic AI, Flue, LangChain, MCP servers, skills/tools, deterministic tool-calling, RAG, text-to-SQL</w:t>
            </w:r>
          </w:p>
        </w:tc>
      </w:tr>
      <w:tr>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0D7377"/>
                <w:sz w:val="19"/>
                <w:szCs w:val="19"/>
              </w:rPr>
              <w:t xml:space="preserve">GenAI Observability &amp; Evals: </w:t>
            </w:r>
            <w:r>
              <w:rPr>
                <w:rFonts w:ascii="Arial Narrow" w:cs="Arial Narrow" w:eastAsia="Arial Narrow" w:hAnsi="Arial Narrow"/>
                <w:b w:val="false"/>
                <w:bCs w:val="false"/>
                <w:i w:val="false"/>
                <w:iCs w:val="false"/>
                <w:color w:val="222222"/>
                <w:sz w:val="18"/>
                <w:szCs w:val="18"/>
              </w:rPr>
              <w:t xml:space="preserve">LangSmith, Arize, OpenObserve; Grafana, Prometheus; data and pipeline observability, agent run logging and metrics, prompt engineering, guardrails</w:t>
            </w:r>
          </w:p>
        </w:tc>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0D7377"/>
                <w:sz w:val="19"/>
                <w:szCs w:val="19"/>
              </w:rPr>
              <w:t xml:space="preserve">MLOps, Models &amp; Delivery: </w:t>
            </w:r>
            <w:r>
              <w:rPr>
                <w:rFonts w:ascii="Arial Narrow" w:cs="Arial Narrow" w:eastAsia="Arial Narrow" w:hAnsi="Arial Narrow"/>
                <w:b w:val="false"/>
                <w:bCs w:val="false"/>
                <w:i w:val="false"/>
                <w:iCs w:val="false"/>
                <w:color w:val="222222"/>
                <w:sz w:val="18"/>
                <w:szCs w:val="18"/>
              </w:rPr>
              <w:t xml:space="preserve">Azure AI Foundry, Azure APIM (AI gateway), Azure Functions, Microsoft Agent 365; BentoML, HuggingFace, Docker, Kubernetes, CI/CD; Claude, GPT, Gemini, Ollama/local models; Claude Code, AI-DLC, spec-first delivery; healthcare: RIS, HL7 v2 (ADT, ORM, ORU, SIU), PHI-safe LLM processing</w:t>
            </w:r>
          </w:p>
        </w:tc>
      </w:tr>
    </w:tbl>
    <w:p>
      <w:pPr>
        <w:pBdr>
          <w:bottom w:val="single" w:color="0D7377" w:sz="6"/>
        </w:pBdr>
        <w:spacing w:after="60" w:before="140"/>
      </w:pPr>
      <w:r>
        <w:rPr>
          <w:rFonts w:ascii="Arial" w:cs="Arial" w:eastAsia="Arial" w:hAnsi="Arial"/>
          <w:b/>
          <w:bCs/>
          <w:color w:val="0D7377"/>
          <w:spacing w:val="20"/>
          <w:sz w:val="20"/>
          <w:szCs w:val="20"/>
        </w:rPr>
        <w:t xml:space="preserve">EDUCATION &amp; CERTIFICATIONS</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420"/>
        <w:gridCol w:w="5420"/>
      </w:tblGrid>
      <w:tr>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B.E. (Electronics &amp; Instrumentation) &amp; M.B.A (IT &amp; Tourism)</w:t>
            </w:r>
          </w:p>
          <w:p>
            <w:pPr>
              <w:spacing w:after="0"/>
            </w:pPr>
            <w:r>
              <w:rPr>
                <w:rFonts w:ascii="Arial Narrow" w:cs="Arial Narrow" w:eastAsia="Arial Narrow" w:hAnsi="Arial Narrow"/>
                <w:b w:val="false"/>
                <w:bCs w:val="false"/>
                <w:i w:val="false"/>
                <w:iCs w:val="false"/>
                <w:color w:val="0D7377"/>
                <w:sz w:val="18"/>
                <w:szCs w:val="18"/>
              </w:rPr>
              <w:t xml:space="preserve">Annamalai University · Global: US, Japan (3 yrs), India, Ukraine</w:t>
            </w:r>
          </w:p>
        </w:tc>
        <w:tc>
          <w:tcPr>
            <w:tcW w:type="pct" w:w="2500"/>
            <w:tcMar>
              <w:top w:type="dxa" w:w="50"/>
              <w:left w:type="dxa" w:w="0"/>
              <w:bottom w:type="dxa" w:w="50"/>
              <w:right w:type="dxa" w:w="180"/>
            </w:tcMar>
          </w:tcPr>
          <w:p>
            <w:pPr>
              <w:spacing w:after="0"/>
            </w:pPr>
            <w:r>
              <w:rPr>
                <w:rFonts w:ascii="Arial Narrow" w:cs="Arial Narrow" w:eastAsia="Arial Narrow" w:hAnsi="Arial Narrow"/>
                <w:b/>
                <w:bCs/>
                <w:i w:val="false"/>
                <w:iCs w:val="false"/>
                <w:color w:val="111111"/>
                <w:sz w:val="19"/>
                <w:szCs w:val="19"/>
              </w:rPr>
              <w:t xml:space="preserve">Social Innovation Leader – Global (SIL-G)</w:t>
            </w:r>
          </w:p>
          <w:p>
            <w:pPr>
              <w:spacing w:after="0"/>
            </w:pPr>
            <w:r>
              <w:rPr>
                <w:rFonts w:ascii="Arial Narrow" w:cs="Arial Narrow" w:eastAsia="Arial Narrow" w:hAnsi="Arial Narrow"/>
                <w:b w:val="false"/>
                <w:bCs w:val="false"/>
                <w:i w:val="false"/>
                <w:iCs w:val="false"/>
                <w:color w:val="0D7377"/>
                <w:sz w:val="18"/>
                <w:szCs w:val="18"/>
              </w:rPr>
              <w:t xml:space="preserve">Hitachi Academy · IMD Business School</w:t>
            </w:r>
          </w:p>
        </w:tc>
      </w:tr>
    </w:tbl>
    <w:sectPr>
      <w:footerReference w:type="default" r:id="rId6"/>
      <w:pgSz w:w="12240" w:h="15840" w:orient="portrait"/>
      <w:pgMar w:top="620" w:right="700" w:bottom="560" w:left="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Narrow" w:cs="Arial Narrow" w:eastAsia="Arial Narrow" w:hAnsi="Arial Narrow"/>
        <w:b w:val="false"/>
        <w:bCs w:val="false"/>
        <w:i w:val="false"/>
        <w:iCs w:val="false"/>
        <w:color w:val="888888"/>
        <w:sz w:val="16"/>
        <w:szCs w:val="16"/>
      </w:rPr>
      <w:t xml:space="preserve">Senthilnathan Karuppaiah · Page </w:t>
    </w:r>
    <w:r>
      <w:rPr>
        <w:rFonts w:ascii="Arial Narrow" w:cs="Arial Narrow" w:eastAsia="Arial Narrow" w:hAnsi="Arial Narrow"/>
        <w:color w:val="888888"/>
        <w:sz w:val="16"/>
        <w:szCs w:val="16"/>
      </w:rPr>
      <w:fldChar w:fldCharType="begin"/>
      <w:instrText xml:space="preserve">PAGE</w:instrText>
      <w:fldChar w:fldCharType="separate"/>
      <w:fldChar w:fldCharType="end"/>
    </w:r>
    <w:r>
      <w:rPr>
        <w:rFonts w:ascii="Arial Narrow" w:cs="Arial Narrow" w:eastAsia="Arial Narrow" w:hAnsi="Arial Narrow"/>
        <w:b w:val="false"/>
        <w:bCs w:val="false"/>
        <w:i w:val="false"/>
        <w:iCs w:val="false"/>
        <w:color w:val="888888"/>
        <w:sz w:val="16"/>
        <w:szCs w:val="16"/>
      </w:rPr>
      <w:t xml:space="preserve"> of </w:t>
    </w:r>
    <w:r>
      <w:rPr>
        <w:rFonts w:ascii="Arial Narrow" w:cs="Arial Narrow" w:eastAsia="Arial Narrow" w:hAnsi="Arial Narrow"/>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00" w:hanging="160"/>
      </w:pPr>
      <w:rPr>
        <w:color w:val="0D7377"/>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color w:val="222222"/>
        <w:sz w:val="19"/>
        <w:szCs w:val="19"/>
      </w:rPr>
    </w:rPrDefault>
    <w:pPrDefault>
      <w:pPr>
        <w:spacing w:line="23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2026-10-04T14:31:27.475Z</dcterms:created>
  <dcterms:modified xsi:type="dcterms:W3CDTF">2026-10-04T14:31:27.476Z</dcterms:modified>
</cp:coreProperties>
</file>

<file path=docProps/custom.xml><?xml version="1.0" encoding="utf-8"?>
<Properties xmlns="http://schemas.openxmlformats.org/officeDocument/2006/custom-properties" xmlns:vt="http://schemas.openxmlformats.org/officeDocument/2006/docPropsVTypes"/>
</file>