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FFFFFF" w:sz="0"/>
          <w:left w:val="none" w:color="FFFFFF" w:sz="0"/>
          <w:bottom w:val="single" w:color="0D7377" w:sz="12"/>
          <w:right w:val="none" w:color="FFFFFF" w:sz="0"/>
          <w:insideH w:val="none" w:color="FFFFFF" w:sz="0"/>
          <w:insideV w:val="none" w:color="FFFFFF" w:sz="0"/>
        </w:tblBorders>
      </w:tblPr>
      <w:tblGrid>
        <w:gridCol w:w="7200"/>
        <w:gridCol w:w="2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bottom w:type="dxa" w:w="9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11111"/>
                <w:spacing w:val="14"/>
                <w:sz w:val="32"/>
                <w:szCs w:val="32"/>
              </w:rPr>
              <w:t xml:space="preserve">SENTHILNATHAN KARUPPAIAH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GenAI Solutions Architect · Agentic Engineering · AI-DLC · Forward-Deployed</w:t>
            </w:r>
          </w:p>
          <w:p>
            <w:pPr>
              <w:spacing w:after="0" w:before="4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linkedin.com/in/senthilsweb · github.com/senthilsweb · senthilsweb.com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bottom w:type="dxa" w:w="90"/>
            </w:tcMar>
          </w:tcPr>
          <w:p>
            <w:pPr>
              <w:spacing w:after="0"/>
              <w:jc w:val="right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nathansweb@icloud.com</w:t>
            </w:r>
          </w:p>
          <w:p>
            <w:pPr>
              <w:spacing w:after="0"/>
              <w:jc w:val="right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{{PHONE}}</w:t>
            </w:r>
          </w:p>
          <w:p>
            <w:pPr>
              <w:spacing w:after="0"/>
              <w:jc w:val="right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New Jersey, USA (NYC/EST)</w:t>
            </w:r>
          </w:p>
        </w:tc>
      </w:tr>
    </w:tbl>
    <w:p>
      <w:pPr>
        <w:pBdr>
          <w:bottom w:val="single" w:color="0D7377" w:sz="6"/>
        </w:pBdr>
        <w:spacing w:after="70" w:before="200"/>
      </w:pPr>
      <w:r>
        <w:rPr>
          <w:rFonts w:ascii="Arial" w:cs="Arial" w:eastAsia="Arial" w:hAnsi="Arial"/>
          <w:b/>
          <w:bCs/>
          <w:color w:val="0D7377"/>
          <w:spacing w:val="20"/>
          <w:sz w:val="20"/>
          <w:szCs w:val="20"/>
        </w:rPr>
        <w:t xml:space="preserve">SUMMARY HIGHLIGHTS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color w:val="222222"/>
          <w:sz w:val="19"/>
          <w:szCs w:val="19"/>
        </w:rPr>
        <w:t xml:space="preserve">Created AI-DLC and the SDET AI Workbench — a spec-driven AI engineering methodology turning intent into validated software through requirements traceability, agentic workflows, deterministic tooling, automated validation and human-in-the-loop review; adopted as the engineering standard across a distributed organization, building on an SDET practice already taken to 80% regression automation.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color w:val="222222"/>
          <w:sz w:val="19"/>
          <w:szCs w:val="19"/>
        </w:rPr>
        <w:t xml:space="preserve">Ships customer-facing GenAI to production — agentic AI analytics, natural language query against a governed semantic layer (Cube.dev), text-to-SQL, RAG pipelines, semantic search, evals, PII detection using both GenAI and algorithmic approaches, and privacy engineering.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color w:val="222222"/>
          <w:sz w:val="19"/>
          <w:szCs w:val="19"/>
        </w:rPr>
        <w:t xml:space="preserve">Presales and solutions consulting across 10+ enterprise engagements — discovery workshops, RFI/RFP responses, PoCs and pilots, solution architecture, demos and enablement — presenting approach, proof results and business impact to engineering teams and C-level stakeholders alike.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color w:val="222222"/>
          <w:sz w:val="19"/>
          <w:szCs w:val="19"/>
        </w:rPr>
        <w:t xml:space="preserve">Forward-deployed by practice — works inside client environments through implementation and go-live across large banks, insurance, healthcare and life sciences, government and global enterprises, translating business intent into delivered technical outcomes.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color w:val="222222"/>
          <w:sz w:val="19"/>
          <w:szCs w:val="19"/>
        </w:rPr>
        <w:t xml:space="preserve">Deep in AI governance and production readiness — human-in-the-loop controls, guardrails, evaluation and observability with LangSmith, Arize and OpenObserve — extending a decade of enterprise data governance into ML model and AI agent governance.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color w:val="222222"/>
          <w:sz w:val="19"/>
          <w:szCs w:val="19"/>
        </w:rPr>
        <w:t xml:space="preserve">Hands-on across Python, TypeScript, Golang, Java and SQL on AWS, Azure, Docker and Kubernetes with CI/CD; led an average team of 15 engineers across the US, Europe and APAC in a follow-the-sun model, reporting to the CTO or Head of Engineering from 2014 to 2026.</w:t>
      </w:r>
    </w:p>
    <w:p>
      <w:pPr>
        <w:pBdr>
          <w:bottom w:val="single" w:color="0D7377" w:sz="6"/>
        </w:pBdr>
        <w:spacing w:after="70" w:before="200"/>
      </w:pPr>
      <w:r>
        <w:rPr>
          <w:rFonts w:ascii="Arial" w:cs="Arial" w:eastAsia="Arial" w:hAnsi="Arial"/>
          <w:b/>
          <w:bCs/>
          <w:color w:val="0D7377"/>
          <w:spacing w:val="20"/>
          <w:sz w:val="20"/>
          <w:szCs w:val="20"/>
        </w:rPr>
        <w:t xml:space="preserve">CORE COMPETENCIES</w:t>
      </w:r>
    </w:p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FFFFFF" w:sz="4"/>
          <w:insideV w:val="single" w:color="FFFFFF" w:sz="4"/>
        </w:tblBorders>
      </w:tblPr>
      <w:tblGrid>
        <w:gridCol w:w="3613"/>
        <w:gridCol w:w="3613"/>
        <w:gridCol w:w="3613"/>
      </w:tblGrid>
      <w:tr>
        <w:trPr>
          <w:tblHeader/>
        </w:trPr>
        <w:tc>
          <w:tcPr>
            <w:tcW w:type="pct" w:w="1667"/>
            <w:shd w:fill="0D737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AI-Accelerated SDLC</w:t>
            </w:r>
          </w:p>
        </w:tc>
        <w:tc>
          <w:tcPr>
            <w:tcW w:type="pct" w:w="1667"/>
            <w:shd w:fill="0D737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Agentic &amp; GenAI Engineering</w:t>
            </w:r>
          </w:p>
        </w:tc>
        <w:tc>
          <w:tcPr>
            <w:tcW w:type="pct" w:w="1667"/>
            <w:shd w:fill="0D737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Customer Engagement &amp; Delivery</w:t>
            </w:r>
          </w:p>
        </w:tc>
      </w:tr>
      <w:tr>
        <w:tc>
          <w:tcPr>
            <w:tcW w:type="pct" w:w="1667"/>
            <w:shd w:fill="EAF6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222222"/>
                <w:sz w:val="19"/>
                <w:szCs w:val="19"/>
              </w:rPr>
              <w:t xml:space="preserve">AI-DLC · Spec-Driven Delivery</w:t>
            </w:r>
          </w:p>
        </w:tc>
        <w:tc>
          <w:tcPr>
            <w:tcW w:type="pct" w:w="1667"/>
            <w:shd w:fill="EAF6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222222"/>
                <w:sz w:val="19"/>
                <w:szCs w:val="19"/>
              </w:rPr>
              <w:t xml:space="preserve">Agent Fleets · Skills/Tools · MCP</w:t>
            </w:r>
          </w:p>
        </w:tc>
        <w:tc>
          <w:tcPr>
            <w:tcW w:type="pct" w:w="1667"/>
            <w:shd w:fill="EAF6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222222"/>
                <w:sz w:val="19"/>
                <w:szCs w:val="19"/>
              </w:rPr>
              <w:t xml:space="preserve">Presales · Solution Consulting</w:t>
            </w:r>
          </w:p>
        </w:tc>
      </w:tr>
      <w:tr>
        <w:tc>
          <w:tcPr>
            <w:tcW w:type="pct" w:w="1667"/>
            <w:shd w:fill="EAF6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222222"/>
                <w:sz w:val="19"/>
                <w:szCs w:val="19"/>
              </w:rPr>
              <w:t xml:space="preserve">SDET AI Workbench · Test Automation</w:t>
            </w:r>
          </w:p>
        </w:tc>
        <w:tc>
          <w:tcPr>
            <w:tcW w:type="pct" w:w="1667"/>
            <w:shd w:fill="EAF6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222222"/>
                <w:sz w:val="19"/>
                <w:szCs w:val="19"/>
              </w:rPr>
              <w:t xml:space="preserve">RAG · Semantic Search · Text-to-SQL</w:t>
            </w:r>
          </w:p>
        </w:tc>
        <w:tc>
          <w:tcPr>
            <w:tcW w:type="pct" w:w="1667"/>
            <w:shd w:fill="EAF6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222222"/>
                <w:sz w:val="19"/>
                <w:szCs w:val="19"/>
              </w:rPr>
              <w:t xml:space="preserve">RFI/RFP · PoCs · Pilots</w:t>
            </w:r>
          </w:p>
        </w:tc>
      </w:tr>
      <w:tr>
        <w:tc>
          <w:tcPr>
            <w:tcW w:type="pct" w:w="1667"/>
            <w:shd w:fill="EAF6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222222"/>
                <w:sz w:val="19"/>
                <w:szCs w:val="19"/>
              </w:rPr>
              <w:t xml:space="preserve">Human-in-the-Loop · Guardrails</w:t>
            </w:r>
          </w:p>
        </w:tc>
        <w:tc>
          <w:tcPr>
            <w:tcW w:type="pct" w:w="1667"/>
            <w:shd w:fill="EAF6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222222"/>
                <w:sz w:val="19"/>
                <w:szCs w:val="19"/>
              </w:rPr>
              <w:t xml:space="preserve">Claude Code · Cowork · Copilot CLI</w:t>
            </w:r>
          </w:p>
        </w:tc>
        <w:tc>
          <w:tcPr>
            <w:tcW w:type="pct" w:w="1667"/>
            <w:shd w:fill="EAF6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222222"/>
                <w:sz w:val="19"/>
                <w:szCs w:val="19"/>
              </w:rPr>
              <w:t xml:space="preserve">Discovery · Demos · Workshops</w:t>
            </w:r>
          </w:p>
        </w:tc>
      </w:tr>
      <w:tr>
        <w:tc>
          <w:tcPr>
            <w:tcW w:type="pct" w:w="1667"/>
            <w:shd w:fill="EAF6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222222"/>
                <w:sz w:val="19"/>
                <w:szCs w:val="19"/>
              </w:rPr>
              <w:t xml:space="preserve">Evals · LangSmith · Arize</w:t>
            </w:r>
          </w:p>
        </w:tc>
        <w:tc>
          <w:tcPr>
            <w:tcW w:type="pct" w:w="1667"/>
            <w:shd w:fill="EAF6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222222"/>
                <w:sz w:val="19"/>
                <w:szCs w:val="19"/>
              </w:rPr>
              <w:t xml:space="preserve">Deterministic Tool-Calling · Prompt Eng.</w:t>
            </w:r>
          </w:p>
        </w:tc>
        <w:tc>
          <w:tcPr>
            <w:tcW w:type="pct" w:w="1667"/>
            <w:shd w:fill="EAF6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222222"/>
                <w:sz w:val="19"/>
                <w:szCs w:val="19"/>
              </w:rPr>
              <w:t xml:space="preserve">Executive Briefings · Enablement</w:t>
            </w:r>
          </w:p>
        </w:tc>
      </w:tr>
      <w:tr>
        <w:tc>
          <w:tcPr>
            <w:tcW w:type="pct" w:w="1667"/>
            <w:shd w:fill="EAF6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222222"/>
                <w:sz w:val="19"/>
                <w:szCs w:val="19"/>
              </w:rPr>
              <w:t xml:space="preserve">AI Governance · Observability</w:t>
            </w:r>
          </w:p>
        </w:tc>
        <w:tc>
          <w:tcPr>
            <w:tcW w:type="pct" w:w="1667"/>
            <w:shd w:fill="EAF6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222222"/>
                <w:sz w:val="19"/>
                <w:szCs w:val="19"/>
              </w:rPr>
              <w:t xml:space="preserve">Python · TypeScript · Golang · SQL</w:t>
            </w:r>
          </w:p>
        </w:tc>
        <w:tc>
          <w:tcPr>
            <w:tcW w:type="pct" w:w="1667"/>
            <w:shd w:fill="EAF6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color w:val="222222"/>
                <w:sz w:val="19"/>
                <w:szCs w:val="19"/>
              </w:rPr>
              <w:t xml:space="preserve">Forward-Deployed · Distributed Teams</w:t>
            </w:r>
          </w:p>
        </w:tc>
      </w:tr>
    </w:tbl>
    <w:p>
      <w:pPr>
        <w:pBdr>
          <w:bottom w:val="single" w:color="0D7377" w:sz="6"/>
        </w:pBdr>
        <w:spacing w:after="70" w:before="200"/>
      </w:pPr>
      <w:r>
        <w:rPr>
          <w:rFonts w:ascii="Arial" w:cs="Arial" w:eastAsia="Arial" w:hAnsi="Arial"/>
          <w:b/>
          <w:bCs/>
          <w:color w:val="0D7377"/>
          <w:spacing w:val="20"/>
          <w:sz w:val="20"/>
          <w:szCs w:val="20"/>
        </w:rPr>
        <w:t xml:space="preserve">PROFESSIONAL EXPERIENCE</w:t>
      </w:r>
    </w:p>
    <w:p>
      <w:pPr>
        <w:tabs>
          <w:tab w:val="right" w:pos="9360"/>
        </w:tabs>
        <w:spacing w:after="0" w:before="110"/>
      </w:pPr>
      <w:r>
        <w:rPr>
          <w:rFonts w:ascii="Arial Narrow" w:cs="Arial Narrow" w:eastAsia="Arial Narrow" w:hAnsi="Arial Narrow"/>
          <w:b/>
          <w:bCs/>
          <w:i w:val="false"/>
          <w:iCs w:val="false"/>
          <w:color w:val="111111"/>
          <w:sz w:val="20"/>
          <w:szCs w:val="20"/>
        </w:rPr>
        <w:t xml:space="preserve">Senior Engineering Manager &amp; GenAI Solutions Architect | Pentaho</w:t>
      </w: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color w:val="222222"/>
          <w:sz w:val="19"/>
          <w:szCs w:val="19"/>
        </w:rPr>
        <w:t xml:space="preserve">	</w:t>
      </w:r>
      <w:r>
        <w:rPr>
          <w:rFonts w:ascii="Arial Narrow" w:cs="Arial Narrow" w:eastAsia="Arial Narrow" w:hAnsi="Arial Narrow"/>
          <w:b/>
          <w:bCs/>
          <w:i w:val="false"/>
          <w:iCs w:val="false"/>
          <w:color w:val="0D7377"/>
          <w:sz w:val="19"/>
          <w:szCs w:val="19"/>
        </w:rPr>
        <w:t xml:space="preserve">May 2021 – Aug 2026</w:t>
      </w:r>
    </w:p>
    <w:p>
      <w:pPr>
        <w:spacing w:after="60"/>
      </w:pPr>
      <w:r>
        <w:rPr>
          <w:rFonts w:ascii="Arial Narrow" w:cs="Arial Narrow" w:eastAsia="Arial Narrow" w:hAnsi="Arial Narrow"/>
          <w:b w:val="false"/>
          <w:bCs w:val="false"/>
          <w:i/>
          <w:iCs/>
          <w:color w:val="555555"/>
          <w:sz w:val="19"/>
          <w:szCs w:val="19"/>
        </w:rPr>
        <w:t xml:space="preserve">Remote, New Jersey · Pentaho was part of Hitachi Vantara until 15 June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color w:val="222222"/>
          <w:sz w:val="19"/>
          <w:szCs w:val="19"/>
        </w:rPr>
        <w:t xml:space="preserve">Created AI-DLC and the SDET AI Workbench — a spec-driven AI engineering methodology combining requirements traceability, agentic workflows, deterministic tooling, automated validation, human-in-the-loop review and repeatable evaluation; adopted as the engineering standard across the wider organization and in production use.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color w:val="222222"/>
          <w:sz w:val="19"/>
          <w:szCs w:val="19"/>
        </w:rPr>
        <w:t xml:space="preserve">Built the SDET and Performance Engineering competencies from the ground up — defining the practice, standards and tooling, hiring and training engineers, and automating 80% of regression testing ahead of any AI adoption; AI-DLC and agentic workflows extended that foundation toward full automation with human review as the control point.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color w:val="222222"/>
          <w:sz w:val="19"/>
          <w:szCs w:val="19"/>
        </w:rPr>
        <w:t xml:space="preserve">Took customer-facing GenAI from prototype through production with product engineering and enterprise customers — grounding AI chat and analytics on governed semantic layers, with evals, guardrails and human review in place before release.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color w:val="222222"/>
          <w:sz w:val="19"/>
          <w:szCs w:val="19"/>
        </w:rPr>
        <w:t xml:space="preserve">Designed the agent patterns behind those features — multi-agent orchestration, structured output contracts with strict schemas so model output is checkable, deterministic pre-checks ahead of model calls to reject or route early and control token cost, and citation-grounded extraction so every answer traces back to source evidence.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color w:val="222222"/>
          <w:sz w:val="19"/>
          <w:szCs w:val="19"/>
        </w:rPr>
        <w:t xml:space="preserve">Served as Solutions Architect across 10+ concurrent enterprise engagements — large banks, insurance, healthcare and life sciences, government and global enterprises including a leading US mortgage institution — running discovery, RFI/RFP responses, PoCs and pilots, demos, workshops and enablement, and presenting architecture, proof results and business impact to engineering and executive audiences.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color w:val="222222"/>
          <w:sz w:val="19"/>
          <w:szCs w:val="19"/>
        </w:rPr>
        <w:t xml:space="preserve">Extended governance beyond data to ML model and AI agent governance — human-in-the-loop controls, guardrails, lineage and policy applied to the models and agents themselves for regulated enterprise customers.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color w:val="222222"/>
          <w:sz w:val="19"/>
          <w:szCs w:val="19"/>
        </w:rPr>
        <w:t xml:space="preserve">Drove engineering and architecture for Pentaho Data Catalog — automated discovery, classification, metadata harvesting and lineage across many thousands of data sources and billions of rows and files, spanning databases, unstructured documents, object stores and lakehouses; plus NLP/ML classification (Legal-BERT via BentoML) and privacy-safe LLM processing (Presidio).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color w:val="222222"/>
          <w:sz w:val="19"/>
          <w:szCs w:val="19"/>
        </w:rPr>
        <w:t xml:space="preserve">Ran delivery management, release readiness and engineering standards for the follow-the-sun team; agent and pipeline observability via LangSmith, Arize, OpenObserve, Grafana and Prometheus.</w:t>
      </w:r>
    </w:p>
    <w:p>
      <w:pPr>
        <w:tabs>
          <w:tab w:val="right" w:pos="9360"/>
        </w:tabs>
        <w:spacing w:after="0" w:before="110"/>
      </w:pPr>
      <w:r>
        <w:rPr>
          <w:rFonts w:ascii="Arial Narrow" w:cs="Arial Narrow" w:eastAsia="Arial Narrow" w:hAnsi="Arial Narrow"/>
          <w:b/>
          <w:bCs/>
          <w:i w:val="false"/>
          <w:iCs w:val="false"/>
          <w:color w:val="111111"/>
          <w:sz w:val="20"/>
          <w:szCs w:val="20"/>
        </w:rPr>
        <w:t xml:space="preserve">Solutions Architect / Client Delivery &amp; Head of Production Engineering | Io-Tahoe LLC</w:t>
      </w: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color w:val="222222"/>
          <w:sz w:val="19"/>
          <w:szCs w:val="19"/>
        </w:rPr>
        <w:t xml:space="preserve">	</w:t>
      </w:r>
      <w:r>
        <w:rPr>
          <w:rFonts w:ascii="Arial Narrow" w:cs="Arial Narrow" w:eastAsia="Arial Narrow" w:hAnsi="Arial Narrow"/>
          <w:b/>
          <w:bCs/>
          <w:i w:val="false"/>
          <w:iCs w:val="false"/>
          <w:color w:val="0D7377"/>
          <w:sz w:val="19"/>
          <w:szCs w:val="19"/>
        </w:rPr>
        <w:t xml:space="preserve">Dec 2018 – May 2021</w:t>
      </w:r>
    </w:p>
    <w:p>
      <w:pPr>
        <w:spacing w:after="60"/>
      </w:pPr>
      <w:r>
        <w:rPr>
          <w:rFonts w:ascii="Arial Narrow" w:cs="Arial Narrow" w:eastAsia="Arial Narrow" w:hAnsi="Arial Narrow"/>
          <w:b w:val="false"/>
          <w:bCs w:val="false"/>
          <w:i/>
          <w:iCs/>
          <w:color w:val="555555"/>
          <w:sz w:val="19"/>
          <w:szCs w:val="19"/>
        </w:rPr>
        <w:t xml:space="preserve">New York City, New York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color w:val="222222"/>
          <w:sz w:val="19"/>
          <w:szCs w:val="19"/>
        </w:rPr>
        <w:t xml:space="preserve">Rejoined Io-Tahoe — an early AI-driven data discovery and governance product company, acquired twice — as it scaled, having been with the team since its Rokittech days; shaped product capabilities from ideation through enterprise customer implementation.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color w:val="222222"/>
          <w:sz w:val="19"/>
          <w:szCs w:val="19"/>
        </w:rPr>
        <w:t xml:space="preserve">Led client delivery and production engineering across banking, insurance and healthcare — scoping, implementation, reliability and release readiness for multiple concurrent enterprise engagements.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color w:val="222222"/>
          <w:sz w:val="19"/>
          <w:szCs w:val="19"/>
        </w:rPr>
        <w:t xml:space="preserve">Established the SDET competency from the ground up — defining test automation standards, tooling and engineering discipline that were later scaled organization-wide at Pentaho.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color w:val="222222"/>
          <w:sz w:val="19"/>
          <w:szCs w:val="19"/>
        </w:rPr>
        <w:t xml:space="preserve">Translated customer goals into technical solutions and repeatable delivery playbooks; partnered with business, compliance, security and engineering stakeholders throughout.</w:t>
      </w:r>
    </w:p>
    <w:p>
      <w:pPr>
        <w:tabs>
          <w:tab w:val="right" w:pos="9360"/>
        </w:tabs>
        <w:spacing w:after="0" w:before="110"/>
      </w:pPr>
      <w:r>
        <w:rPr>
          <w:rFonts w:ascii="Arial Narrow" w:cs="Arial Narrow" w:eastAsia="Arial Narrow" w:hAnsi="Arial Narrow"/>
          <w:b/>
          <w:bCs/>
          <w:i w:val="false"/>
          <w:iCs w:val="false"/>
          <w:color w:val="111111"/>
          <w:sz w:val="20"/>
          <w:szCs w:val="20"/>
        </w:rPr>
        <w:t xml:space="preserve">Solutions Architect | AZ-Tech Radiology &amp; Open M.R.I.</w:t>
      </w: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color w:val="222222"/>
          <w:sz w:val="19"/>
          <w:szCs w:val="19"/>
        </w:rPr>
        <w:t xml:space="preserve">	</w:t>
      </w:r>
      <w:r>
        <w:rPr>
          <w:rFonts w:ascii="Arial Narrow" w:cs="Arial Narrow" w:eastAsia="Arial Narrow" w:hAnsi="Arial Narrow"/>
          <w:b/>
          <w:bCs/>
          <w:i w:val="false"/>
          <w:iCs w:val="false"/>
          <w:color w:val="0D7377"/>
          <w:sz w:val="19"/>
          <w:szCs w:val="19"/>
        </w:rPr>
        <w:t xml:space="preserve">Aug 2017 – Dec 2018</w:t>
      </w:r>
    </w:p>
    <w:p>
      <w:pPr>
        <w:spacing w:after="60"/>
      </w:pPr>
      <w:r>
        <w:rPr>
          <w:rFonts w:ascii="Arial Narrow" w:cs="Arial Narrow" w:eastAsia="Arial Narrow" w:hAnsi="Arial Narrow"/>
          <w:b w:val="false"/>
          <w:bCs w:val="false"/>
          <w:i/>
          <w:iCs/>
          <w:color w:val="555555"/>
          <w:sz w:val="19"/>
          <w:szCs w:val="19"/>
        </w:rPr>
        <w:t xml:space="preserve">Mesa, Arizona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color w:val="222222"/>
          <w:sz w:val="19"/>
          <w:szCs w:val="19"/>
        </w:rPr>
        <w:t xml:space="preserve">Architected a custom Radiology Information System (RIS), HL7 integration engine, and web/mobile applications for multi-site radiology centers.</w:t>
      </w:r>
    </w:p>
    <w:p>
      <w:pPr>
        <w:pBdr>
          <w:bottom w:val="single" w:color="0D7377" w:sz="6"/>
        </w:pBdr>
        <w:spacing w:after="70" w:before="200"/>
      </w:pPr>
      <w:r>
        <w:rPr>
          <w:rFonts w:ascii="Arial" w:cs="Arial" w:eastAsia="Arial" w:hAnsi="Arial"/>
          <w:b/>
          <w:bCs/>
          <w:color w:val="0D7377"/>
          <w:spacing w:val="20"/>
          <w:sz w:val="20"/>
          <w:szCs w:val="20"/>
        </w:rPr>
        <w:t xml:space="preserve">EARLIER EXPERIENCE</w:t>
      </w:r>
    </w:p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420"/>
        <w:gridCol w:w="5420"/>
      </w:tblGrid>
      <w:tr>
        <w:tc>
          <w:tcPr>
            <w:tcW w:type="pct" w:w="2500"/>
            <w:tcMar>
              <w:top w:type="dxa" w:w="50"/>
              <w:left w:type="dxa" w:w="0"/>
              <w:bottom w:type="dxa" w:w="50"/>
              <w:right w:type="dxa" w:w="180"/>
            </w:tcMar>
          </w:tcPr>
          <w:p>
            <w:pPr>
              <w:spacing w:after="0"/>
            </w:pPr>
            <w:r>
              <w:rPr>
                <w:rFonts w:ascii="Arial Narrow" w:cs="Arial Narrow" w:eastAsia="Arial Narrow" w:hAnsi="Arial Narrow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Vmoksha Technologies — Solutions Architect</w:t>
            </w:r>
          </w:p>
          <w:p>
            <w:pPr>
              <w:spacing w:after="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i w:val="false"/>
                <w:iCs w:val="false"/>
                <w:color w:val="0D7377"/>
                <w:sz w:val="18"/>
                <w:szCs w:val="18"/>
              </w:rPr>
              <w:t xml:space="preserve">NJ, USA &amp; Bangalore, India | Aug 2008 – Jul 2017</w:t>
            </w:r>
          </w:p>
          <w:p>
            <w:pPr>
              <w:spacing w:after="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Enterprise application delivery (incl. Dole Fresh Vegetables); led teams across US and India. Client assignment: Rokittech, later Io-Tahoe (Feb 2015 – Jul 2017) — platform engineering and product ideation for the data discovery product (Java/J2EE, Python).</w:t>
            </w:r>
          </w:p>
        </w:tc>
        <w:tc>
          <w:tcPr>
            <w:tcW w:type="pct" w:w="2500"/>
            <w:tcMar>
              <w:top w:type="dxa" w:w="50"/>
              <w:left w:type="dxa" w:w="0"/>
              <w:bottom w:type="dxa" w:w="50"/>
              <w:right w:type="dxa" w:w="180"/>
            </w:tcMar>
          </w:tcPr>
          <w:p>
            <w:pPr>
              <w:spacing w:after="0"/>
            </w:pPr>
            <w:r>
              <w:rPr>
                <w:rFonts w:ascii="Arial Narrow" w:cs="Arial Narrow" w:eastAsia="Arial Narrow" w:hAnsi="Arial Narrow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Infosys Technologies — Team Leader</w:t>
            </w:r>
          </w:p>
          <w:p>
            <w:pPr>
              <w:spacing w:after="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i w:val="false"/>
                <w:iCs w:val="false"/>
                <w:color w:val="0D7377"/>
                <w:sz w:val="18"/>
                <w:szCs w:val="18"/>
              </w:rPr>
              <w:t xml:space="preserve">Bangalore, India | Jun 2004 – Dec 2005</w:t>
            </w:r>
          </w:p>
          <w:p>
            <w:pPr>
              <w:spacing w:after="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Solution engineering, technology consultation and performance optimization for enterprise clients.</w:t>
            </w:r>
          </w:p>
        </w:tc>
      </w:tr>
      <w:tr>
        <w:tc>
          <w:tcPr>
            <w:tcW w:type="pct" w:w="2500"/>
            <w:tcMar>
              <w:top w:type="dxa" w:w="50"/>
              <w:left w:type="dxa" w:w="0"/>
              <w:bottom w:type="dxa" w:w="50"/>
              <w:right w:type="dxa" w:w="180"/>
            </w:tcMar>
          </w:tcPr>
          <w:p>
            <w:pPr>
              <w:spacing w:after="0"/>
            </w:pPr>
            <w:r>
              <w:rPr>
                <w:rFonts w:ascii="Arial Narrow" w:cs="Arial Narrow" w:eastAsia="Arial Narrow" w:hAnsi="Arial Narrow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Digitalpia — Programmer Analyst</w:t>
            </w:r>
          </w:p>
          <w:p>
            <w:pPr>
              <w:spacing w:after="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i w:val="false"/>
                <w:iCs w:val="false"/>
                <w:color w:val="0D7377"/>
                <w:sz w:val="18"/>
                <w:szCs w:val="18"/>
              </w:rPr>
              <w:t xml:space="preserve">Matsuyama, Japan | Jan 2006 – Aug 2008</w:t>
            </w:r>
          </w:p>
          <w:p>
            <w:pPr>
              <w:spacing w:after="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Multiple web and client-server projects using Oracle, MS SQL Server and MS Access.</w:t>
            </w:r>
          </w:p>
        </w:tc>
        <w:tc>
          <w:tcPr>
            <w:tcW w:type="pct" w:w="2500"/>
            <w:tcMar>
              <w:top w:type="dxa" w:w="50"/>
              <w:left w:type="dxa" w:w="0"/>
              <w:bottom w:type="dxa" w:w="50"/>
              <w:right w:type="dxa" w:w="180"/>
            </w:tcMar>
          </w:tcPr>
          <w:p>
            <w:pPr>
              <w:spacing w:after="0"/>
            </w:pPr>
            <w:r>
              <w:rPr>
                <w:rFonts w:ascii="Arial Narrow" w:cs="Arial Narrow" w:eastAsia="Arial Narrow" w:hAnsi="Arial Narrow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Hewlett Packard — Systems Engineer</w:t>
            </w:r>
          </w:p>
          <w:p>
            <w:pPr>
              <w:spacing w:after="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i w:val="false"/>
                <w:iCs w:val="false"/>
                <w:color w:val="0D7377"/>
                <w:sz w:val="18"/>
                <w:szCs w:val="18"/>
              </w:rPr>
              <w:t xml:space="preserve">Bangalore, India | Oct 2003 – Jun 2004</w:t>
            </w:r>
          </w:p>
          <w:p>
            <w:pPr>
              <w:spacing w:after="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Workforce Management product and SMART CRAWLER for information security.</w:t>
            </w:r>
          </w:p>
        </w:tc>
      </w:tr>
      <w:tr>
        <w:tc>
          <w:tcPr>
            <w:tcW w:type="pct" w:w="2500"/>
            <w:tcMar>
              <w:top w:type="dxa" w:w="50"/>
              <w:left w:type="dxa" w:w="0"/>
              <w:bottom w:type="dxa" w:w="50"/>
              <w:right w:type="dxa" w:w="180"/>
            </w:tcMar>
          </w:tcPr>
          <w:p>
            <w:pPr>
              <w:spacing w:after="0"/>
            </w:pPr>
            <w:r>
              <w:rPr>
                <w:rFonts w:ascii="Arial Narrow" w:cs="Arial Narrow" w:eastAsia="Arial Narrow" w:hAnsi="Arial Narrow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Earlier Roles</w:t>
            </w:r>
          </w:p>
          <w:p>
            <w:pPr>
              <w:spacing w:after="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i w:val="false"/>
                <w:iCs w:val="false"/>
                <w:color w:val="0D7377"/>
                <w:sz w:val="18"/>
                <w:szCs w:val="18"/>
              </w:rPr>
              <w:t xml:space="preserve">Bangalore, India | 1999 – 2003</w:t>
            </w:r>
          </w:p>
          <w:p>
            <w:pPr>
              <w:spacing w:after="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i w:val="false"/>
                <w:iCs w:val="false"/>
                <w:color w:val="444444"/>
                <w:sz w:val="18"/>
                <w:szCs w:val="18"/>
              </w:rPr>
              <w:t xml:space="preserve">Software engineering across call-centre, CMS, e-commerce and telecom directory systems.</w:t>
            </w:r>
          </w:p>
        </w:tc>
        <w:tc>
          <w:tcPr>
            <w:tcW w:type="pct" w:w="2500"/>
            <w:tcMar>
              <w:top w:type="dxa" w:w="50"/>
              <w:left w:type="dxa" w:w="0"/>
              <w:bottom w:type="dxa" w:w="50"/>
              <w:right w:type="dxa" w:w="180"/>
            </w:tcMar>
          </w:tcPr>
          <w:p>
            <w:r>
              <w:rPr>
                <w:rFonts w:ascii="Arial Narrow" w:cs="Arial Narrow" w:eastAsia="Arial Narrow" w:hAnsi="Arial Narrow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</w:tr>
    </w:tbl>
    <w:p>
      <w:pPr>
        <w:pBdr>
          <w:bottom w:val="single" w:color="0D7377" w:sz="6"/>
        </w:pBdr>
        <w:spacing w:after="70" w:before="200"/>
      </w:pPr>
      <w:r>
        <w:rPr>
          <w:rFonts w:ascii="Arial" w:cs="Arial" w:eastAsia="Arial" w:hAnsi="Arial"/>
          <w:b/>
          <w:bCs/>
          <w:color w:val="0D7377"/>
          <w:spacing w:val="20"/>
          <w:sz w:val="20"/>
          <w:szCs w:val="20"/>
        </w:rPr>
        <w:t xml:space="preserve">INDEPENDENT PROJECTS &amp; OPEN-SOURCE</w:t>
      </w:r>
    </w:p>
    <w:p>
      <w:pPr>
        <w:spacing w:after="8" w:before="55"/>
      </w:pPr>
      <w:r>
        <w:rPr>
          <w:rFonts w:ascii="Arial Narrow" w:cs="Arial Narrow" w:eastAsia="Arial Narrow" w:hAnsi="Arial Narrow"/>
          <w:b/>
          <w:bCs/>
          <w:i w:val="false"/>
          <w:iCs w:val="false"/>
          <w:color w:val="0D7377"/>
          <w:sz w:val="19"/>
          <w:szCs w:val="19"/>
        </w:rPr>
        <w:t xml:space="preserve">Privacy &amp; Governance Engineering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color w:val="222222"/>
          <w:sz w:val="19"/>
          <w:szCs w:val="19"/>
        </w:rPr>
        <w:t xml:space="preserve">Privacy Shield — open-source Python/FastAPI utility using Presidio, LangChain and OpenAI/Ollama to detect and anonymize PII before LLM processing and reverse the anonymization afterwards with full auditability. Also an OpenLineage proxy capturing lineage events as JSON, and ClaimWise, a Synthea-style synthetic healthcare dataset generator for privacy-safe testing.</w:t>
      </w:r>
    </w:p>
    <w:p>
      <w:pPr>
        <w:spacing w:after="8" w:before="55"/>
      </w:pPr>
      <w:r>
        <w:rPr>
          <w:rFonts w:ascii="Arial Narrow" w:cs="Arial Narrow" w:eastAsia="Arial Narrow" w:hAnsi="Arial Narrow"/>
          <w:b/>
          <w:bCs/>
          <w:i w:val="false"/>
          <w:iCs w:val="false"/>
          <w:color w:val="0D7377"/>
          <w:sz w:val="19"/>
          <w:szCs w:val="19"/>
        </w:rPr>
        <w:t xml:space="preserve">Agentic Analytics &amp; Data Tooling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color w:val="222222"/>
          <w:sz w:val="19"/>
          <w:szCs w:val="19"/>
        </w:rPr>
        <w:t xml:space="preserve">DuckDB Data Studio — browser-based analytics console querying S3/Parquet via DuckDB-WASM over a governed DBT/Cube.dev semantic layer for text-to-SQL. Also DBT pipelines with agentic analytics, a Data Pipeline Visualizer that generates diagrams from pipeline metadata, and TemplrGo, a single-binary data/ops toolkit with a built-in AI assistant.</w:t>
      </w:r>
    </w:p>
    <w:p>
      <w:pPr>
        <w:spacing w:after="8" w:before="55"/>
      </w:pPr>
      <w:r>
        <w:rPr>
          <w:rFonts w:ascii="Arial Narrow" w:cs="Arial Narrow" w:eastAsia="Arial Narrow" w:hAnsi="Arial Narrow"/>
          <w:b/>
          <w:bCs/>
          <w:i w:val="false"/>
          <w:iCs w:val="false"/>
          <w:color w:val="0D7377"/>
          <w:sz w:val="19"/>
          <w:szCs w:val="19"/>
        </w:rPr>
        <w:t xml:space="preserve">AI Agents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color w:val="222222"/>
          <w:sz w:val="19"/>
          <w:szCs w:val="19"/>
        </w:rPr>
        <w:t xml:space="preserve">ai-agents — monorepo of filesystem-first eve agents sharing one runtime kit; typed tools do the deterministic work and models only coordinate, with every run recording data, reports and metrics to a timestamped folder — an observability-first agent pattern.</w:t>
      </w:r>
    </w:p>
    <w:p>
      <w:pPr>
        <w:spacing w:after="8" w:before="55"/>
      </w:pPr>
      <w:r>
        <w:rPr>
          <w:rFonts w:ascii="Arial Narrow" w:cs="Arial Narrow" w:eastAsia="Arial Narrow" w:hAnsi="Arial Narrow"/>
          <w:b/>
          <w:bCs/>
          <w:i w:val="false"/>
          <w:iCs w:val="false"/>
          <w:color w:val="0D7377"/>
          <w:sz w:val="19"/>
          <w:szCs w:val="19"/>
        </w:rPr>
        <w:t xml:space="preserve">Writing &amp; Community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color w:val="222222"/>
          <w:sz w:val="19"/>
          <w:szCs w:val="19"/>
        </w:rPr>
        <w:t xml:space="preserve">Templrpress publishing toolkit, regular long-form LinkedIn articles and cheatsheets on GenAI, agentic engineering and data governance, and open-source agent, RAG and observability utilities — github.com/senthilsweb · senthilsweb.com, blogging since 2007.</w:t>
      </w:r>
    </w:p>
    <w:p>
      <w:pPr>
        <w:pBdr>
          <w:bottom w:val="single" w:color="0D7377" w:sz="6"/>
        </w:pBdr>
        <w:spacing w:after="70" w:before="200"/>
      </w:pPr>
      <w:r>
        <w:rPr>
          <w:rFonts w:ascii="Arial" w:cs="Arial" w:eastAsia="Arial" w:hAnsi="Arial"/>
          <w:b/>
          <w:bCs/>
          <w:color w:val="0D7377"/>
          <w:spacing w:val="20"/>
          <w:sz w:val="20"/>
          <w:szCs w:val="20"/>
        </w:rPr>
        <w:t xml:space="preserve">GENAI, DATA &amp; PLATFORM TOOLING</w:t>
      </w:r>
    </w:p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420"/>
        <w:gridCol w:w="5420"/>
      </w:tblGrid>
      <w:tr>
        <w:tc>
          <w:tcPr>
            <w:tcW w:type="pct" w:w="2500"/>
            <w:tcMar>
              <w:top w:type="dxa" w:w="50"/>
              <w:left w:type="dxa" w:w="0"/>
              <w:bottom w:type="dxa" w:w="50"/>
              <w:right w:type="dxa" w:w="180"/>
            </w:tcMar>
          </w:tcPr>
          <w:p>
            <w:pPr>
              <w:spacing w:after="0"/>
            </w:pPr>
            <w:r>
              <w:rPr>
                <w:rFonts w:ascii="Arial Narrow" w:cs="Arial Narrow" w:eastAsia="Arial Narrow" w:hAnsi="Arial Narrow"/>
                <w:b/>
                <w:bCs/>
                <w:i w:val="false"/>
                <w:iCs w:val="false"/>
                <w:color w:val="0D7377"/>
                <w:sz w:val="19"/>
                <w:szCs w:val="19"/>
              </w:rPr>
              <w:t xml:space="preserve">Governance &amp; Data: </w:t>
            </w:r>
            <w:r>
              <w:rPr>
                <w:rFonts w:ascii="Arial Narrow" w:cs="Arial Narrow" w:eastAsia="Arial Narrow" w:hAnsi="Arial Narrow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Data catalog, discovery, classification, metadata harvesting, lineage, provenance, data quality, PII/privacy (Presidio), ML model and agent governance; lakehouse, S3, Snowflake, DuckDB, DBT, Cube.dev semantic layers, pgvector</w:t>
            </w:r>
          </w:p>
        </w:tc>
        <w:tc>
          <w:tcPr>
            <w:tcW w:type="pct" w:w="2500"/>
            <w:tcMar>
              <w:top w:type="dxa" w:w="50"/>
              <w:left w:type="dxa" w:w="0"/>
              <w:bottom w:type="dxa" w:w="50"/>
              <w:right w:type="dxa" w:w="180"/>
            </w:tcMar>
          </w:tcPr>
          <w:p>
            <w:pPr>
              <w:spacing w:after="0"/>
            </w:pPr>
            <w:r>
              <w:rPr>
                <w:rFonts w:ascii="Arial Narrow" w:cs="Arial Narrow" w:eastAsia="Arial Narrow" w:hAnsi="Arial Narrow"/>
                <w:b/>
                <w:bCs/>
                <w:i w:val="false"/>
                <w:iCs w:val="false"/>
                <w:color w:val="0D7377"/>
                <w:sz w:val="19"/>
                <w:szCs w:val="19"/>
              </w:rPr>
              <w:t xml:space="preserve">AI Engineering &amp; Agents: </w:t>
            </w:r>
            <w:r>
              <w:rPr>
                <w:rFonts w:ascii="Arial Narrow" w:cs="Arial Narrow" w:eastAsia="Arial Narrow" w:hAnsi="Arial Narrow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Claude Code, Claude Cowork, GitHub Copilot CLI; eve (Vercel), Pydantic AI, Flue, LangChain, MCP servers, skills/tools, deterministic tool-calling, RAG, semantic search, text-to-SQL, pgvector</w:t>
            </w:r>
          </w:p>
        </w:tc>
      </w:tr>
      <w:tr>
        <w:tc>
          <w:tcPr>
            <w:tcW w:type="pct" w:w="2500"/>
            <w:tcMar>
              <w:top w:type="dxa" w:w="50"/>
              <w:left w:type="dxa" w:w="0"/>
              <w:bottom w:type="dxa" w:w="50"/>
              <w:right w:type="dxa" w:w="180"/>
            </w:tcMar>
          </w:tcPr>
          <w:p>
            <w:pPr>
              <w:spacing w:after="0"/>
            </w:pPr>
            <w:r>
              <w:rPr>
                <w:rFonts w:ascii="Arial Narrow" w:cs="Arial Narrow" w:eastAsia="Arial Narrow" w:hAnsi="Arial Narrow"/>
                <w:b/>
                <w:bCs/>
                <w:i w:val="false"/>
                <w:iCs w:val="false"/>
                <w:color w:val="0D7377"/>
                <w:sz w:val="19"/>
                <w:szCs w:val="19"/>
              </w:rPr>
              <w:t xml:space="preserve">GenAI Observability &amp; Evals: </w:t>
            </w:r>
            <w:r>
              <w:rPr>
                <w:rFonts w:ascii="Arial Narrow" w:cs="Arial Narrow" w:eastAsia="Arial Narrow" w:hAnsi="Arial Narrow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LangSmith, Arize, OpenObserve; Grafana, Prometheus, node exporters; data and pipeline observability, agent run logging and metrics, prompt engineering, guardrails</w:t>
            </w:r>
          </w:p>
        </w:tc>
        <w:tc>
          <w:tcPr>
            <w:tcW w:type="pct" w:w="2500"/>
            <w:tcMar>
              <w:top w:type="dxa" w:w="50"/>
              <w:left w:type="dxa" w:w="0"/>
              <w:bottom w:type="dxa" w:w="50"/>
              <w:right w:type="dxa" w:w="180"/>
            </w:tcMar>
          </w:tcPr>
          <w:p>
            <w:pPr>
              <w:spacing w:after="0"/>
            </w:pPr>
            <w:r>
              <w:rPr>
                <w:rFonts w:ascii="Arial Narrow" w:cs="Arial Narrow" w:eastAsia="Arial Narrow" w:hAnsi="Arial Narrow"/>
                <w:b/>
                <w:bCs/>
                <w:i w:val="false"/>
                <w:iCs w:val="false"/>
                <w:color w:val="0D7377"/>
                <w:sz w:val="19"/>
                <w:szCs w:val="19"/>
              </w:rPr>
              <w:t xml:space="preserve">MLOps, Models &amp; Delivery: </w:t>
            </w:r>
            <w:r>
              <w:rPr>
                <w:rFonts w:ascii="Arial Narrow" w:cs="Arial Narrow" w:eastAsia="Arial Narrow" w:hAnsi="Arial Narrow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Azure AI Foundry, Azure APIM (AI gateway), Azure Functions, Microsoft Agent 365; BentoML, HuggingFace, Cloudflare Workers AI, Docker, Kubernetes, CI/CD; Claude, GPT, Gemini, GLM, DeepSeek, Ollama/local models; AI-DLC, spec-first delivery, forward-deployed engagement</w:t>
            </w:r>
          </w:p>
        </w:tc>
      </w:tr>
    </w:tbl>
    <w:p>
      <w:pPr>
        <w:pBdr>
          <w:bottom w:val="single" w:color="0D7377" w:sz="6"/>
        </w:pBdr>
        <w:spacing w:after="70" w:before="200"/>
      </w:pPr>
      <w:r>
        <w:rPr>
          <w:rFonts w:ascii="Arial" w:cs="Arial" w:eastAsia="Arial" w:hAnsi="Arial"/>
          <w:b/>
          <w:bCs/>
          <w:color w:val="0D7377"/>
          <w:spacing w:val="20"/>
          <w:sz w:val="20"/>
          <w:szCs w:val="20"/>
        </w:rPr>
        <w:t xml:space="preserve">EDUCATION &amp; CERTIFICATIONS</w:t>
      </w:r>
    </w:p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420"/>
        <w:gridCol w:w="5420"/>
      </w:tblGrid>
      <w:tr>
        <w:tc>
          <w:tcPr>
            <w:tcW w:type="pct" w:w="2500"/>
            <w:tcMar>
              <w:top w:type="dxa" w:w="50"/>
              <w:left w:type="dxa" w:w="0"/>
              <w:bottom w:type="dxa" w:w="50"/>
              <w:right w:type="dxa" w:w="180"/>
            </w:tcMar>
          </w:tcPr>
          <w:p>
            <w:pPr>
              <w:spacing w:after="0"/>
            </w:pPr>
            <w:r>
              <w:rPr>
                <w:rFonts w:ascii="Arial Narrow" w:cs="Arial Narrow" w:eastAsia="Arial Narrow" w:hAnsi="Arial Narrow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B.E. (Electronics &amp; Instrumentation) &amp; M.B.A (IT &amp; Tourism)</w:t>
            </w:r>
          </w:p>
          <w:p>
            <w:pPr>
              <w:spacing w:after="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i w:val="false"/>
                <w:iCs w:val="false"/>
                <w:color w:val="0D7377"/>
                <w:sz w:val="18"/>
                <w:szCs w:val="18"/>
              </w:rPr>
              <w:t xml:space="preserve">Annamalai University, India</w:t>
            </w:r>
          </w:p>
        </w:tc>
        <w:tc>
          <w:tcPr>
            <w:tcW w:type="pct" w:w="2500"/>
            <w:tcMar>
              <w:top w:type="dxa" w:w="50"/>
              <w:left w:type="dxa" w:w="0"/>
              <w:bottom w:type="dxa" w:w="50"/>
              <w:right w:type="dxa" w:w="180"/>
            </w:tcMar>
          </w:tcPr>
          <w:p>
            <w:pPr>
              <w:spacing w:after="0"/>
            </w:pPr>
            <w:r>
              <w:rPr>
                <w:rFonts w:ascii="Arial Narrow" w:cs="Arial Narrow" w:eastAsia="Arial Narrow" w:hAnsi="Arial Narrow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Social Innovation Leader – Global (SIL-G)</w:t>
            </w:r>
          </w:p>
          <w:p>
            <w:pPr>
              <w:spacing w:after="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i w:val="false"/>
                <w:iCs w:val="false"/>
                <w:color w:val="0D7377"/>
                <w:sz w:val="18"/>
                <w:szCs w:val="18"/>
              </w:rPr>
              <w:t xml:space="preserve">Hitachi Academy · IMD Business School</w:t>
            </w:r>
          </w:p>
        </w:tc>
      </w:tr>
      <w:tr>
        <w:tc>
          <w:tcPr>
            <w:tcW w:type="pct" w:w="2500"/>
            <w:tcMar>
              <w:top w:type="dxa" w:w="50"/>
              <w:left w:type="dxa" w:w="0"/>
              <w:bottom w:type="dxa" w:w="50"/>
              <w:right w:type="dxa" w:w="180"/>
            </w:tcMar>
          </w:tcPr>
          <w:p>
            <w:pPr>
              <w:spacing w:after="0"/>
            </w:pPr>
            <w:r>
              <w:rPr>
                <w:rFonts w:ascii="Arial Narrow" w:cs="Arial Narrow" w:eastAsia="Arial Narrow" w:hAnsi="Arial Narrow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Global Experience</w:t>
            </w:r>
          </w:p>
          <w:p>
            <w:pPr>
              <w:spacing w:after="0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i w:val="false"/>
                <w:iCs w:val="false"/>
                <w:color w:val="0D7377"/>
                <w:sz w:val="18"/>
                <w:szCs w:val="18"/>
              </w:rPr>
              <w:t xml:space="preserve">US · Japan (3 yrs) · India · Ukraine</w:t>
            </w:r>
          </w:p>
        </w:tc>
        <w:tc>
          <w:tcPr>
            <w:tcW w:type="pct" w:w="2500"/>
            <w:tcMar>
              <w:top w:type="dxa" w:w="50"/>
              <w:left w:type="dxa" w:w="0"/>
              <w:bottom w:type="dxa" w:w="50"/>
              <w:right w:type="dxa" w:w="180"/>
            </w:tcMar>
          </w:tcPr>
          <w:p>
            <w:r>
              <w:rPr>
                <w:rFonts w:ascii="Arial Narrow" w:cs="Arial Narrow" w:eastAsia="Arial Narrow" w:hAnsi="Arial Narrow"/>
                <w:b w:val="false"/>
                <w:bCs w:val="false"/>
                <w:i w:val="false"/>
                <w:iCs w:val="false"/>
                <w:color w:val="222222"/>
                <w:sz w:val="19"/>
                <w:szCs w:val="19"/>
              </w:rPr>
              <w:t xml:space="preserve"/>
            </w:r>
          </w:p>
        </w:tc>
      </w:tr>
    </w:tbl>
    <w:sectPr>
      <w:footerReference w:type="default" r:id="rId6"/>
      <w:pgSz w:w="12240" w:h="15840" w:orient="portrait"/>
      <w:pgMar w:top="620" w:right="700" w:bottom="560" w:left="7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 Narrow" w:cs="Arial Narrow" w:eastAsia="Arial Narrow" w:hAnsi="Arial Narrow"/>
        <w:b w:val="false"/>
        <w:bCs w:val="false"/>
        <w:i w:val="false"/>
        <w:iCs w:val="false"/>
        <w:color w:val="888888"/>
        <w:sz w:val="16"/>
        <w:szCs w:val="16"/>
      </w:rPr>
      <w:t xml:space="preserve">Senthilnathan Karuppaiah · Page </w:t>
    </w:r>
    <w:r>
      <w:rPr>
        <w:rFonts w:ascii="Arial Narrow" w:cs="Arial Narrow" w:eastAsia="Arial Narrow" w:hAnsi="Arial Narrow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 Narrow" w:cs="Arial Narrow" w:eastAsia="Arial Narrow" w:hAnsi="Arial Narrow"/>
        <w:b w:val="false"/>
        <w:bCs w:val="false"/>
        <w:i w:val="false"/>
        <w:iCs w:val="false"/>
        <w:color w:val="888888"/>
        <w:sz w:val="16"/>
        <w:szCs w:val="16"/>
      </w:rPr>
      <w:t xml:space="preserve"> of </w:t>
    </w:r>
    <w:r>
      <w:rPr>
        <w:rFonts w:ascii="Arial Narrow" w:cs="Arial Narrow" w:eastAsia="Arial Narrow" w:hAnsi="Arial Narrow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▪"/>
      <w:lvlJc w:val="left"/>
      <w:pPr>
        <w:ind w:left="200" w:hanging="160"/>
      </w:pPr>
      <w:rPr>
        <w:color w:val="0D7377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 Narrow" w:cs="Arial Narrow" w:eastAsia="Arial Narrow" w:hAnsi="Arial Narrow"/>
        <w:color w:val="222222"/>
        <w:sz w:val="19"/>
        <w:szCs w:val="19"/>
      </w:rPr>
    </w:rPrDefault>
    <w:pPrDefault>
      <w:pPr>
        <w:spacing w:line="23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2026-10-04T14:31:26.793Z</dcterms:created>
  <dcterms:modified xsi:type="dcterms:W3CDTF">2026-10-04T14:31:26.793Z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