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single" w:color="0D7377" w:sz="12"/>
          <w:right w:val="none" w:color="FFFFFF" w:sz="0"/>
          <w:insideH w:val="none" w:color="FFFFFF" w:sz="0"/>
          <w:insideV w:val="none" w:color="FFFFFF" w:sz="0"/>
        </w:tblBorders>
      </w:tblPr>
      <w:tblGrid>
        <w:gridCol w:w="7200"/>
        <w:gridCol w:w="2800"/>
      </w:tblGrid>
      <w:tr>
        <w:tc>
          <w:tcPr>
            <w:tcBorders>
              <w:top w:val="none" w:color="FFFFFF" w:sz="0"/>
              <w:left w:val="none" w:color="FFFFFF" w:sz="0"/>
              <w:bottom w:val="none" w:color="FFFFFF" w:sz="0"/>
              <w:right w:val="none" w:color="FFFFFF" w:sz="0"/>
            </w:tcBorders>
            <w:tcMar>
              <w:bottom w:type="dxa" w:w="90"/>
            </w:tcMar>
          </w:tcPr>
          <w:p>
            <w:pPr>
              <w:spacing w:after="20"/>
            </w:pPr>
            <w:r>
              <w:rPr>
                <w:rFonts w:ascii="Arial" w:cs="Arial" w:eastAsia="Arial" w:hAnsi="Arial"/>
                <w:b/>
                <w:bCs/>
                <w:color w:val="111111"/>
                <w:spacing w:val="14"/>
                <w:sz w:val="32"/>
                <w:szCs w:val="32"/>
              </w:rPr>
              <w:t xml:space="preserve">SENTHILNATHAN KARUPPAIAH</w:t>
            </w:r>
          </w:p>
          <w:p>
            <w:pPr>
              <w:spacing w:after="0"/>
            </w:pPr>
            <w:r>
              <w:rPr>
                <w:rFonts w:ascii="Arial" w:cs="Arial" w:eastAsia="Arial" w:hAnsi="Arial"/>
                <w:b/>
                <w:bCs/>
                <w:color w:val="0D7377"/>
                <w:sz w:val="18"/>
                <w:szCs w:val="18"/>
              </w:rPr>
              <w:t xml:space="preserve">Data &amp; GenAI Architect · Engineering Manager · Data Engineering &amp; Governance</w:t>
            </w:r>
          </w:p>
          <w:p>
            <w:pPr>
              <w:spacing w:after="0" w:before="40"/>
            </w:pPr>
            <w:r>
              <w:rPr>
                <w:rFonts w:ascii="Arial Narrow" w:cs="Arial Narrow" w:eastAsia="Arial Narrow" w:hAnsi="Arial Narrow"/>
                <w:b w:val="false"/>
                <w:bCs w:val="false"/>
                <w:i w:val="false"/>
                <w:iCs w:val="false"/>
                <w:color w:val="555555"/>
                <w:sz w:val="18"/>
                <w:szCs w:val="18"/>
              </w:rPr>
              <w:t xml:space="preserve">linkedin.com/in/senthilsweb · github.com/senthilsweb · senthilsweb.com</w:t>
            </w:r>
          </w:p>
        </w:tc>
        <w:tc>
          <w:tcPr>
            <w:tcBorders>
              <w:top w:val="none" w:color="FFFFFF" w:sz="0"/>
              <w:left w:val="none" w:color="FFFFFF" w:sz="0"/>
              <w:bottom w:val="none" w:color="FFFFFF" w:sz="0"/>
              <w:right w:val="none" w:color="FFFFFF" w:sz="0"/>
            </w:tcBorders>
            <w:tcMar>
              <w:bottom w:type="dxa" w:w="90"/>
            </w:tcMar>
          </w:tcPr>
          <w:p>
            <w:pPr>
              <w:spacing w:after="0"/>
              <w:jc w:val="right"/>
            </w:pPr>
            <w:r>
              <w:rPr>
                <w:rFonts w:ascii="Arial Narrow" w:cs="Arial Narrow" w:eastAsia="Arial Narrow" w:hAnsi="Arial Narrow"/>
                <w:b w:val="false"/>
                <w:bCs w:val="false"/>
                <w:i w:val="false"/>
                <w:iCs w:val="false"/>
                <w:color w:val="222222"/>
                <w:sz w:val="18"/>
                <w:szCs w:val="18"/>
              </w:rPr>
              <w:t xml:space="preserve">nathansweb@icloud.com</w:t>
            </w:r>
          </w:p>
          <w:p>
            <w:pPr>
              <w:spacing w:after="0"/>
              <w:jc w:val="right"/>
            </w:pPr>
            <w:r>
              <w:rPr>
                <w:rFonts w:ascii="Arial Narrow" w:cs="Arial Narrow" w:eastAsia="Arial Narrow" w:hAnsi="Arial Narrow"/>
                <w:b w:val="false"/>
                <w:bCs w:val="false"/>
                <w:i w:val="false"/>
                <w:iCs w:val="false"/>
                <w:color w:val="222222"/>
                <w:sz w:val="18"/>
                <w:szCs w:val="18"/>
              </w:rPr>
              <w:t xml:space="preserve">{{PHONE}}</w:t>
            </w:r>
          </w:p>
          <w:p>
            <w:pPr>
              <w:spacing w:after="0"/>
              <w:jc w:val="right"/>
            </w:pPr>
            <w:r>
              <w:rPr>
                <w:rFonts w:ascii="Arial Narrow" w:cs="Arial Narrow" w:eastAsia="Arial Narrow" w:hAnsi="Arial Narrow"/>
                <w:b w:val="false"/>
                <w:bCs w:val="false"/>
                <w:i w:val="false"/>
                <w:iCs w:val="false"/>
                <w:color w:val="222222"/>
                <w:sz w:val="18"/>
                <w:szCs w:val="18"/>
              </w:rPr>
              <w:t xml:space="preserve">New Jersey, USA (NYC/EST)</w:t>
            </w:r>
          </w:p>
        </w:tc>
      </w:tr>
    </w:tbl>
    <w:p>
      <w:pPr>
        <w:pBdr>
          <w:bottom w:val="single" w:color="0D7377" w:sz="6"/>
        </w:pBdr>
        <w:spacing w:after="60" w:before="140"/>
      </w:pPr>
      <w:r>
        <w:rPr>
          <w:rFonts w:ascii="Arial" w:cs="Arial" w:eastAsia="Arial" w:hAnsi="Arial"/>
          <w:b/>
          <w:bCs/>
          <w:color w:val="0D7377"/>
          <w:spacing w:val="20"/>
          <w:sz w:val="20"/>
          <w:szCs w:val="20"/>
        </w:rPr>
        <w:t xml:space="preserve">SUMMARY HIGHLIGHTS</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Architect and people manager who has spent a career making enterprise data trustworthy in regulated industries — pipelines, data quality, catalog, discovery, classification, lineage and privacy — and now builds and operates production agent fleets on top of it, extending the same governance to ML models and AI agents.</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Led an average team of 15 engineers across India, the UK, Portugal, Ukraine and the US (East, Central and West) in a follow-the-sun model — hiring, mentoring, performance reviews, roadmap input and release ownership; reported directly to the CTO or Head of Engineering from 2014 to 2026.</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Works the full data path, not only the governance layer — owned quality and performance engineering for Pentaho Data Integration (PDI), an enterprise ETL product, and builds pipelines hands-on with dlthub, DBT and Dagster over Snowflake, lakehouse and DuckDB.</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Ships customer-facing GenAI to production — agentic AI analytics, natural language query against a governed semantic layer (Cube.dev), text-to-SQL, RAG pipelines, semantic search, evals, PII detection and classification using both GenAI and algorithmic approaches, privacy engineering and tool/skill-using agents — from prototype to release with enterprise customers.</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Founding-era member of Io-Tahoe (AI-driven data discovery and governance, acquired twice) and led ActiveDQ there, a data quality product built natively on Snowflake; a decade of data governance delivery across banking, insurance, healthcare and regulated financial services.</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Forward-deployed by practice — works inside client environments as Data Solutions Architect across 10+ enterprise Catalog, Discovery and Lakehouse implementations, from discovery and scoping through go-live and enablement.</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Strong across Python, TypeScript, Golang, Java and SQL on AWS, Azure, Docker and Kubernetes with CI/CD; deep in observability and evaluation with LangSmith, Arize, OpenObserve, Grafana and Prometheus.</w:t>
      </w:r>
    </w:p>
    <w:p>
      <w:pPr>
        <w:pBdr>
          <w:bottom w:val="single" w:color="0D7377" w:sz="6"/>
        </w:pBdr>
        <w:spacing w:after="60" w:before="140"/>
      </w:pPr>
      <w:r>
        <w:rPr>
          <w:rFonts w:ascii="Arial" w:cs="Arial" w:eastAsia="Arial" w:hAnsi="Arial"/>
          <w:b/>
          <w:bCs/>
          <w:color w:val="0D7377"/>
          <w:spacing w:val="20"/>
          <w:sz w:val="20"/>
          <w:szCs w:val="20"/>
        </w:rPr>
        <w:t xml:space="preserve">CORE COMPETENCIES</w:t>
      </w:r>
    </w:p>
    <w:tbl>
      <w:tblPr>
        <w:tblW w:type="pct" w:w="5000"/>
        <w:tblBorders>
          <w:top w:val="none" w:color="FFFFFF" w:sz="0"/>
          <w:left w:val="none" w:color="FFFFFF" w:sz="0"/>
          <w:bottom w:val="none" w:color="FFFFFF" w:sz="0"/>
          <w:right w:val="none" w:color="FFFFFF" w:sz="0"/>
          <w:insideH w:val="single" w:color="FFFFFF" w:sz="4"/>
          <w:insideV w:val="single" w:color="FFFFFF" w:sz="4"/>
        </w:tblBorders>
      </w:tblPr>
      <w:tblGrid>
        <w:gridCol w:w="3613"/>
        <w:gridCol w:w="3613"/>
        <w:gridCol w:w="3613"/>
      </w:tblGrid>
      <w:tr>
        <w:trPr>
          <w:tblHeader/>
        </w:trPr>
        <w:tc>
          <w:tcPr>
            <w:tcW w:type="pct" w:w="1667"/>
            <w:shd w:fill="0D7377" w:val="clear"/>
            <w:tcMar>
              <w:top w:type="dxa" w:w="60"/>
              <w:left w:type="dxa" w:w="110"/>
              <w:bottom w:type="dxa" w:w="60"/>
              <w:right w:type="dxa" w:w="110"/>
            </w:tcMar>
          </w:tcPr>
          <w:p>
            <w:pPr>
              <w:spacing w:after="0"/>
            </w:pPr>
            <w:r>
              <w:rPr>
                <w:rFonts w:ascii="Arial" w:cs="Arial" w:eastAsia="Arial" w:hAnsi="Arial"/>
                <w:b/>
                <w:bCs/>
                <w:color w:val="FFFFFF"/>
                <w:sz w:val="18"/>
                <w:szCs w:val="18"/>
              </w:rPr>
              <w:t xml:space="preserve">Data Engineering &amp; Governance</w:t>
            </w:r>
          </w:p>
        </w:tc>
        <w:tc>
          <w:tcPr>
            <w:tcW w:type="pct" w:w="1667"/>
            <w:shd w:fill="0D7377" w:val="clear"/>
            <w:tcMar>
              <w:top w:type="dxa" w:w="60"/>
              <w:left w:type="dxa" w:w="110"/>
              <w:bottom w:type="dxa" w:w="60"/>
              <w:right w:type="dxa" w:w="110"/>
            </w:tcMar>
          </w:tcPr>
          <w:p>
            <w:pPr>
              <w:spacing w:after="0"/>
            </w:pPr>
            <w:r>
              <w:rPr>
                <w:rFonts w:ascii="Arial" w:cs="Arial" w:eastAsia="Arial" w:hAnsi="Arial"/>
                <w:b/>
                <w:bCs/>
                <w:color w:val="FFFFFF"/>
                <w:sz w:val="18"/>
                <w:szCs w:val="18"/>
              </w:rPr>
              <w:t xml:space="preserve">Agentic &amp; GenAI Engineering</w:t>
            </w:r>
          </w:p>
        </w:tc>
        <w:tc>
          <w:tcPr>
            <w:tcW w:type="pct" w:w="1667"/>
            <w:shd w:fill="0D7377" w:val="clear"/>
            <w:tcMar>
              <w:top w:type="dxa" w:w="60"/>
              <w:left w:type="dxa" w:w="110"/>
              <w:bottom w:type="dxa" w:w="60"/>
              <w:right w:type="dxa" w:w="110"/>
            </w:tcMar>
          </w:tcPr>
          <w:p>
            <w:pPr>
              <w:spacing w:after="0"/>
            </w:pPr>
            <w:r>
              <w:rPr>
                <w:rFonts w:ascii="Arial" w:cs="Arial" w:eastAsia="Arial" w:hAnsi="Arial"/>
                <w:b/>
                <w:bCs/>
                <w:color w:val="FFFFFF"/>
                <w:sz w:val="18"/>
                <w:szCs w:val="18"/>
              </w:rPr>
              <w:t xml:space="preserve">Platform, Delivery &amp; Leadership</w:t>
            </w:r>
          </w:p>
        </w:tc>
      </w:tr>
      <w:tr>
        <w:tc>
          <w:tcPr>
            <w:tcW w:type="pct" w:w="1667"/>
            <w:shd w:fill="EAF6F6" w:val="clear"/>
            <w:tcMar>
              <w:top w:type="dxa" w:w="60"/>
              <w:left w:type="dxa" w:w="110"/>
              <w:bottom w:type="dxa" w:w="60"/>
              <w:right w:type="dxa" w:w="110"/>
            </w:tcMar>
          </w:tcPr>
          <w:p>
            <w:pPr>
              <w:spacing w:after="0"/>
            </w:pPr>
            <w:r>
              <w:rPr>
                <w:rFonts w:ascii="Arial Narrow" w:cs="Arial Narrow" w:eastAsia="Arial Narrow" w:hAnsi="Arial Narrow"/>
                <w:b w:val="false"/>
                <w:bCs w:val="false"/>
                <w:color w:val="222222"/>
                <w:sz w:val="19"/>
                <w:szCs w:val="19"/>
              </w:rPr>
              <w:t xml:space="preserve">ETL / ELT · DBT · dlthub · Dagster</w:t>
            </w:r>
          </w:p>
        </w:tc>
        <w:tc>
          <w:tcPr>
            <w:tcW w:type="pct" w:w="1667"/>
            <w:shd w:fill="EAF6F6" w:val="clear"/>
            <w:tcMar>
              <w:top w:type="dxa" w:w="60"/>
              <w:left w:type="dxa" w:w="110"/>
              <w:bottom w:type="dxa" w:w="60"/>
              <w:right w:type="dxa" w:w="110"/>
            </w:tcMar>
          </w:tcPr>
          <w:p>
            <w:pPr>
              <w:spacing w:after="0"/>
            </w:pPr>
            <w:r>
              <w:rPr>
                <w:rFonts w:ascii="Arial Narrow" w:cs="Arial Narrow" w:eastAsia="Arial Narrow" w:hAnsi="Arial Narrow"/>
                <w:b w:val="false"/>
                <w:bCs w:val="false"/>
                <w:color w:val="222222"/>
                <w:sz w:val="19"/>
                <w:szCs w:val="19"/>
              </w:rPr>
              <w:t xml:space="preserve">Agent Fleets · Skills/Tools · MCP</w:t>
            </w:r>
          </w:p>
        </w:tc>
        <w:tc>
          <w:tcPr>
            <w:tcW w:type="pct" w:w="1667"/>
            <w:shd w:fill="EAF6F6" w:val="clear"/>
            <w:tcMar>
              <w:top w:type="dxa" w:w="60"/>
              <w:left w:type="dxa" w:w="110"/>
              <w:bottom w:type="dxa" w:w="60"/>
              <w:right w:type="dxa" w:w="110"/>
            </w:tcMar>
          </w:tcPr>
          <w:p>
            <w:pPr>
              <w:spacing w:after="0"/>
            </w:pPr>
            <w:r>
              <w:rPr>
                <w:rFonts w:ascii="Arial Narrow" w:cs="Arial Narrow" w:eastAsia="Arial Narrow" w:hAnsi="Arial Narrow"/>
                <w:b w:val="false"/>
                <w:bCs w:val="false"/>
                <w:color w:val="222222"/>
                <w:sz w:val="19"/>
                <w:szCs w:val="19"/>
              </w:rPr>
              <w:t xml:space="preserve">Python · TypeScript · Golang · SQL</w:t>
            </w:r>
          </w:p>
        </w:tc>
      </w:tr>
      <w:tr>
        <w:tc>
          <w:tcPr>
            <w:tcW w:type="pct" w:w="1667"/>
            <w:shd w:fill="EAF6F6" w:val="clear"/>
            <w:tcMar>
              <w:top w:type="dxa" w:w="60"/>
              <w:left w:type="dxa" w:w="110"/>
              <w:bottom w:type="dxa" w:w="60"/>
              <w:right w:type="dxa" w:w="110"/>
            </w:tcMar>
          </w:tcPr>
          <w:p>
            <w:pPr>
              <w:spacing w:after="0"/>
            </w:pPr>
            <w:r>
              <w:rPr>
                <w:rFonts w:ascii="Arial Narrow" w:cs="Arial Narrow" w:eastAsia="Arial Narrow" w:hAnsi="Arial Narrow"/>
                <w:b w:val="false"/>
                <w:bCs w:val="false"/>
                <w:color w:val="222222"/>
                <w:sz w:val="19"/>
                <w:szCs w:val="19"/>
              </w:rPr>
              <w:t xml:space="preserve">Data Catalog · Discovery · Classification</w:t>
            </w:r>
          </w:p>
        </w:tc>
        <w:tc>
          <w:tcPr>
            <w:tcW w:type="pct" w:w="1667"/>
            <w:shd w:fill="EAF6F6" w:val="clear"/>
            <w:tcMar>
              <w:top w:type="dxa" w:w="60"/>
              <w:left w:type="dxa" w:w="110"/>
              <w:bottom w:type="dxa" w:w="60"/>
              <w:right w:type="dxa" w:w="110"/>
            </w:tcMar>
          </w:tcPr>
          <w:p>
            <w:pPr>
              <w:spacing w:after="0"/>
            </w:pPr>
            <w:r>
              <w:rPr>
                <w:rFonts w:ascii="Arial Narrow" w:cs="Arial Narrow" w:eastAsia="Arial Narrow" w:hAnsi="Arial Narrow"/>
                <w:b w:val="false"/>
                <w:bCs w:val="false"/>
                <w:color w:val="222222"/>
                <w:sz w:val="19"/>
                <w:szCs w:val="19"/>
              </w:rPr>
              <w:t xml:space="preserve">RAG · Semantic Search · Chatbots</w:t>
            </w:r>
          </w:p>
        </w:tc>
        <w:tc>
          <w:tcPr>
            <w:tcW w:type="pct" w:w="1667"/>
            <w:shd w:fill="EAF6F6" w:val="clear"/>
            <w:tcMar>
              <w:top w:type="dxa" w:w="60"/>
              <w:left w:type="dxa" w:w="110"/>
              <w:bottom w:type="dxa" w:w="60"/>
              <w:right w:type="dxa" w:w="110"/>
            </w:tcMar>
          </w:tcPr>
          <w:p>
            <w:pPr>
              <w:spacing w:after="0"/>
            </w:pPr>
            <w:r>
              <w:rPr>
                <w:rFonts w:ascii="Arial Narrow" w:cs="Arial Narrow" w:eastAsia="Arial Narrow" w:hAnsi="Arial Narrow"/>
                <w:b w:val="false"/>
                <w:bCs w:val="false"/>
                <w:color w:val="222222"/>
                <w:sz w:val="19"/>
                <w:szCs w:val="19"/>
              </w:rPr>
              <w:t xml:space="preserve">Java · AWS · Azure · Kubernetes</w:t>
            </w:r>
          </w:p>
        </w:tc>
      </w:tr>
      <w:tr>
        <w:tc>
          <w:tcPr>
            <w:tcW w:type="pct" w:w="1667"/>
            <w:shd w:fill="EAF6F6" w:val="clear"/>
            <w:tcMar>
              <w:top w:type="dxa" w:w="60"/>
              <w:left w:type="dxa" w:w="110"/>
              <w:bottom w:type="dxa" w:w="60"/>
              <w:right w:type="dxa" w:w="110"/>
            </w:tcMar>
          </w:tcPr>
          <w:p>
            <w:pPr>
              <w:spacing w:after="0"/>
            </w:pPr>
            <w:r>
              <w:rPr>
                <w:rFonts w:ascii="Arial Narrow" w:cs="Arial Narrow" w:eastAsia="Arial Narrow" w:hAnsi="Arial Narrow"/>
                <w:b w:val="false"/>
                <w:bCs w:val="false"/>
                <w:color w:val="222222"/>
                <w:sz w:val="19"/>
                <w:szCs w:val="19"/>
              </w:rPr>
              <w:t xml:space="preserve">Lineage · Provenance · Metadata Harvesting</w:t>
            </w:r>
          </w:p>
        </w:tc>
        <w:tc>
          <w:tcPr>
            <w:tcW w:type="pct" w:w="1667"/>
            <w:shd w:fill="EAF6F6" w:val="clear"/>
            <w:tcMar>
              <w:top w:type="dxa" w:w="60"/>
              <w:left w:type="dxa" w:w="110"/>
              <w:bottom w:type="dxa" w:w="60"/>
              <w:right w:type="dxa" w:w="110"/>
            </w:tcMar>
          </w:tcPr>
          <w:p>
            <w:pPr>
              <w:spacing w:after="0"/>
            </w:pPr>
            <w:r>
              <w:rPr>
                <w:rFonts w:ascii="Arial Narrow" w:cs="Arial Narrow" w:eastAsia="Arial Narrow" w:hAnsi="Arial Narrow"/>
                <w:b w:val="false"/>
                <w:bCs w:val="false"/>
                <w:color w:val="222222"/>
                <w:sz w:val="19"/>
                <w:szCs w:val="19"/>
              </w:rPr>
              <w:t xml:space="preserve">Text-to-SQL · Agentic Analytics</w:t>
            </w:r>
          </w:p>
        </w:tc>
        <w:tc>
          <w:tcPr>
            <w:tcW w:type="pct" w:w="1667"/>
            <w:shd w:fill="EAF6F6" w:val="clear"/>
            <w:tcMar>
              <w:top w:type="dxa" w:w="60"/>
              <w:left w:type="dxa" w:w="110"/>
              <w:bottom w:type="dxa" w:w="60"/>
              <w:right w:type="dxa" w:w="110"/>
            </w:tcMar>
          </w:tcPr>
          <w:p>
            <w:pPr>
              <w:spacing w:after="0"/>
            </w:pPr>
            <w:r>
              <w:rPr>
                <w:rFonts w:ascii="Arial Narrow" w:cs="Arial Narrow" w:eastAsia="Arial Narrow" w:hAnsi="Arial Narrow"/>
                <w:b w:val="false"/>
                <w:bCs w:val="false"/>
                <w:color w:val="222222"/>
                <w:sz w:val="19"/>
                <w:szCs w:val="19"/>
              </w:rPr>
              <w:t xml:space="preserve">Snowflake · Lakehouse · DuckDB · Postgres</w:t>
            </w:r>
          </w:p>
        </w:tc>
      </w:tr>
      <w:tr>
        <w:tc>
          <w:tcPr>
            <w:tcW w:type="pct" w:w="1667"/>
            <w:shd w:fill="EAF6F6" w:val="clear"/>
            <w:tcMar>
              <w:top w:type="dxa" w:w="60"/>
              <w:left w:type="dxa" w:w="110"/>
              <w:bottom w:type="dxa" w:w="60"/>
              <w:right w:type="dxa" w:w="110"/>
            </w:tcMar>
          </w:tcPr>
          <w:p>
            <w:pPr>
              <w:spacing w:after="0"/>
            </w:pPr>
            <w:r>
              <w:rPr>
                <w:rFonts w:ascii="Arial Narrow" w:cs="Arial Narrow" w:eastAsia="Arial Narrow" w:hAnsi="Arial Narrow"/>
                <w:b w:val="false"/>
                <w:bCs w:val="false"/>
                <w:color w:val="222222"/>
                <w:sz w:val="19"/>
                <w:szCs w:val="19"/>
              </w:rPr>
              <w:t xml:space="preserve">Data Quality · PII · ML &amp; Agent Governance</w:t>
            </w:r>
          </w:p>
        </w:tc>
        <w:tc>
          <w:tcPr>
            <w:tcW w:type="pct" w:w="1667"/>
            <w:shd w:fill="EAF6F6" w:val="clear"/>
            <w:tcMar>
              <w:top w:type="dxa" w:w="60"/>
              <w:left w:type="dxa" w:w="110"/>
              <w:bottom w:type="dxa" w:w="60"/>
              <w:right w:type="dxa" w:w="110"/>
            </w:tcMar>
          </w:tcPr>
          <w:p>
            <w:pPr>
              <w:spacing w:after="0"/>
            </w:pPr>
            <w:r>
              <w:rPr>
                <w:rFonts w:ascii="Arial Narrow" w:cs="Arial Narrow" w:eastAsia="Arial Narrow" w:hAnsi="Arial Narrow"/>
                <w:b w:val="false"/>
                <w:bCs w:val="false"/>
                <w:color w:val="222222"/>
                <w:sz w:val="19"/>
                <w:szCs w:val="19"/>
              </w:rPr>
              <w:t xml:space="preserve">Guardrails · Evals · Critique Loops</w:t>
            </w:r>
          </w:p>
        </w:tc>
        <w:tc>
          <w:tcPr>
            <w:tcW w:type="pct" w:w="1667"/>
            <w:shd w:fill="EAF6F6" w:val="clear"/>
            <w:tcMar>
              <w:top w:type="dxa" w:w="60"/>
              <w:left w:type="dxa" w:w="110"/>
              <w:bottom w:type="dxa" w:w="60"/>
              <w:right w:type="dxa" w:w="110"/>
            </w:tcMar>
          </w:tcPr>
          <w:p>
            <w:pPr>
              <w:spacing w:after="0"/>
            </w:pPr>
            <w:r>
              <w:rPr>
                <w:rFonts w:ascii="Arial Narrow" w:cs="Arial Narrow" w:eastAsia="Arial Narrow" w:hAnsi="Arial Narrow"/>
                <w:b w:val="false"/>
                <w:bCs w:val="false"/>
                <w:color w:val="222222"/>
                <w:sz w:val="19"/>
                <w:szCs w:val="19"/>
              </w:rPr>
              <w:t xml:space="preserve">Distributed Teams · Hiring · Mentoring</w:t>
            </w:r>
          </w:p>
        </w:tc>
      </w:tr>
      <w:tr>
        <w:tc>
          <w:tcPr>
            <w:tcW w:type="pct" w:w="1667"/>
            <w:shd w:fill="EAF6F6" w:val="clear"/>
            <w:tcMar>
              <w:top w:type="dxa" w:w="60"/>
              <w:left w:type="dxa" w:w="110"/>
              <w:bottom w:type="dxa" w:w="60"/>
              <w:right w:type="dxa" w:w="110"/>
            </w:tcMar>
          </w:tcPr>
          <w:p>
            <w:pPr>
              <w:spacing w:after="0"/>
            </w:pPr>
            <w:r>
              <w:rPr>
                <w:rFonts w:ascii="Arial Narrow" w:cs="Arial Narrow" w:eastAsia="Arial Narrow" w:hAnsi="Arial Narrow"/>
                <w:b w:val="false"/>
                <w:bCs w:val="false"/>
                <w:color w:val="222222"/>
                <w:sz w:val="19"/>
                <w:szCs w:val="19"/>
              </w:rPr>
              <w:t xml:space="preserve">Data &amp; Pipeline Observability</w:t>
            </w:r>
          </w:p>
        </w:tc>
        <w:tc>
          <w:tcPr>
            <w:tcW w:type="pct" w:w="1667"/>
            <w:shd w:fill="EAF6F6" w:val="clear"/>
            <w:tcMar>
              <w:top w:type="dxa" w:w="60"/>
              <w:left w:type="dxa" w:w="110"/>
              <w:bottom w:type="dxa" w:w="60"/>
              <w:right w:type="dxa" w:w="110"/>
            </w:tcMar>
          </w:tcPr>
          <w:p>
            <w:pPr>
              <w:spacing w:after="0"/>
            </w:pPr>
            <w:r>
              <w:rPr>
                <w:rFonts w:ascii="Arial Narrow" w:cs="Arial Narrow" w:eastAsia="Arial Narrow" w:hAnsi="Arial Narrow"/>
                <w:b w:val="false"/>
                <w:bCs w:val="false"/>
                <w:color w:val="222222"/>
                <w:sz w:val="19"/>
                <w:szCs w:val="19"/>
              </w:rPr>
              <w:t xml:space="preserve">eve · Pydantic AI · LangChain · BentoML</w:t>
            </w:r>
          </w:p>
        </w:tc>
        <w:tc>
          <w:tcPr>
            <w:tcW w:type="pct" w:w="1667"/>
            <w:shd w:fill="EAF6F6" w:val="clear"/>
            <w:tcMar>
              <w:top w:type="dxa" w:w="60"/>
              <w:left w:type="dxa" w:w="110"/>
              <w:bottom w:type="dxa" w:w="60"/>
              <w:right w:type="dxa" w:w="110"/>
            </w:tcMar>
          </w:tcPr>
          <w:p>
            <w:pPr>
              <w:spacing w:after="0"/>
            </w:pPr>
            <w:r>
              <w:rPr>
                <w:rFonts w:ascii="Arial Narrow" w:cs="Arial Narrow" w:eastAsia="Arial Narrow" w:hAnsi="Arial Narrow"/>
                <w:b w:val="false"/>
                <w:bCs w:val="false"/>
                <w:color w:val="222222"/>
                <w:sz w:val="19"/>
                <w:szCs w:val="19"/>
              </w:rPr>
              <w:t xml:space="preserve">Forward-Deployed · Client Delivery</w:t>
            </w:r>
          </w:p>
        </w:tc>
      </w:tr>
    </w:tbl>
    <w:p>
      <w:pPr>
        <w:pBdr>
          <w:bottom w:val="single" w:color="0D7377" w:sz="6"/>
        </w:pBdr>
        <w:spacing w:after="60" w:before="140"/>
      </w:pPr>
      <w:r>
        <w:rPr>
          <w:rFonts w:ascii="Arial" w:cs="Arial" w:eastAsia="Arial" w:hAnsi="Arial"/>
          <w:b/>
          <w:bCs/>
          <w:color w:val="0D7377"/>
          <w:spacing w:val="20"/>
          <w:sz w:val="20"/>
          <w:szCs w:val="20"/>
        </w:rPr>
        <w:t xml:space="preserve">PROFESSIONAL EXPERIENCE</w:t>
      </w:r>
    </w:p>
    <w:p>
      <w:pPr>
        <w:tabs>
          <w:tab w:val="right" w:pos="9360"/>
        </w:tabs>
        <w:spacing w:after="0" w:before="110"/>
      </w:pPr>
      <w:r>
        <w:rPr>
          <w:rFonts w:ascii="Arial Narrow" w:cs="Arial Narrow" w:eastAsia="Arial Narrow" w:hAnsi="Arial Narrow"/>
          <w:b/>
          <w:bCs/>
          <w:i w:val="false"/>
          <w:iCs w:val="false"/>
          <w:color w:val="111111"/>
          <w:sz w:val="20"/>
          <w:szCs w:val="20"/>
        </w:rPr>
        <w:t xml:space="preserve">GenAI Solutions Architect | Large Insurance Company</w:t>
      </w:r>
      <w:r>
        <w:rPr>
          <w:rFonts w:ascii="Arial Narrow" w:cs="Arial Narrow" w:eastAsia="Arial Narrow" w:hAnsi="Arial Narrow"/>
          <w:b w:val="false"/>
          <w:bCs w:val="false"/>
          <w:i w:val="false"/>
          <w:iCs w:val="false"/>
          <w:color w:val="222222"/>
          <w:sz w:val="19"/>
          <w:szCs w:val="19"/>
        </w:rPr>
        <w:t xml:space="preserve">	</w:t>
      </w:r>
      <w:r>
        <w:rPr>
          <w:rFonts w:ascii="Arial Narrow" w:cs="Arial Narrow" w:eastAsia="Arial Narrow" w:hAnsi="Arial Narrow"/>
          <w:b/>
          <w:bCs/>
          <w:i w:val="false"/>
          <w:iCs w:val="false"/>
          <w:color w:val="0D7377"/>
          <w:sz w:val="19"/>
          <w:szCs w:val="19"/>
        </w:rPr>
        <w:t xml:space="preserve">Sep 2026 – Present</w:t>
      </w:r>
    </w:p>
    <w:p>
      <w:pPr>
        <w:spacing w:after="60"/>
      </w:pPr>
      <w:r>
        <w:rPr>
          <w:rFonts w:ascii="Arial Narrow" w:cs="Arial Narrow" w:eastAsia="Arial Narrow" w:hAnsi="Arial Narrow"/>
          <w:b w:val="false"/>
          <w:bCs w:val="false"/>
          <w:i/>
          <w:iCs/>
          <w:color w:val="555555"/>
          <w:sz w:val="19"/>
          <w:szCs w:val="19"/>
        </w:rPr>
        <w:t xml:space="preserve">Specialty insurance and underwriting</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Builds and runs a production fleet of Claude and OpenAI agents for underwriting triage — matching each submission against a large catalog of underwriting programs (fit / no-fit), governed by underwriting rules and strict output schemas the model must follow.</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Hard constraints reject or route before any token is spent and soft constraints score and rank; document-heavy parsing with citation and grounding; agentic loops with human-in-the-loop, evals and critique passes, on large ingestion pipelines with cleansing and data quality.</w:t>
      </w:r>
    </w:p>
    <w:p>
      <w:pPr>
        <w:tabs>
          <w:tab w:val="right" w:pos="9360"/>
        </w:tabs>
        <w:spacing w:after="0" w:before="110"/>
      </w:pPr>
      <w:r>
        <w:rPr>
          <w:rFonts w:ascii="Arial Narrow" w:cs="Arial Narrow" w:eastAsia="Arial Narrow" w:hAnsi="Arial Narrow"/>
          <w:b/>
          <w:bCs/>
          <w:i w:val="false"/>
          <w:iCs w:val="false"/>
          <w:color w:val="111111"/>
          <w:sz w:val="20"/>
          <w:szCs w:val="20"/>
        </w:rPr>
        <w:t xml:space="preserve">Senior Engineering Manager &amp; Data / GenAI Architect | Pentaho</w:t>
      </w:r>
      <w:r>
        <w:rPr>
          <w:rFonts w:ascii="Arial Narrow" w:cs="Arial Narrow" w:eastAsia="Arial Narrow" w:hAnsi="Arial Narrow"/>
          <w:b w:val="false"/>
          <w:bCs w:val="false"/>
          <w:i w:val="false"/>
          <w:iCs w:val="false"/>
          <w:color w:val="222222"/>
          <w:sz w:val="19"/>
          <w:szCs w:val="19"/>
        </w:rPr>
        <w:t xml:space="preserve">	</w:t>
      </w:r>
      <w:r>
        <w:rPr>
          <w:rFonts w:ascii="Arial Narrow" w:cs="Arial Narrow" w:eastAsia="Arial Narrow" w:hAnsi="Arial Narrow"/>
          <w:b/>
          <w:bCs/>
          <w:i w:val="false"/>
          <w:iCs w:val="false"/>
          <w:color w:val="0D7377"/>
          <w:sz w:val="19"/>
          <w:szCs w:val="19"/>
        </w:rPr>
        <w:t xml:space="preserve">May 2021 – Aug 2026</w:t>
      </w:r>
    </w:p>
    <w:p>
      <w:pPr>
        <w:spacing w:after="60"/>
      </w:pPr>
      <w:r>
        <w:rPr>
          <w:rFonts w:ascii="Arial Narrow" w:cs="Arial Narrow" w:eastAsia="Arial Narrow" w:hAnsi="Arial Narrow"/>
          <w:b w:val="false"/>
          <w:bCs w:val="false"/>
          <w:i/>
          <w:iCs/>
          <w:color w:val="555555"/>
          <w:sz w:val="19"/>
          <w:szCs w:val="19"/>
        </w:rPr>
        <w:t xml:space="preserve">Remote, New Jersey · Pentaho was part of Hitachi Vantara until 15 June 2026</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Ran delivery management, release readiness and engineering standards for the follow-the-sun team behind Pentaho Data Integration (PDI), Pentaho Business Analytics (PBA) and Pentaho Data Catalog.</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Owned quality and performance engineering for Pentaho Data Integration (PDI) — an enterprise ETL and data integration product — covering connectors, transformations and job orchestration, large-volume performance runs and release readiness.</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Drove engineering and architecture for Pentaho Data Catalog — automated discovery, classification, metadata harvesting and lineage across many thousands of data sources and billions of rows and files (databases, documents, object stores, lakehouses), with data and pipeline observability via Grafana, Prometheus and OpenObserve.</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Extended the governance model beyond data to ML model and AI agent governance — bringing catalog, lineage and policy controls to the models and agents themselves for regulated enterprise customers.</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Took customer-facing GenAI from prototype through production with product engineering and enterprise customers — grounding AI chat and analytics on governed semantic layers with evals, guardrails and human review before release; designed NLP/ML classification (Legal-BERT via BentoML) and privacy-safe LLM processing (Presidio) in-product.</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Designed the agent patterns behind those features — multi-agent orchestration, structured output contracts with strict schemas so model output is checkable, deterministic pre-checks ahead of model calls to reject or route early and control token cost, and citation-grounded extraction so every answer traces back to source evidence.</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Built TestDataLake, an internal governed data platform engineered like a real customer business application — dlthub ingestion pipelines feeding DBT models — producing realistic data at volume for catalog, discovery, classification and lineage validation.</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Built the SDET and Performance Engineering competencies from the ground up — defining the practice, standards and tooling, hiring and training engineers, and automating 80% of regression testing ahead of any AI adoption; later developed AI-DLC and the Pentaho SDET AI Workbench, a spec-driven AI engineering methodology combining requirements traceability, deterministic tooling, automated validation, human review and repeatable evaluation, adopted as a standard across the wider engineering team and in internal production use.</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Served as Data Solutions Architect across 10+ concurrent enterprise engagements — large banks, insurance, healthcare and life sciences, government and a leading US mortgage institution — delivering Catalog, Discovery and Lakehouse implementations through discovery, BRDs, specs, demos, workshops and enablement with CDO, CISO and product stakeholders.</w:t>
      </w:r>
    </w:p>
    <w:p>
      <w:pPr>
        <w:tabs>
          <w:tab w:val="right" w:pos="9360"/>
        </w:tabs>
        <w:spacing w:after="0" w:before="110"/>
      </w:pPr>
      <w:r>
        <w:rPr>
          <w:rFonts w:ascii="Arial Narrow" w:cs="Arial Narrow" w:eastAsia="Arial Narrow" w:hAnsi="Arial Narrow"/>
          <w:b/>
          <w:bCs/>
          <w:i w:val="false"/>
          <w:iCs w:val="false"/>
          <w:color w:val="111111"/>
          <w:sz w:val="20"/>
          <w:szCs w:val="20"/>
        </w:rPr>
        <w:t xml:space="preserve">Solutions Architect / Client Delivery &amp; Head of Production Engineering | Io-Tahoe LLC</w:t>
      </w:r>
      <w:r>
        <w:rPr>
          <w:rFonts w:ascii="Arial Narrow" w:cs="Arial Narrow" w:eastAsia="Arial Narrow" w:hAnsi="Arial Narrow"/>
          <w:b w:val="false"/>
          <w:bCs w:val="false"/>
          <w:i w:val="false"/>
          <w:iCs w:val="false"/>
          <w:color w:val="222222"/>
          <w:sz w:val="19"/>
          <w:szCs w:val="19"/>
        </w:rPr>
        <w:t xml:space="preserve">	</w:t>
      </w:r>
      <w:r>
        <w:rPr>
          <w:rFonts w:ascii="Arial Narrow" w:cs="Arial Narrow" w:eastAsia="Arial Narrow" w:hAnsi="Arial Narrow"/>
          <w:b/>
          <w:bCs/>
          <w:i w:val="false"/>
          <w:iCs w:val="false"/>
          <w:color w:val="0D7377"/>
          <w:sz w:val="19"/>
          <w:szCs w:val="19"/>
        </w:rPr>
        <w:t xml:space="preserve">Dec 2018 – May 2021</w:t>
      </w:r>
    </w:p>
    <w:p>
      <w:pPr>
        <w:spacing w:after="60"/>
      </w:pPr>
      <w:r>
        <w:rPr>
          <w:rFonts w:ascii="Arial Narrow" w:cs="Arial Narrow" w:eastAsia="Arial Narrow" w:hAnsi="Arial Narrow"/>
          <w:b w:val="false"/>
          <w:bCs w:val="false"/>
          <w:i/>
          <w:iCs/>
          <w:color w:val="555555"/>
          <w:sz w:val="19"/>
          <w:szCs w:val="19"/>
        </w:rPr>
        <w:t xml:space="preserve">New York City, New York</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Rejoined Io-Tahoe — an early AI-driven data discovery and governance product company, acquired twice — having been with the team since its Rokittech days; shaped product capabilities from ideation through enterprise implementation.</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Led ActiveDQ, a data quality product built natively on Snowflake — delivering quality capability that ran directly against warehouse data for enterprise customers.</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Led client delivery and production engineering across banking, insurance and healthcare — scoping, implementation, reliability and release readiness for multiple concurrent engagements; turned customer goals into repeatable delivery playbooks.</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Established the SDET competency from the ground up — defining test automation standards, tooling and engineering discipline that were later scaled organization-wide at Pentaho.</w:t>
      </w:r>
    </w:p>
    <w:p>
      <w:pPr>
        <w:tabs>
          <w:tab w:val="right" w:pos="9360"/>
        </w:tabs>
        <w:spacing w:after="0" w:before="110"/>
      </w:pPr>
      <w:r>
        <w:rPr>
          <w:rFonts w:ascii="Arial Narrow" w:cs="Arial Narrow" w:eastAsia="Arial Narrow" w:hAnsi="Arial Narrow"/>
          <w:b/>
          <w:bCs/>
          <w:i w:val="false"/>
          <w:iCs w:val="false"/>
          <w:color w:val="111111"/>
          <w:sz w:val="20"/>
          <w:szCs w:val="20"/>
        </w:rPr>
        <w:t xml:space="preserve">Solutions Architect | AZ-Tech Radiology &amp; Open M.R.I.</w:t>
      </w:r>
      <w:r>
        <w:rPr>
          <w:rFonts w:ascii="Arial Narrow" w:cs="Arial Narrow" w:eastAsia="Arial Narrow" w:hAnsi="Arial Narrow"/>
          <w:b w:val="false"/>
          <w:bCs w:val="false"/>
          <w:i w:val="false"/>
          <w:iCs w:val="false"/>
          <w:color w:val="222222"/>
          <w:sz w:val="19"/>
          <w:szCs w:val="19"/>
        </w:rPr>
        <w:t xml:space="preserve">	</w:t>
      </w:r>
      <w:r>
        <w:rPr>
          <w:rFonts w:ascii="Arial Narrow" w:cs="Arial Narrow" w:eastAsia="Arial Narrow" w:hAnsi="Arial Narrow"/>
          <w:b/>
          <w:bCs/>
          <w:i w:val="false"/>
          <w:iCs w:val="false"/>
          <w:color w:val="0D7377"/>
          <w:sz w:val="19"/>
          <w:szCs w:val="19"/>
        </w:rPr>
        <w:t xml:space="preserve">Aug 2017 – Dec 2018</w:t>
      </w:r>
    </w:p>
    <w:p>
      <w:pPr>
        <w:spacing w:after="60"/>
      </w:pPr>
      <w:r>
        <w:rPr>
          <w:rFonts w:ascii="Arial Narrow" w:cs="Arial Narrow" w:eastAsia="Arial Narrow" w:hAnsi="Arial Narrow"/>
          <w:b w:val="false"/>
          <w:bCs w:val="false"/>
          <w:i/>
          <w:iCs/>
          <w:color w:val="555555"/>
          <w:sz w:val="19"/>
          <w:szCs w:val="19"/>
        </w:rPr>
        <w:t xml:space="preserve">Mesa, Arizona · multi-site medical imaging group · built on-site inside the radiology centers with the group's own domain experts</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Architected and built a cloud-based Radiology Information System (RIS) and HL7 interface engine connecting imaging modalities, external EMRs and insurance companies — ADT A28/A31, ORM O01, ORU R01 and SIU messages — built to HIPAA requirements, auto-scaling to thousands of reports a day.</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Delivered the referring-physician portal and mobile app — two-factor login, multi-location access, high-resolution diagnostic images viewable online without client tools, report sharing between providers with consent, Elasticsearch search and real-time dashboards — cutting report delivery from days to minutes and replacing manual faxing.</w:t>
      </w:r>
    </w:p>
    <w:p>
      <w:pPr>
        <w:pBdr>
          <w:bottom w:val="single" w:color="0D7377" w:sz="6"/>
        </w:pBdr>
        <w:spacing w:after="60" w:before="140"/>
      </w:pPr>
      <w:r>
        <w:rPr>
          <w:rFonts w:ascii="Arial" w:cs="Arial" w:eastAsia="Arial" w:hAnsi="Arial"/>
          <w:b/>
          <w:bCs/>
          <w:color w:val="0D7377"/>
          <w:spacing w:val="20"/>
          <w:sz w:val="20"/>
          <w:szCs w:val="20"/>
        </w:rPr>
        <w:t xml:space="preserve">EARLIER EXPERIENCE</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420"/>
        <w:gridCol w:w="5420"/>
      </w:tblGrid>
      <w:tr>
        <w:tc>
          <w:tcPr>
            <w:tcW w:type="pct" w:w="2500"/>
            <w:tcMar>
              <w:top w:type="dxa" w:w="50"/>
              <w:left w:type="dxa" w:w="0"/>
              <w:bottom w:type="dxa" w:w="50"/>
              <w:right w:type="dxa" w:w="180"/>
            </w:tcMar>
          </w:tcPr>
          <w:p>
            <w:pPr>
              <w:spacing w:after="0"/>
            </w:pPr>
            <w:r>
              <w:rPr>
                <w:rFonts w:ascii="Arial Narrow" w:cs="Arial Narrow" w:eastAsia="Arial Narrow" w:hAnsi="Arial Narrow"/>
                <w:b/>
                <w:bCs/>
                <w:i w:val="false"/>
                <w:iCs w:val="false"/>
                <w:color w:val="111111"/>
                <w:sz w:val="19"/>
                <w:szCs w:val="19"/>
              </w:rPr>
              <w:t xml:space="preserve">Vmoksha Technologies — Solutions Architect</w:t>
            </w:r>
          </w:p>
          <w:p>
            <w:pPr>
              <w:spacing w:after="0"/>
            </w:pPr>
            <w:r>
              <w:rPr>
                <w:rFonts w:ascii="Arial Narrow" w:cs="Arial Narrow" w:eastAsia="Arial Narrow" w:hAnsi="Arial Narrow"/>
                <w:b w:val="false"/>
                <w:bCs w:val="false"/>
                <w:i w:val="false"/>
                <w:iCs w:val="false"/>
                <w:color w:val="0D7377"/>
                <w:sz w:val="18"/>
                <w:szCs w:val="18"/>
              </w:rPr>
              <w:t xml:space="preserve">NJ, USA &amp; Bangalore, India | Aug 2008 – Jul 2017</w:t>
            </w:r>
          </w:p>
          <w:p>
            <w:pPr>
              <w:spacing w:after="0"/>
            </w:pPr>
            <w:r>
              <w:rPr>
                <w:rFonts w:ascii="Arial Narrow" w:cs="Arial Narrow" w:eastAsia="Arial Narrow" w:hAnsi="Arial Narrow"/>
                <w:b w:val="false"/>
                <w:bCs w:val="false"/>
                <w:i w:val="false"/>
                <w:iCs w:val="false"/>
                <w:color w:val="444444"/>
                <w:sz w:val="18"/>
                <w:szCs w:val="18"/>
              </w:rPr>
              <w:t xml:space="preserve">Enterprise application delivery; led teams across US and India. Client assignment: Rokittech, later Io-Tahoe (Feb 2015 – Jul 2017) — platform engineering and product ideation for the data discovery product.</w:t>
            </w:r>
          </w:p>
        </w:tc>
        <w:tc>
          <w:tcPr>
            <w:tcW w:type="pct" w:w="2500"/>
            <w:tcMar>
              <w:top w:type="dxa" w:w="50"/>
              <w:left w:type="dxa" w:w="0"/>
              <w:bottom w:type="dxa" w:w="50"/>
              <w:right w:type="dxa" w:w="180"/>
            </w:tcMar>
          </w:tcPr>
          <w:p>
            <w:pPr>
              <w:spacing w:after="0"/>
            </w:pPr>
            <w:r>
              <w:rPr>
                <w:rFonts w:ascii="Arial Narrow" w:cs="Arial Narrow" w:eastAsia="Arial Narrow" w:hAnsi="Arial Narrow"/>
                <w:b/>
                <w:bCs/>
                <w:i w:val="false"/>
                <w:iCs w:val="false"/>
                <w:color w:val="111111"/>
                <w:sz w:val="19"/>
                <w:szCs w:val="19"/>
              </w:rPr>
              <w:t xml:space="preserve">Infosys Technologies — Team Leader</w:t>
            </w:r>
          </w:p>
          <w:p>
            <w:pPr>
              <w:spacing w:after="0"/>
            </w:pPr>
            <w:r>
              <w:rPr>
                <w:rFonts w:ascii="Arial Narrow" w:cs="Arial Narrow" w:eastAsia="Arial Narrow" w:hAnsi="Arial Narrow"/>
                <w:b w:val="false"/>
                <w:bCs w:val="false"/>
                <w:i w:val="false"/>
                <w:iCs w:val="false"/>
                <w:color w:val="0D7377"/>
                <w:sz w:val="18"/>
                <w:szCs w:val="18"/>
              </w:rPr>
              <w:t xml:space="preserve">Bangalore, India | Jun 2004 – Dec 2005</w:t>
            </w:r>
          </w:p>
          <w:p>
            <w:pPr>
              <w:spacing w:after="0"/>
            </w:pPr>
            <w:r>
              <w:rPr>
                <w:rFonts w:ascii="Arial Narrow" w:cs="Arial Narrow" w:eastAsia="Arial Narrow" w:hAnsi="Arial Narrow"/>
                <w:b w:val="false"/>
                <w:bCs w:val="false"/>
                <w:i w:val="false"/>
                <w:iCs w:val="false"/>
                <w:color w:val="444444"/>
                <w:sz w:val="18"/>
                <w:szCs w:val="18"/>
              </w:rPr>
              <w:t xml:space="preserve">Solution engineering, technology consultation and performance optimization for enterprise clients.</w:t>
            </w:r>
          </w:p>
        </w:tc>
      </w:tr>
      <w:tr>
        <w:tc>
          <w:tcPr>
            <w:tcW w:type="pct" w:w="2500"/>
            <w:tcMar>
              <w:top w:type="dxa" w:w="50"/>
              <w:left w:type="dxa" w:w="0"/>
              <w:bottom w:type="dxa" w:w="50"/>
              <w:right w:type="dxa" w:w="180"/>
            </w:tcMar>
          </w:tcPr>
          <w:p>
            <w:pPr>
              <w:spacing w:after="0"/>
            </w:pPr>
            <w:r>
              <w:rPr>
                <w:rFonts w:ascii="Arial Narrow" w:cs="Arial Narrow" w:eastAsia="Arial Narrow" w:hAnsi="Arial Narrow"/>
                <w:b/>
                <w:bCs/>
                <w:i w:val="false"/>
                <w:iCs w:val="false"/>
                <w:color w:val="111111"/>
                <w:sz w:val="19"/>
                <w:szCs w:val="19"/>
              </w:rPr>
              <w:t xml:space="preserve">Digitalpia — Programmer Analyst</w:t>
            </w:r>
          </w:p>
          <w:p>
            <w:pPr>
              <w:spacing w:after="0"/>
            </w:pPr>
            <w:r>
              <w:rPr>
                <w:rFonts w:ascii="Arial Narrow" w:cs="Arial Narrow" w:eastAsia="Arial Narrow" w:hAnsi="Arial Narrow"/>
                <w:b w:val="false"/>
                <w:bCs w:val="false"/>
                <w:i w:val="false"/>
                <w:iCs w:val="false"/>
                <w:color w:val="0D7377"/>
                <w:sz w:val="18"/>
                <w:szCs w:val="18"/>
              </w:rPr>
              <w:t xml:space="preserve">Matsuyama, Japan | Jan 2006 – Aug 2008</w:t>
            </w:r>
          </w:p>
          <w:p>
            <w:pPr>
              <w:spacing w:after="0"/>
            </w:pPr>
            <w:r>
              <w:rPr>
                <w:rFonts w:ascii="Arial Narrow" w:cs="Arial Narrow" w:eastAsia="Arial Narrow" w:hAnsi="Arial Narrow"/>
                <w:b w:val="false"/>
                <w:bCs w:val="false"/>
                <w:i w:val="false"/>
                <w:iCs w:val="false"/>
                <w:color w:val="444444"/>
                <w:sz w:val="18"/>
                <w:szCs w:val="18"/>
              </w:rPr>
              <w:t xml:space="preserve">Multiple web and client-server projects using Oracle, MS SQL Server and MS Access.</w:t>
            </w:r>
          </w:p>
        </w:tc>
        <w:tc>
          <w:tcPr>
            <w:tcW w:type="pct" w:w="2500"/>
            <w:tcMar>
              <w:top w:type="dxa" w:w="50"/>
              <w:left w:type="dxa" w:w="0"/>
              <w:bottom w:type="dxa" w:w="50"/>
              <w:right w:type="dxa" w:w="180"/>
            </w:tcMar>
          </w:tcPr>
          <w:p>
            <w:pPr>
              <w:spacing w:after="0"/>
            </w:pPr>
            <w:r>
              <w:rPr>
                <w:rFonts w:ascii="Arial Narrow" w:cs="Arial Narrow" w:eastAsia="Arial Narrow" w:hAnsi="Arial Narrow"/>
                <w:b/>
                <w:bCs/>
                <w:i w:val="false"/>
                <w:iCs w:val="false"/>
                <w:color w:val="111111"/>
                <w:sz w:val="19"/>
                <w:szCs w:val="19"/>
              </w:rPr>
              <w:t xml:space="preserve">Hewlett Packard — Systems Engineer</w:t>
            </w:r>
          </w:p>
          <w:p>
            <w:pPr>
              <w:spacing w:after="0"/>
            </w:pPr>
            <w:r>
              <w:rPr>
                <w:rFonts w:ascii="Arial Narrow" w:cs="Arial Narrow" w:eastAsia="Arial Narrow" w:hAnsi="Arial Narrow"/>
                <w:b w:val="false"/>
                <w:bCs w:val="false"/>
                <w:i w:val="false"/>
                <w:iCs w:val="false"/>
                <w:color w:val="0D7377"/>
                <w:sz w:val="18"/>
                <w:szCs w:val="18"/>
              </w:rPr>
              <w:t xml:space="preserve">Bangalore, India | Oct 2003 – Jun 2004</w:t>
            </w:r>
          </w:p>
          <w:p>
            <w:pPr>
              <w:spacing w:after="0"/>
            </w:pPr>
            <w:r>
              <w:rPr>
                <w:rFonts w:ascii="Arial Narrow" w:cs="Arial Narrow" w:eastAsia="Arial Narrow" w:hAnsi="Arial Narrow"/>
                <w:b w:val="false"/>
                <w:bCs w:val="false"/>
                <w:i w:val="false"/>
                <w:iCs w:val="false"/>
                <w:color w:val="444444"/>
                <w:sz w:val="18"/>
                <w:szCs w:val="18"/>
              </w:rPr>
              <w:t xml:space="preserve">Workforce Management product and SMART CRAWLER for information security.</w:t>
            </w:r>
          </w:p>
        </w:tc>
      </w:tr>
      <w:tr>
        <w:tc>
          <w:tcPr>
            <w:tcW w:type="pct" w:w="2500"/>
            <w:tcMar>
              <w:top w:type="dxa" w:w="50"/>
              <w:left w:type="dxa" w:w="0"/>
              <w:bottom w:type="dxa" w:w="50"/>
              <w:right w:type="dxa" w:w="180"/>
            </w:tcMar>
          </w:tcPr>
          <w:p>
            <w:pPr>
              <w:spacing w:after="0"/>
            </w:pPr>
            <w:r>
              <w:rPr>
                <w:rFonts w:ascii="Arial Narrow" w:cs="Arial Narrow" w:eastAsia="Arial Narrow" w:hAnsi="Arial Narrow"/>
                <w:b/>
                <w:bCs/>
                <w:i w:val="false"/>
                <w:iCs w:val="false"/>
                <w:color w:val="111111"/>
                <w:sz w:val="19"/>
                <w:szCs w:val="19"/>
              </w:rPr>
              <w:t xml:space="preserve">Earlier Roles</w:t>
            </w:r>
          </w:p>
          <w:p>
            <w:pPr>
              <w:spacing w:after="0"/>
            </w:pPr>
            <w:r>
              <w:rPr>
                <w:rFonts w:ascii="Arial Narrow" w:cs="Arial Narrow" w:eastAsia="Arial Narrow" w:hAnsi="Arial Narrow"/>
                <w:b w:val="false"/>
                <w:bCs w:val="false"/>
                <w:i w:val="false"/>
                <w:iCs w:val="false"/>
                <w:color w:val="0D7377"/>
                <w:sz w:val="18"/>
                <w:szCs w:val="18"/>
              </w:rPr>
              <w:t xml:space="preserve">Bangalore, India | 1999 – 2003</w:t>
            </w:r>
          </w:p>
          <w:p>
            <w:pPr>
              <w:spacing w:after="0"/>
            </w:pPr>
            <w:r>
              <w:rPr>
                <w:rFonts w:ascii="Arial Narrow" w:cs="Arial Narrow" w:eastAsia="Arial Narrow" w:hAnsi="Arial Narrow"/>
                <w:b w:val="false"/>
                <w:bCs w:val="false"/>
                <w:i w:val="false"/>
                <w:iCs w:val="false"/>
                <w:color w:val="444444"/>
                <w:sz w:val="18"/>
                <w:szCs w:val="18"/>
              </w:rPr>
              <w:t xml:space="preserve">Software engineering across call-centre, CMS, e-commerce and telecom directory systems.</w:t>
            </w:r>
          </w:p>
        </w:tc>
        <w:tc>
          <w:tcPr>
            <w:tcW w:type="pct" w:w="2500"/>
            <w:tcMar>
              <w:top w:type="dxa" w:w="50"/>
              <w:left w:type="dxa" w:w="0"/>
              <w:bottom w:type="dxa" w:w="50"/>
              <w:right w:type="dxa" w:w="180"/>
            </w:tcMar>
          </w:tcPr>
          <w:p>
            <w:r>
              <w:rPr>
                <w:rFonts w:ascii="Arial Narrow" w:cs="Arial Narrow" w:eastAsia="Arial Narrow" w:hAnsi="Arial Narrow"/>
                <w:b w:val="false"/>
                <w:bCs w:val="false"/>
                <w:i w:val="false"/>
                <w:iCs w:val="false"/>
                <w:color w:val="222222"/>
                <w:sz w:val="19"/>
                <w:szCs w:val="19"/>
              </w:rPr>
              <w:t xml:space="preserve"/>
            </w:r>
          </w:p>
        </w:tc>
      </w:tr>
    </w:tbl>
    <w:p>
      <w:pPr>
        <w:pBdr>
          <w:bottom w:val="single" w:color="0D7377" w:sz="6"/>
        </w:pBdr>
        <w:spacing w:after="60" w:before="140"/>
      </w:pPr>
      <w:r>
        <w:rPr>
          <w:rFonts w:ascii="Arial" w:cs="Arial" w:eastAsia="Arial" w:hAnsi="Arial"/>
          <w:b/>
          <w:bCs/>
          <w:color w:val="0D7377"/>
          <w:spacing w:val="20"/>
          <w:sz w:val="20"/>
          <w:szCs w:val="20"/>
        </w:rPr>
        <w:t xml:space="preserve">INDEPENDENT PROJECTS &amp; OPEN-SOURCE</w:t>
      </w:r>
    </w:p>
    <w:p>
      <w:pPr>
        <w:spacing w:after="8" w:before="55"/>
      </w:pPr>
      <w:r>
        <w:rPr>
          <w:rFonts w:ascii="Arial Narrow" w:cs="Arial Narrow" w:eastAsia="Arial Narrow" w:hAnsi="Arial Narrow"/>
          <w:b/>
          <w:bCs/>
          <w:i w:val="false"/>
          <w:iCs w:val="false"/>
          <w:color w:val="0D7377"/>
          <w:sz w:val="19"/>
          <w:szCs w:val="19"/>
        </w:rPr>
        <w:t xml:space="preserve">Privacy &amp; Governance Engineering</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Privacy Shield — open-source Python/FastAPI utility using Presidio, LangChain and OpenAI/Ollama to detect and anonymize PII before LLM processing and reverse it afterwards with full auditability. Also an OpenLineage proxy capturing lineage events as JSON, and ClaimWise, a synthetic healthcare dataset generator built as DBT pipelines, open-sourced to demonstrate DBT lineage in the catalog product.</w:t>
      </w:r>
    </w:p>
    <w:p>
      <w:pPr>
        <w:spacing w:after="8" w:before="55"/>
      </w:pPr>
      <w:r>
        <w:rPr>
          <w:rFonts w:ascii="Arial Narrow" w:cs="Arial Narrow" w:eastAsia="Arial Narrow" w:hAnsi="Arial Narrow"/>
          <w:b/>
          <w:bCs/>
          <w:i w:val="false"/>
          <w:iCs w:val="false"/>
          <w:color w:val="0D7377"/>
          <w:sz w:val="19"/>
          <w:szCs w:val="19"/>
        </w:rPr>
        <w:t xml:space="preserve">Agentic Analytics &amp; Data Tooling</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DuckDB Data Studio — browser-based analytics console querying S3/Parquet via DuckDB-WASM over a governed DBT/Cube.dev semantic layer for text-to-SQL. Also dlthub ingestion and DBT pipelines orchestrated with Dagster and agentic analytics on top, a Data Pipeline Visualizer that generates diagrams from pipeline metadata, and TemplrGo, a single-binary data/ops toolkit with a built-in AI assistant.</w:t>
      </w:r>
    </w:p>
    <w:p>
      <w:pPr>
        <w:spacing w:after="8" w:before="55"/>
      </w:pPr>
      <w:r>
        <w:rPr>
          <w:rFonts w:ascii="Arial Narrow" w:cs="Arial Narrow" w:eastAsia="Arial Narrow" w:hAnsi="Arial Narrow"/>
          <w:b/>
          <w:bCs/>
          <w:i w:val="false"/>
          <w:iCs w:val="false"/>
          <w:color w:val="0D7377"/>
          <w:sz w:val="19"/>
          <w:szCs w:val="19"/>
        </w:rPr>
        <w:t xml:space="preserve">AI Agents</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ai-agents — monorepo of filesystem-first eve agents sharing one runtime kit; typed tools do the deterministic work and models only coordinate, with every run recording data, reports and metrics to a timestamped folder — an observability-first agent pattern.</w:t>
      </w:r>
    </w:p>
    <w:p>
      <w:pPr>
        <w:spacing w:after="8" w:before="55"/>
      </w:pPr>
      <w:r>
        <w:rPr>
          <w:rFonts w:ascii="Arial Narrow" w:cs="Arial Narrow" w:eastAsia="Arial Narrow" w:hAnsi="Arial Narrow"/>
          <w:b/>
          <w:bCs/>
          <w:i w:val="false"/>
          <w:iCs w:val="false"/>
          <w:color w:val="0D7377"/>
          <w:sz w:val="19"/>
          <w:szCs w:val="19"/>
        </w:rPr>
        <w:t xml:space="preserve">Writing &amp; Community</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Templrpress publishing toolkit, regular long-form LinkedIn articles and cheatsheets on GenAI, agentic engineering and data governance — github.com/senthilsweb · senthilsweb.com, blogging since 2007.</w:t>
      </w:r>
    </w:p>
    <w:p>
      <w:pPr>
        <w:pBdr>
          <w:bottom w:val="single" w:color="0D7377" w:sz="6"/>
        </w:pBdr>
        <w:spacing w:after="60" w:before="140"/>
      </w:pPr>
      <w:r>
        <w:rPr>
          <w:rFonts w:ascii="Arial" w:cs="Arial" w:eastAsia="Arial" w:hAnsi="Arial"/>
          <w:b/>
          <w:bCs/>
          <w:color w:val="0D7377"/>
          <w:spacing w:val="20"/>
          <w:sz w:val="20"/>
          <w:szCs w:val="20"/>
        </w:rPr>
        <w:t xml:space="preserve">GENAI, DATA &amp; PLATFORM TOOLING</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420"/>
        <w:gridCol w:w="5420"/>
      </w:tblGrid>
      <w:tr>
        <w:tc>
          <w:tcPr>
            <w:tcW w:type="pct" w:w="2500"/>
            <w:tcMar>
              <w:top w:type="dxa" w:w="50"/>
              <w:left w:type="dxa" w:w="0"/>
              <w:bottom w:type="dxa" w:w="50"/>
              <w:right w:type="dxa" w:w="180"/>
            </w:tcMar>
          </w:tcPr>
          <w:p>
            <w:pPr>
              <w:spacing w:after="0"/>
            </w:pPr>
            <w:r>
              <w:rPr>
                <w:rFonts w:ascii="Arial Narrow" w:cs="Arial Narrow" w:eastAsia="Arial Narrow" w:hAnsi="Arial Narrow"/>
                <w:b/>
                <w:bCs/>
                <w:i w:val="false"/>
                <w:iCs w:val="false"/>
                <w:color w:val="0D7377"/>
                <w:sz w:val="19"/>
                <w:szCs w:val="19"/>
              </w:rPr>
              <w:t xml:space="preserve">Data Engineering &amp; Governance: </w:t>
            </w:r>
            <w:r>
              <w:rPr>
                <w:rFonts w:ascii="Arial Narrow" w:cs="Arial Narrow" w:eastAsia="Arial Narrow" w:hAnsi="Arial Narrow"/>
                <w:b w:val="false"/>
                <w:bCs w:val="false"/>
                <w:i w:val="false"/>
                <w:iCs w:val="false"/>
                <w:color w:val="222222"/>
                <w:sz w:val="18"/>
                <w:szCs w:val="18"/>
              </w:rPr>
              <w:t xml:space="preserve">Enterprise ETL/ELT (Pentaho Data Integration), dlthub, DBT, Dagster, Cube.dev semantic layers; catalog, discovery, classification, metadata harvesting, lineage, provenance, data quality, PII/privacy (Presidio), ML and agent governance; Snowflake, lakehouse, S3, DuckDB, pgvector</w:t>
            </w:r>
          </w:p>
        </w:tc>
        <w:tc>
          <w:tcPr>
            <w:tcW w:type="pct" w:w="2500"/>
            <w:tcMar>
              <w:top w:type="dxa" w:w="50"/>
              <w:left w:type="dxa" w:w="0"/>
              <w:bottom w:type="dxa" w:w="50"/>
              <w:right w:type="dxa" w:w="180"/>
            </w:tcMar>
          </w:tcPr>
          <w:p>
            <w:pPr>
              <w:spacing w:after="0"/>
            </w:pPr>
            <w:r>
              <w:rPr>
                <w:rFonts w:ascii="Arial Narrow" w:cs="Arial Narrow" w:eastAsia="Arial Narrow" w:hAnsi="Arial Narrow"/>
                <w:b/>
                <w:bCs/>
                <w:i w:val="false"/>
                <w:iCs w:val="false"/>
                <w:color w:val="0D7377"/>
                <w:sz w:val="19"/>
                <w:szCs w:val="19"/>
              </w:rPr>
              <w:t xml:space="preserve">Agents &amp; Frameworks: </w:t>
            </w:r>
            <w:r>
              <w:rPr>
                <w:rFonts w:ascii="Arial Narrow" w:cs="Arial Narrow" w:eastAsia="Arial Narrow" w:hAnsi="Arial Narrow"/>
                <w:b w:val="false"/>
                <w:bCs w:val="false"/>
                <w:i w:val="false"/>
                <w:iCs w:val="false"/>
                <w:color w:val="222222"/>
                <w:sz w:val="18"/>
                <w:szCs w:val="18"/>
              </w:rPr>
              <w:t xml:space="preserve">eve (Vercel), Pydantic AI, Flue, LangChain, MCP servers, skills/tools, deterministic tool-calling, RAG, text-to-SQL</w:t>
            </w:r>
          </w:p>
        </w:tc>
      </w:tr>
      <w:tr>
        <w:tc>
          <w:tcPr>
            <w:tcW w:type="pct" w:w="2500"/>
            <w:tcMar>
              <w:top w:type="dxa" w:w="50"/>
              <w:left w:type="dxa" w:w="0"/>
              <w:bottom w:type="dxa" w:w="50"/>
              <w:right w:type="dxa" w:w="180"/>
            </w:tcMar>
          </w:tcPr>
          <w:p>
            <w:pPr>
              <w:spacing w:after="0"/>
            </w:pPr>
            <w:r>
              <w:rPr>
                <w:rFonts w:ascii="Arial Narrow" w:cs="Arial Narrow" w:eastAsia="Arial Narrow" w:hAnsi="Arial Narrow"/>
                <w:b/>
                <w:bCs/>
                <w:i w:val="false"/>
                <w:iCs w:val="false"/>
                <w:color w:val="0D7377"/>
                <w:sz w:val="19"/>
                <w:szCs w:val="19"/>
              </w:rPr>
              <w:t xml:space="preserve">GenAI Observability &amp; Evals: </w:t>
            </w:r>
            <w:r>
              <w:rPr>
                <w:rFonts w:ascii="Arial Narrow" w:cs="Arial Narrow" w:eastAsia="Arial Narrow" w:hAnsi="Arial Narrow"/>
                <w:b w:val="false"/>
                <w:bCs w:val="false"/>
                <w:i w:val="false"/>
                <w:iCs w:val="false"/>
                <w:color w:val="222222"/>
                <w:sz w:val="18"/>
                <w:szCs w:val="18"/>
              </w:rPr>
              <w:t xml:space="preserve">LangSmith, Arize, OpenObserve; Grafana, Prometheus, node exporters; data and pipeline observability, agent run logging and metrics, prompt engineering, guardrails</w:t>
            </w:r>
          </w:p>
        </w:tc>
        <w:tc>
          <w:tcPr>
            <w:tcW w:type="pct" w:w="2500"/>
            <w:tcMar>
              <w:top w:type="dxa" w:w="50"/>
              <w:left w:type="dxa" w:w="0"/>
              <w:bottom w:type="dxa" w:w="50"/>
              <w:right w:type="dxa" w:w="180"/>
            </w:tcMar>
          </w:tcPr>
          <w:p>
            <w:pPr>
              <w:spacing w:after="0"/>
            </w:pPr>
            <w:r>
              <w:rPr>
                <w:rFonts w:ascii="Arial Narrow" w:cs="Arial Narrow" w:eastAsia="Arial Narrow" w:hAnsi="Arial Narrow"/>
                <w:b/>
                <w:bCs/>
                <w:i w:val="false"/>
                <w:iCs w:val="false"/>
                <w:color w:val="0D7377"/>
                <w:sz w:val="19"/>
                <w:szCs w:val="19"/>
              </w:rPr>
              <w:t xml:space="preserve">MLOps, Models &amp; Delivery: </w:t>
            </w:r>
            <w:r>
              <w:rPr>
                <w:rFonts w:ascii="Arial Narrow" w:cs="Arial Narrow" w:eastAsia="Arial Narrow" w:hAnsi="Arial Narrow"/>
                <w:b w:val="false"/>
                <w:bCs w:val="false"/>
                <w:i w:val="false"/>
                <w:iCs w:val="false"/>
                <w:color w:val="222222"/>
                <w:sz w:val="18"/>
                <w:szCs w:val="18"/>
              </w:rPr>
              <w:t xml:space="preserve">Azure AI Foundry, Azure APIM (AI gateway), Azure Functions, Microsoft Agent 365; BentoML, HuggingFace, Docker, Kubernetes, CI/CD; Claude, GPT, Gemini, GLM, DeepSeek, Ollama/local models; AI-DLC, spec-first delivery, forward-deployed engagement</w:t>
            </w:r>
          </w:p>
        </w:tc>
      </w:tr>
    </w:tbl>
    <w:p>
      <w:pPr>
        <w:pBdr>
          <w:bottom w:val="single" w:color="0D7377" w:sz="6"/>
        </w:pBdr>
        <w:spacing w:after="60" w:before="140"/>
      </w:pPr>
      <w:r>
        <w:rPr>
          <w:rFonts w:ascii="Arial" w:cs="Arial" w:eastAsia="Arial" w:hAnsi="Arial"/>
          <w:b/>
          <w:bCs/>
          <w:color w:val="0D7377"/>
          <w:spacing w:val="20"/>
          <w:sz w:val="20"/>
          <w:szCs w:val="20"/>
        </w:rPr>
        <w:t xml:space="preserve">EDUCATION &amp; CERTIFICATIONS</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420"/>
        <w:gridCol w:w="5420"/>
      </w:tblGrid>
      <w:tr>
        <w:tc>
          <w:tcPr>
            <w:tcW w:type="pct" w:w="2500"/>
            <w:tcMar>
              <w:top w:type="dxa" w:w="50"/>
              <w:left w:type="dxa" w:w="0"/>
              <w:bottom w:type="dxa" w:w="50"/>
              <w:right w:type="dxa" w:w="180"/>
            </w:tcMar>
          </w:tcPr>
          <w:p>
            <w:pPr>
              <w:spacing w:after="0"/>
            </w:pPr>
            <w:r>
              <w:rPr>
                <w:rFonts w:ascii="Arial Narrow" w:cs="Arial Narrow" w:eastAsia="Arial Narrow" w:hAnsi="Arial Narrow"/>
                <w:b/>
                <w:bCs/>
                <w:i w:val="false"/>
                <w:iCs w:val="false"/>
                <w:color w:val="111111"/>
                <w:sz w:val="19"/>
                <w:szCs w:val="19"/>
              </w:rPr>
              <w:t xml:space="preserve">B.E. (Electronics &amp; Instrumentation) &amp; M.B.A (IT &amp; Tourism)</w:t>
            </w:r>
          </w:p>
          <w:p>
            <w:pPr>
              <w:spacing w:after="0"/>
            </w:pPr>
            <w:r>
              <w:rPr>
                <w:rFonts w:ascii="Arial Narrow" w:cs="Arial Narrow" w:eastAsia="Arial Narrow" w:hAnsi="Arial Narrow"/>
                <w:b w:val="false"/>
                <w:bCs w:val="false"/>
                <w:i w:val="false"/>
                <w:iCs w:val="false"/>
                <w:color w:val="0D7377"/>
                <w:sz w:val="18"/>
                <w:szCs w:val="18"/>
              </w:rPr>
              <w:t xml:space="preserve">Annamalai University · Global: US, Japan (3 yrs), India, Ukraine</w:t>
            </w:r>
          </w:p>
        </w:tc>
        <w:tc>
          <w:tcPr>
            <w:tcW w:type="pct" w:w="2500"/>
            <w:tcMar>
              <w:top w:type="dxa" w:w="50"/>
              <w:left w:type="dxa" w:w="0"/>
              <w:bottom w:type="dxa" w:w="50"/>
              <w:right w:type="dxa" w:w="180"/>
            </w:tcMar>
          </w:tcPr>
          <w:p>
            <w:pPr>
              <w:spacing w:after="0"/>
            </w:pPr>
            <w:r>
              <w:rPr>
                <w:rFonts w:ascii="Arial Narrow" w:cs="Arial Narrow" w:eastAsia="Arial Narrow" w:hAnsi="Arial Narrow"/>
                <w:b/>
                <w:bCs/>
                <w:i w:val="false"/>
                <w:iCs w:val="false"/>
                <w:color w:val="111111"/>
                <w:sz w:val="19"/>
                <w:szCs w:val="19"/>
              </w:rPr>
              <w:t xml:space="preserve">Social Innovation Leader – Global (SIL-G)</w:t>
            </w:r>
          </w:p>
          <w:p>
            <w:pPr>
              <w:spacing w:after="0"/>
            </w:pPr>
            <w:r>
              <w:rPr>
                <w:rFonts w:ascii="Arial Narrow" w:cs="Arial Narrow" w:eastAsia="Arial Narrow" w:hAnsi="Arial Narrow"/>
                <w:b w:val="false"/>
                <w:bCs w:val="false"/>
                <w:i w:val="false"/>
                <w:iCs w:val="false"/>
                <w:color w:val="0D7377"/>
                <w:sz w:val="18"/>
                <w:szCs w:val="18"/>
              </w:rPr>
              <w:t xml:space="preserve">Hitachi Academy · IMD Business School</w:t>
            </w:r>
          </w:p>
        </w:tc>
      </w:tr>
    </w:tbl>
    <w:sectPr>
      <w:footerReference w:type="default" r:id="rId6"/>
      <w:pgSz w:w="12240" w:h="15840" w:orient="portrait"/>
      <w:pgMar w:top="620" w:right="700" w:bottom="560" w:left="7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Narrow" w:cs="Arial Narrow" w:eastAsia="Arial Narrow" w:hAnsi="Arial Narrow"/>
        <w:b w:val="false"/>
        <w:bCs w:val="false"/>
        <w:i w:val="false"/>
        <w:iCs w:val="false"/>
        <w:color w:val="888888"/>
        <w:sz w:val="16"/>
        <w:szCs w:val="16"/>
      </w:rPr>
      <w:t xml:space="preserve">Senthilnathan Karuppaiah · Page </w:t>
    </w:r>
    <w:r>
      <w:rPr>
        <w:rFonts w:ascii="Arial Narrow" w:cs="Arial Narrow" w:eastAsia="Arial Narrow" w:hAnsi="Arial Narrow"/>
        <w:color w:val="888888"/>
        <w:sz w:val="16"/>
        <w:szCs w:val="16"/>
      </w:rPr>
      <w:fldChar w:fldCharType="begin"/>
      <w:instrText xml:space="preserve">PAGE</w:instrText>
      <w:fldChar w:fldCharType="separate"/>
      <w:fldChar w:fldCharType="end"/>
    </w:r>
    <w:r>
      <w:rPr>
        <w:rFonts w:ascii="Arial Narrow" w:cs="Arial Narrow" w:eastAsia="Arial Narrow" w:hAnsi="Arial Narrow"/>
        <w:b w:val="false"/>
        <w:bCs w:val="false"/>
        <w:i w:val="false"/>
        <w:iCs w:val="false"/>
        <w:color w:val="888888"/>
        <w:sz w:val="16"/>
        <w:szCs w:val="16"/>
      </w:rPr>
      <w:t xml:space="preserve"> of </w:t>
    </w:r>
    <w:r>
      <w:rPr>
        <w:rFonts w:ascii="Arial Narrow" w:cs="Arial Narrow" w:eastAsia="Arial Narrow" w:hAnsi="Arial Narrow"/>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00" w:hanging="160"/>
      </w:pPr>
      <w:rPr>
        <w:color w:val="0D7377"/>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Narrow" w:cs="Arial Narrow" w:eastAsia="Arial Narrow" w:hAnsi="Arial Narrow"/>
        <w:color w:val="222222"/>
        <w:sz w:val="19"/>
        <w:szCs w:val="19"/>
      </w:rPr>
    </w:rPrDefault>
    <w:pPrDefault>
      <w:pPr>
        <w:spacing w:line="23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2026-10-04T14:27:23.484Z</dcterms:created>
  <dcterms:modified xsi:type="dcterms:W3CDTF">2026-10-04T14:27:23.485Z</dcterms:modified>
</cp:coreProperties>
</file>

<file path=docProps/custom.xml><?xml version="1.0" encoding="utf-8"?>
<Properties xmlns="http://schemas.openxmlformats.org/officeDocument/2006/custom-properties" xmlns:vt="http://schemas.openxmlformats.org/officeDocument/2006/docPropsVTypes"/>
</file>