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6ccc76f6012b43d1"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DOCUMENTO METODOLÓGICO</w:t>
        <w:br/>
      </w:r>
      <w:r>
        <w:rPr>
          <w:b/>
        </w:rPr>
        <w:t>MODELO DE PRIORIZACIÓN DE ALERTAS PLAFT</w:t>
        <w:br/>
      </w:r>
      <w:r>
        <w:rPr>
          <w:sz w:val="32"/>
        </w:rPr>
        <w:t>Segmento Persona Natural - Masivo</w:t>
      </w:r>
    </w:p>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Pr>
          <w:p>
            <w:r>
              <w:rPr>
                <w:b/>
                <w:color w:val="FFFFFF"/>
                <w:sz w:val="16"/>
              </w:rPr>
              <w:t>Campo</w:t>
            </w:r>
          </w:p>
        </w:tc>
        <w:tc>
          <w:tcPr>
            <w:tcW w:type="dxa" w:w="6912"/>
            <w:vAlign w:val="center"/>
            <w:shd w:fill="1F4E78"/>
          </w:tcPr>
          <w:p>
            <w:r>
              <w:rPr>
                <w:b/>
                <w:color w:val="FFFFFF"/>
                <w:sz w:val="16"/>
              </w:rPr>
              <w:t>Detalle</w:t>
            </w:r>
          </w:p>
        </w:tc>
      </w:tr>
      <w:tr>
        <w:tc>
          <w:tcPr>
            <w:tcW w:type="dxa" w:w="2592"/>
            <w:vAlign w:val="center"/>
          </w:tcPr>
          <w:p>
            <w:r>
              <w:rPr>
                <w:b w:val="0"/>
                <w:sz w:val="16"/>
              </w:rPr>
              <w:t>Versión</w:t>
            </w:r>
          </w:p>
        </w:tc>
        <w:tc>
          <w:tcPr>
            <w:tcW w:type="dxa" w:w="6912"/>
            <w:vAlign w:val="center"/>
          </w:tcPr>
          <w:p>
            <w:r>
              <w:rPr>
                <w:b w:val="0"/>
                <w:sz w:val="16"/>
              </w:rPr>
              <w:t>1.0 - documento inicial generado a partir de evidencia disponible</w:t>
            </w:r>
          </w:p>
        </w:tc>
      </w:tr>
      <w:tr>
        <w:tc>
          <w:tcPr>
            <w:tcW w:type="dxa" w:w="2592"/>
            <w:vAlign w:val="center"/>
          </w:tcPr>
          <w:p>
            <w:r>
              <w:rPr>
                <w:b w:val="0"/>
                <w:sz w:val="16"/>
              </w:rPr>
              <w:t>Fecha</w:t>
            </w:r>
          </w:p>
        </w:tc>
        <w:tc>
          <w:tcPr>
            <w:tcW w:type="dxa" w:w="6912"/>
            <w:vAlign w:val="center"/>
          </w:tcPr>
          <w:p>
            <w:r>
              <w:rPr>
                <w:b w:val="0"/>
                <w:sz w:val="16"/>
              </w:rPr>
              <w:t>2026-09-04</w:t>
            </w:r>
          </w:p>
        </w:tc>
      </w:tr>
      <w:tr>
        <w:tc>
          <w:tcPr>
            <w:tcW w:type="dxa" w:w="2592"/>
            <w:vAlign w:val="center"/>
          </w:tcPr>
          <w:p>
            <w:r>
              <w:rPr>
                <w:b w:val="0"/>
                <w:sz w:val="16"/>
              </w:rPr>
              <w:t>Área responsable</w:t>
            </w:r>
          </w:p>
        </w:tc>
        <w:tc>
          <w:tcPr>
            <w:tcW w:type="dxa" w:w="6912"/>
            <w:vAlign w:val="center"/>
          </w:tcPr>
          <w:p>
            <w:r>
              <w:rPr>
                <w:b w:val="0"/>
                <w:sz w:val="16"/>
              </w:rPr>
              <w:t>Data Science / División Analítica</w:t>
            </w:r>
          </w:p>
        </w:tc>
      </w:tr>
      <w:tr>
        <w:tc>
          <w:tcPr>
            <w:tcW w:type="dxa" w:w="2592"/>
            <w:vAlign w:val="center"/>
          </w:tcPr>
          <w:p>
            <w:r>
              <w:rPr>
                <w:b w:val="0"/>
                <w:sz w:val="16"/>
              </w:rPr>
              <w:t>Modelo reportado</w:t>
            </w:r>
          </w:p>
        </w:tc>
        <w:tc>
          <w:tcPr>
            <w:tcW w:type="dxa" w:w="6912"/>
            <w:vAlign w:val="center"/>
          </w:tcPr>
          <w:p>
            <w:r>
              <w:rPr>
                <w:b w:val="0"/>
                <w:sz w:val="16"/>
              </w:rPr>
              <w:t>hpo-plaft-pn-masivo-260701-1603-042-a270185f</w:t>
            </w:r>
          </w:p>
        </w:tc>
      </w:tr>
      <w:tr>
        <w:tc>
          <w:tcPr>
            <w:tcW w:type="dxa" w:w="2592"/>
            <w:vAlign w:val="center"/>
          </w:tcPr>
          <w:p>
            <w:r>
              <w:rPr>
                <w:b w:val="0"/>
                <w:sz w:val="16"/>
              </w:rPr>
              <w:t>Periodo de test reportado</w:t>
            </w:r>
          </w:p>
        </w:tc>
        <w:tc>
          <w:tcPr>
            <w:tcW w:type="dxa" w:w="6912"/>
            <w:vAlign w:val="center"/>
          </w:tcPr>
          <w:p>
            <w:r>
              <w:rPr>
                <w:b w:val="0"/>
                <w:sz w:val="16"/>
              </w:rPr>
              <w:t>202508 - 202605</w:t>
            </w:r>
          </w:p>
        </w:tc>
      </w:tr>
      <w:tr>
        <w:tc>
          <w:tcPr>
            <w:tcW w:type="dxa" w:w="2592"/>
            <w:vAlign w:val="center"/>
          </w:tcPr>
          <w:p>
            <w:r>
              <w:rPr>
                <w:b w:val="0"/>
                <w:sz w:val="16"/>
              </w:rPr>
              <w:t>Estado</w:t>
            </w:r>
          </w:p>
        </w:tc>
        <w:tc>
          <w:tcPr>
            <w:tcW w:type="dxa" w:w="6912"/>
            <w:vAlign w:val="center"/>
          </w:tcPr>
          <w:p>
            <w:r>
              <w:rPr>
                <w:b w:val="0"/>
                <w:sz w:val="16"/>
              </w:rPr>
              <w:t>Borrador técnico sujeto a reconciliación de artefactos</w:t>
            </w:r>
          </w:p>
        </w:tc>
      </w:tr>
    </w:tbl>
    <w:p/>
    <w:p>
      <w:r>
        <w:t>Nota de control: este documento consolida los archivos encontrados en PLAFT\Masivo. No reemplaza la aprobación metodológica ni la validación independiente.</w:t>
      </w:r>
    </w:p>
    <w:p>
      <w:r>
        <w:br w:type="page"/>
      </w:r>
    </w:p>
    <w:p>
      <w:pPr>
        <w:pStyle w:val="Heading1"/>
      </w:pPr>
      <w:r>
        <w:t>1. INTRODUCCIÓN</w:t>
      </w:r>
    </w:p>
    <w:p>
      <w:r>
        <w:t>El presente documento describe la metodología de desarrollo, validación e interpretación del Modelo de Priorización de Alertas PLAFT para Personas Naturales del segmento Masivo. El modelo asigna un score entre 0 y 1 para ordenar clientes según prioridad relativa de revisión.</w:t>
      </w:r>
    </w:p>
    <w:p>
      <w:r>
        <w:t>El documento se construye siguiendo la estructura del Documento Metodológico PLAFT PJ Minorista v2 y usando como fuentes principales el informe de validación HTML, los notebooks de desarrollo e inferencia, el diccionario de variables y el artefacto XGBoost localizado en la carpeta Masivo.</w:t>
      </w:r>
    </w:p>
    <w:p>
      <w:pPr>
        <w:pStyle w:val="Heading2"/>
      </w:pPr>
      <w:r>
        <w:t>1.1 Objetivo</w:t>
      </w:r>
    </w:p>
    <w:p>
      <w:r>
        <w:t>Apoyar la priorización operativa de clientes y alertas PLAFT mediante un score de riesgo, concentrando la capacidad de análisis en los casos con mayor prioridad relativa.</w:t>
      </w:r>
    </w:p>
    <w:p>
      <w:pPr>
        <w:pStyle w:val="Heading2"/>
      </w:pPr>
      <w:r>
        <w:t>1.2 Alcance</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Pr>
          <w:p>
            <w:r>
              <w:rPr>
                <w:b/>
                <w:color w:val="FFFFFF"/>
                <w:sz w:val="16"/>
              </w:rPr>
              <w:t>Elemento</w:t>
            </w:r>
          </w:p>
        </w:tc>
        <w:tc>
          <w:tcPr>
            <w:tcW w:type="dxa" w:w="6912"/>
            <w:vAlign w:val="center"/>
            <w:shd w:fill="1F4E78"/>
          </w:tcPr>
          <w:p>
            <w:r>
              <w:rPr>
                <w:b/>
                <w:color w:val="FFFFFF"/>
                <w:sz w:val="16"/>
              </w:rPr>
              <w:t>Definición documentada</w:t>
            </w:r>
          </w:p>
        </w:tc>
      </w:tr>
      <w:tr>
        <w:tc>
          <w:tcPr>
            <w:tcW w:type="dxa" w:w="2592"/>
            <w:vAlign w:val="center"/>
          </w:tcPr>
          <w:p>
            <w:r>
              <w:rPr>
                <w:b w:val="0"/>
                <w:sz w:val="16"/>
              </w:rPr>
              <w:t>Tipología</w:t>
            </w:r>
          </w:p>
        </w:tc>
        <w:tc>
          <w:tcPr>
            <w:tcW w:type="dxa" w:w="6912"/>
            <w:vAlign w:val="center"/>
          </w:tcPr>
          <w:p>
            <w:r>
              <w:rPr>
                <w:b w:val="0"/>
                <w:sz w:val="16"/>
              </w:rPr>
              <w:t>Lavado de Activos y Financiamiento del Terrorismo (PLAFT)</w:t>
            </w:r>
          </w:p>
        </w:tc>
      </w:tr>
      <w:tr>
        <w:tc>
          <w:tcPr>
            <w:tcW w:type="dxa" w:w="2592"/>
            <w:vAlign w:val="center"/>
          </w:tcPr>
          <w:p>
            <w:r>
              <w:rPr>
                <w:b w:val="0"/>
                <w:sz w:val="16"/>
              </w:rPr>
              <w:t>Segmento</w:t>
            </w:r>
          </w:p>
        </w:tc>
        <w:tc>
          <w:tcPr>
            <w:tcW w:type="dxa" w:w="6912"/>
            <w:vAlign w:val="center"/>
          </w:tcPr>
          <w:p>
            <w:r>
              <w:rPr>
                <w:b w:val="0"/>
                <w:sz w:val="16"/>
              </w:rPr>
              <w:t>Persona Natural - Masivo</w:t>
            </w:r>
          </w:p>
        </w:tc>
      </w:tr>
      <w:tr>
        <w:tc>
          <w:tcPr>
            <w:tcW w:type="dxa" w:w="2592"/>
            <w:vAlign w:val="center"/>
          </w:tcPr>
          <w:p>
            <w:r>
              <w:rPr>
                <w:b w:val="0"/>
                <w:sz w:val="16"/>
              </w:rPr>
              <w:t>Unidad de análisis</w:t>
            </w:r>
          </w:p>
        </w:tc>
        <w:tc>
          <w:tcPr>
            <w:tcW w:type="dxa" w:w="6912"/>
            <w:vAlign w:val="center"/>
          </w:tcPr>
          <w:p>
            <w:r>
              <w:rPr>
                <w:b w:val="0"/>
                <w:sz w:val="16"/>
              </w:rPr>
              <w:t>Cliente</w:t>
            </w:r>
          </w:p>
        </w:tc>
      </w:tr>
      <w:tr>
        <w:tc>
          <w:tcPr>
            <w:tcW w:type="dxa" w:w="2592"/>
            <w:vAlign w:val="center"/>
          </w:tcPr>
          <w:p>
            <w:r>
              <w:rPr>
                <w:b w:val="0"/>
                <w:sz w:val="16"/>
              </w:rPr>
              <w:t>Score</w:t>
            </w:r>
          </w:p>
        </w:tc>
        <w:tc>
          <w:tcPr>
            <w:tcW w:type="dxa" w:w="6912"/>
            <w:vAlign w:val="center"/>
          </w:tcPr>
          <w:p>
            <w:r>
              <w:rPr>
                <w:b w:val="0"/>
                <w:sz w:val="16"/>
              </w:rPr>
              <w:t>Valor continuo entre 0 y 1, usado para ordenar</w:t>
            </w:r>
          </w:p>
        </w:tc>
      </w:tr>
      <w:tr>
        <w:tc>
          <w:tcPr>
            <w:tcW w:type="dxa" w:w="2592"/>
            <w:vAlign w:val="center"/>
          </w:tcPr>
          <w:p>
            <w:r>
              <w:rPr>
                <w:b w:val="0"/>
                <w:sz w:val="16"/>
              </w:rPr>
              <w:t>Población reportada</w:t>
            </w:r>
          </w:p>
        </w:tc>
        <w:tc>
          <w:tcPr>
            <w:tcW w:type="dxa" w:w="6912"/>
            <w:vAlign w:val="center"/>
          </w:tcPr>
          <w:p>
            <w:r>
              <w:rPr>
                <w:b w:val="0"/>
                <w:sz w:val="16"/>
              </w:rPr>
              <w:t>13,182,690 clientes en la muestra de perfilamiento</w:t>
            </w:r>
          </w:p>
        </w:tc>
      </w:tr>
    </w:tbl>
    <w:p/>
    <w:p>
      <w:pPr>
        <w:pStyle w:val="Heading1"/>
      </w:pPr>
      <w:r>
        <w:t>2. CONTEXTO DEL NEGOCIO PLAFT</w:t>
      </w:r>
    </w:p>
    <w:p>
      <w:r>
        <w:t>En el segmento Masivo, el modelo busca complementar los mecanismos existentes de monitoreo mediante una priorización basada en señales transaccionales, comportamiento financiero, canales, relaciones con terceros y señales de riesgo PLAFT. El score no constituye por sí mismo una conclusión de operación sospechosa ni sustituye el análisis del especialista.</w:t>
      </w:r>
    </w:p>
    <w:p>
      <w:r>
        <w:t>El informe de validación reporta que las señales observadas en comentarios de analistas tienen una cobertura aproximada de 49% por las variables del modelo. Esta cifra debe interpretarse como cobertura de señales identificadas en la muestra analizada, no como una medida de efectividad regulatoria.</w:t>
      </w:r>
    </w:p>
    <w:p>
      <w:pPr>
        <w:pStyle w:val="Heading1"/>
      </w:pPr>
      <w:r>
        <w:t>3. ARQUITECTURA GENERAL DEL MODELO</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8"/>
          </w:tcPr>
          <w:p>
            <w:r>
              <w:rPr>
                <w:b/>
                <w:color w:val="FFFFFF"/>
                <w:sz w:val="16"/>
              </w:rPr>
              <w:t>Etapa</w:t>
            </w:r>
          </w:p>
        </w:tc>
        <w:tc>
          <w:tcPr>
            <w:tcW w:type="dxa" w:w="5040"/>
            <w:vAlign w:val="center"/>
            <w:shd w:fill="1F4E78"/>
          </w:tcPr>
          <w:p>
            <w:r>
              <w:rPr>
                <w:b/>
                <w:color w:val="FFFFFF"/>
                <w:sz w:val="16"/>
              </w:rPr>
              <w:t>Descripción</w:t>
            </w:r>
          </w:p>
        </w:tc>
        <w:tc>
          <w:tcPr>
            <w:tcW w:type="dxa" w:w="3024"/>
            <w:vAlign w:val="center"/>
            <w:shd w:fill="1F4E78"/>
          </w:tcPr>
          <w:p>
            <w:r>
              <w:rPr>
                <w:b/>
                <w:color w:val="FFFFFF"/>
                <w:sz w:val="16"/>
              </w:rPr>
              <w:t>Evidencia</w:t>
            </w:r>
          </w:p>
        </w:tc>
      </w:tr>
      <w:tr>
        <w:tc>
          <w:tcPr>
            <w:tcW w:type="dxa" w:w="1440"/>
            <w:vAlign w:val="center"/>
          </w:tcPr>
          <w:p>
            <w:r>
              <w:rPr>
                <w:b w:val="0"/>
                <w:sz w:val="16"/>
              </w:rPr>
              <w:t>Fuentes</w:t>
            </w:r>
          </w:p>
        </w:tc>
        <w:tc>
          <w:tcPr>
            <w:tcW w:type="dxa" w:w="5040"/>
            <w:vAlign w:val="center"/>
          </w:tcPr>
          <w:p>
            <w:r>
              <w:rPr>
                <w:b w:val="0"/>
                <w:sz w:val="16"/>
              </w:rPr>
              <w:t>Datos transaccionales, perfil financiero y señales de riesgo PLAFT</w:t>
            </w:r>
          </w:p>
        </w:tc>
        <w:tc>
          <w:tcPr>
            <w:tcW w:type="dxa" w:w="3024"/>
            <w:vAlign w:val="center"/>
          </w:tcPr>
          <w:p>
            <w:r>
              <w:rPr>
                <w:b w:val="0"/>
                <w:sz w:val="16"/>
              </w:rPr>
              <w:t>Notebooks de generación de base y querys SQL</w:t>
            </w:r>
          </w:p>
        </w:tc>
      </w:tr>
      <w:tr>
        <w:tc>
          <w:tcPr>
            <w:tcW w:type="dxa" w:w="1440"/>
            <w:vAlign w:val="center"/>
          </w:tcPr>
          <w:p>
            <w:r>
              <w:rPr>
                <w:b w:val="0"/>
                <w:sz w:val="16"/>
              </w:rPr>
              <w:t>Ingeniería</w:t>
            </w:r>
          </w:p>
        </w:tc>
        <w:tc>
          <w:tcPr>
            <w:tcW w:type="dxa" w:w="5040"/>
            <w:vAlign w:val="center"/>
          </w:tcPr>
          <w:p>
            <w:r>
              <w:rPr>
                <w:b w:val="0"/>
                <w:sz w:val="16"/>
              </w:rPr>
              <w:t>Agregaciones temporales, razones, conteos, montos y señales binarias</w:t>
            </w:r>
          </w:p>
        </w:tc>
        <w:tc>
          <w:tcPr>
            <w:tcW w:type="dxa" w:w="3024"/>
            <w:vAlign w:val="center"/>
          </w:tcPr>
          <w:p>
            <w:r>
              <w:rPr>
                <w:b w:val="0"/>
                <w:sz w:val="16"/>
              </w:rPr>
              <w:t>selected_columns.csv / diccionario.xlsx</w:t>
            </w:r>
          </w:p>
        </w:tc>
      </w:tr>
      <w:tr>
        <w:tc>
          <w:tcPr>
            <w:tcW w:type="dxa" w:w="1440"/>
            <w:vAlign w:val="center"/>
          </w:tcPr>
          <w:p>
            <w:r>
              <w:rPr>
                <w:b w:val="0"/>
                <w:sz w:val="16"/>
              </w:rPr>
              <w:t>Preprocesamiento</w:t>
            </w:r>
          </w:p>
        </w:tc>
        <w:tc>
          <w:tcPr>
            <w:tcW w:type="dxa" w:w="5040"/>
            <w:vAlign w:val="center"/>
          </w:tcPr>
          <w:p>
            <w:r>
              <w:rPr>
                <w:b w:val="0"/>
                <w:sz w:val="16"/>
              </w:rPr>
              <w:t>Preparación de variables y tratamiento requerido por el pipeline</w:t>
            </w:r>
          </w:p>
        </w:tc>
        <w:tc>
          <w:tcPr>
            <w:tcW w:type="dxa" w:w="3024"/>
            <w:vAlign w:val="center"/>
          </w:tcPr>
          <w:p>
            <w:r>
              <w:rPr>
                <w:b w:val="0"/>
                <w:sz w:val="16"/>
              </w:rPr>
              <w:t>preprocessing_1.py y notebooks</w:t>
            </w:r>
          </w:p>
        </w:tc>
      </w:tr>
      <w:tr>
        <w:tc>
          <w:tcPr>
            <w:tcW w:type="dxa" w:w="1440"/>
            <w:vAlign w:val="center"/>
          </w:tcPr>
          <w:p>
            <w:r>
              <w:rPr>
                <w:b w:val="0"/>
                <w:sz w:val="16"/>
              </w:rPr>
              <w:t>Modelo</w:t>
            </w:r>
          </w:p>
        </w:tc>
        <w:tc>
          <w:tcPr>
            <w:tcW w:type="dxa" w:w="5040"/>
            <w:vAlign w:val="center"/>
          </w:tcPr>
          <w:p>
            <w:r>
              <w:rPr>
                <w:b w:val="0"/>
                <w:sz w:val="16"/>
              </w:rPr>
              <w:t>Artefacto serializado XGBoost</w:t>
            </w:r>
          </w:p>
        </w:tc>
        <w:tc>
          <w:tcPr>
            <w:tcW w:type="dxa" w:w="3024"/>
            <w:vAlign w:val="center"/>
          </w:tcPr>
          <w:p>
            <w:r>
              <w:rPr>
                <w:b w:val="0"/>
                <w:sz w:val="16"/>
              </w:rPr>
              <w:t>model/model.tar.gz -&gt; xgboost-model</w:t>
            </w:r>
          </w:p>
        </w:tc>
      </w:tr>
      <w:tr>
        <w:tc>
          <w:tcPr>
            <w:tcW w:type="dxa" w:w="1440"/>
            <w:vAlign w:val="center"/>
          </w:tcPr>
          <w:p>
            <w:r>
              <w:rPr>
                <w:b w:val="0"/>
                <w:sz w:val="16"/>
              </w:rPr>
              <w:t>Salida</w:t>
            </w:r>
          </w:p>
        </w:tc>
        <w:tc>
          <w:tcPr>
            <w:tcW w:type="dxa" w:w="5040"/>
            <w:vAlign w:val="center"/>
          </w:tcPr>
          <w:p>
            <w:r>
              <w:rPr>
                <w:b w:val="0"/>
                <w:sz w:val="16"/>
              </w:rPr>
              <w:t>Score continuo y orden de prioridad</w:t>
            </w:r>
          </w:p>
        </w:tc>
        <w:tc>
          <w:tcPr>
            <w:tcW w:type="dxa" w:w="3024"/>
            <w:vAlign w:val="center"/>
          </w:tcPr>
          <w:p>
            <w:r>
              <w:rPr>
                <w:b w:val="0"/>
                <w:sz w:val="16"/>
              </w:rPr>
              <w:t>Informe HTML e inferencia</w:t>
            </w:r>
          </w:p>
        </w:tc>
      </w:tr>
    </w:tbl>
    <w:p/>
    <w:p>
      <w:pPr>
        <w:pStyle w:val="Heading1"/>
      </w:pPr>
      <w:r>
        <w:t>4. CONSTRUCCIÓN DE LA VARIABLE OBJETIVO (TARGET)</w:t>
      </w:r>
    </w:p>
    <w:p>
      <w:r>
        <w:t>Los archivos de desarrollo utilizan una columna target binaria y los conjuntos de test incluyen cruces con alertas del periodo 202607. La definición operacional exacta del evento positivo, su ventana de observación y la regla de etiquetado deben quedar ratificadas por el dueño del proceso antes de la aprobación final.</w:t>
      </w:r>
    </w:p>
    <w:p>
      <w:r>
        <w:t>Control requerido: documentar explícitamente qué estados de alerta, calificación del analista o resultado posterior conforman target=1 y qué periodo separa la información predictora del evento observado.</w:t>
      </w:r>
    </w:p>
    <w:p>
      <w:pPr>
        <w:pStyle w:val="Heading1"/>
      </w:pPr>
      <w:r>
        <w:t>5. CONSTRUCCIÓN DEL DATASET</w:t>
      </w:r>
    </w:p>
    <w:p>
      <w:r>
        <w:t>La carpeta Masivo contiene notebooks separados para generación de base, EDA, validación final e inferencia. Los nombres de los notebooks indican una partición temporal con meses de entrenamiento, validación y test; la parametrización exacta debe conservarse junto con la ejecución reproducible.</w:t>
      </w:r>
    </w:p>
    <w:tbl>
      <w:tblPr>
        <w:tblStyle w:val="TableGrid"/>
        <w:tblW w:type="auto" w:w="0"/>
        <w:jc w:val="center"/>
        <w:tblLook w:firstColumn="1" w:firstRow="1" w:lastColumn="0" w:lastRow="0" w:noHBand="0" w:noVBand="1" w:val="04A0"/>
      </w:tblPr>
      <w:tblGrid>
        <w:gridCol w:w="3312"/>
        <w:gridCol w:w="3312"/>
        <w:gridCol w:w="3312"/>
      </w:tblGrid>
      <w:tr>
        <w:tc>
          <w:tcPr>
            <w:tcW w:type="dxa" w:w="3888"/>
            <w:vAlign w:val="center"/>
            <w:shd w:fill="1F4E78"/>
          </w:tcPr>
          <w:p>
            <w:r>
              <w:rPr>
                <w:b/>
                <w:color w:val="FFFFFF"/>
                <w:sz w:val="16"/>
              </w:rPr>
              <w:t>Fuente</w:t>
            </w:r>
          </w:p>
        </w:tc>
        <w:tc>
          <w:tcPr>
            <w:tcW w:type="dxa" w:w="3888"/>
            <w:vAlign w:val="center"/>
            <w:shd w:fill="1F4E78"/>
          </w:tcPr>
          <w:p>
            <w:r>
              <w:rPr>
                <w:b/>
                <w:color w:val="FFFFFF"/>
                <w:sz w:val="16"/>
              </w:rPr>
              <w:t>Uso</w:t>
            </w:r>
          </w:p>
        </w:tc>
        <w:tc>
          <w:tcPr>
            <w:tcW w:type="dxa" w:w="1728"/>
            <w:vAlign w:val="center"/>
            <w:shd w:fill="1F4E78"/>
          </w:tcPr>
          <w:p>
            <w:r>
              <w:rPr>
                <w:b/>
                <w:color w:val="FFFFFF"/>
                <w:sz w:val="16"/>
              </w:rPr>
              <w:t>Estado</w:t>
            </w:r>
          </w:p>
        </w:tc>
      </w:tr>
      <w:tr>
        <w:tc>
          <w:tcPr>
            <w:tcW w:type="dxa" w:w="3888"/>
            <w:vAlign w:val="center"/>
          </w:tcPr>
          <w:p>
            <w:r>
              <w:rPr>
                <w:b w:val="0"/>
                <w:sz w:val="16"/>
              </w:rPr>
              <w:t>0.genera_base_train.ipynb</w:t>
            </w:r>
          </w:p>
        </w:tc>
        <w:tc>
          <w:tcPr>
            <w:tcW w:type="dxa" w:w="3888"/>
            <w:vAlign w:val="center"/>
          </w:tcPr>
          <w:p>
            <w:r>
              <w:rPr>
                <w:b w:val="0"/>
                <w:sz w:val="16"/>
              </w:rPr>
              <w:t>Generación de base completa</w:t>
            </w:r>
          </w:p>
        </w:tc>
        <w:tc>
          <w:tcPr>
            <w:tcW w:type="dxa" w:w="1728"/>
            <w:vAlign w:val="center"/>
          </w:tcPr>
          <w:p>
            <w:r>
              <w:rPr>
                <w:b w:val="0"/>
                <w:sz w:val="16"/>
              </w:rPr>
              <w:t>Disponible</w:t>
            </w:r>
          </w:p>
        </w:tc>
      </w:tr>
      <w:tr>
        <w:tc>
          <w:tcPr>
            <w:tcW w:type="dxa" w:w="3888"/>
            <w:vAlign w:val="center"/>
          </w:tcPr>
          <w:p>
            <w:r>
              <w:rPr>
                <w:b w:val="0"/>
                <w:sz w:val="16"/>
              </w:rPr>
              <w:t>01.bivariados+EDA_train.ipynb</w:t>
            </w:r>
          </w:p>
        </w:tc>
        <w:tc>
          <w:tcPr>
            <w:tcW w:type="dxa" w:w="3888"/>
            <w:vAlign w:val="center"/>
          </w:tcPr>
          <w:p>
            <w:r>
              <w:rPr>
                <w:b w:val="0"/>
                <w:sz w:val="16"/>
              </w:rPr>
              <w:t>EDA y bivariados de train</w:t>
            </w:r>
          </w:p>
        </w:tc>
        <w:tc>
          <w:tcPr>
            <w:tcW w:type="dxa" w:w="1728"/>
            <w:vAlign w:val="center"/>
          </w:tcPr>
          <w:p>
            <w:r>
              <w:rPr>
                <w:b w:val="0"/>
                <w:sz w:val="16"/>
              </w:rPr>
              <w:t>Disponible</w:t>
            </w:r>
          </w:p>
        </w:tc>
      </w:tr>
      <w:tr>
        <w:tc>
          <w:tcPr>
            <w:tcW w:type="dxa" w:w="3888"/>
            <w:vAlign w:val="center"/>
          </w:tcPr>
          <w:p>
            <w:r>
              <w:rPr>
                <w:b w:val="0"/>
                <w:sz w:val="16"/>
              </w:rPr>
              <w:t>01.bivariados+EDA_test.ipynb</w:t>
            </w:r>
          </w:p>
        </w:tc>
        <w:tc>
          <w:tcPr>
            <w:tcW w:type="dxa" w:w="3888"/>
            <w:vAlign w:val="center"/>
          </w:tcPr>
          <w:p>
            <w:r>
              <w:rPr>
                <w:b w:val="0"/>
                <w:sz w:val="16"/>
              </w:rPr>
              <w:t>EDA y bivariados de test</w:t>
            </w:r>
          </w:p>
        </w:tc>
        <w:tc>
          <w:tcPr>
            <w:tcW w:type="dxa" w:w="1728"/>
            <w:vAlign w:val="center"/>
          </w:tcPr>
          <w:p>
            <w:r>
              <w:rPr>
                <w:b w:val="0"/>
                <w:sz w:val="16"/>
              </w:rPr>
              <w:t>Disponible</w:t>
            </w:r>
          </w:p>
        </w:tc>
      </w:tr>
      <w:tr>
        <w:tc>
          <w:tcPr>
            <w:tcW w:type="dxa" w:w="3888"/>
            <w:vAlign w:val="center"/>
          </w:tcPr>
          <w:p>
            <w:r>
              <w:rPr>
                <w:b w:val="0"/>
                <w:sz w:val="16"/>
              </w:rPr>
              <w:t>02.Validacion_final.ipynb</w:t>
            </w:r>
          </w:p>
        </w:tc>
        <w:tc>
          <w:tcPr>
            <w:tcW w:type="dxa" w:w="3888"/>
            <w:vAlign w:val="center"/>
          </w:tcPr>
          <w:p>
            <w:r>
              <w:rPr>
                <w:b w:val="0"/>
                <w:sz w:val="16"/>
              </w:rPr>
              <w:t>Validación del modelo</w:t>
            </w:r>
          </w:p>
        </w:tc>
        <w:tc>
          <w:tcPr>
            <w:tcW w:type="dxa" w:w="1728"/>
            <w:vAlign w:val="center"/>
          </w:tcPr>
          <w:p>
            <w:r>
              <w:rPr>
                <w:b w:val="0"/>
                <w:sz w:val="16"/>
              </w:rPr>
              <w:t>Disponible</w:t>
            </w:r>
          </w:p>
        </w:tc>
      </w:tr>
      <w:tr>
        <w:tc>
          <w:tcPr>
            <w:tcW w:type="dxa" w:w="3888"/>
            <w:vAlign w:val="center"/>
          </w:tcPr>
          <w:p>
            <w:r>
              <w:rPr>
                <w:b w:val="0"/>
                <w:sz w:val="16"/>
              </w:rPr>
              <w:t>3.VALIDACION_TOTAL...ipynb</w:t>
            </w:r>
          </w:p>
        </w:tc>
        <w:tc>
          <w:tcPr>
            <w:tcW w:type="dxa" w:w="3888"/>
            <w:vAlign w:val="center"/>
          </w:tcPr>
          <w:p>
            <w:r>
              <w:rPr>
                <w:b w:val="0"/>
                <w:sz w:val="16"/>
              </w:rPr>
              <w:t>Validación total y señales de analista</w:t>
            </w:r>
          </w:p>
        </w:tc>
        <w:tc>
          <w:tcPr>
            <w:tcW w:type="dxa" w:w="1728"/>
            <w:vAlign w:val="center"/>
          </w:tcPr>
          <w:p>
            <w:r>
              <w:rPr>
                <w:b w:val="0"/>
                <w:sz w:val="16"/>
              </w:rPr>
              <w:t>Disponible</w:t>
            </w:r>
          </w:p>
        </w:tc>
      </w:tr>
      <w:tr>
        <w:tc>
          <w:tcPr>
            <w:tcW w:type="dxa" w:w="3888"/>
            <w:vAlign w:val="center"/>
          </w:tcPr>
          <w:p>
            <w:r>
              <w:rPr>
                <w:b w:val="0"/>
                <w:sz w:val="16"/>
              </w:rPr>
              <w:t>02.Validacion_RA_por_mes_alertas.ipynb</w:t>
            </w:r>
          </w:p>
        </w:tc>
        <w:tc>
          <w:tcPr>
            <w:tcW w:type="dxa" w:w="3888"/>
            <w:vAlign w:val="center"/>
          </w:tcPr>
          <w:p>
            <w:r>
              <w:rPr>
                <w:b w:val="0"/>
                <w:sz w:val="16"/>
              </w:rPr>
              <w:t>Validación en inferencia</w:t>
            </w:r>
          </w:p>
        </w:tc>
        <w:tc>
          <w:tcPr>
            <w:tcW w:type="dxa" w:w="1728"/>
            <w:vAlign w:val="center"/>
          </w:tcPr>
          <w:p>
            <w:r>
              <w:rPr>
                <w:b w:val="0"/>
                <w:sz w:val="16"/>
              </w:rPr>
              <w:t>Disponible</w:t>
            </w:r>
          </w:p>
        </w:tc>
      </w:tr>
    </w:tbl>
    <w:p/>
    <w:p>
      <w:pPr>
        <w:pStyle w:val="Heading1"/>
      </w:pPr>
      <w:r>
        <w:t>6. INTEGRIDAD TEMPORAL</w:t>
      </w:r>
    </w:p>
    <w:p>
      <w:r>
        <w:t>El informe de validación declara como periodo de test 202508-202605 y fija los cortes de quintiles en 202508. Esta decisión permite comparar perfiles con cortes constantes. La documentación final debe anexar la tabla de meses por partición y la fecha de extracción de cada fuente para demostrar ausencia de fuga temporal.</w:t>
      </w:r>
    </w:p>
    <w:p>
      <w:r>
        <w:t>La validación temporal no debe confundirse con una validación de efectividad del proceso PLAFT. Las métricas deben reportarse por mes y junto con el volumen, prevalencia y calidad de las etiquetas.</w:t>
      </w:r>
    </w:p>
    <w:p>
      <w:pPr>
        <w:pStyle w:val="Heading1"/>
      </w:pPr>
      <w:r>
        <w:t>7. CONSTRUCCIÓN DE VARIABLES PREDICTORAS</w:t>
      </w:r>
    </w:p>
    <w:p>
      <w:r>
        <w:t>El diccionario disponible contiene 34 variables descritas con nombre gerencial, interpretación PLAFT y comparación P1/P5. Las familias observadas incluyen montos y conteos transaccionales, ratios, velocidad y concentración, canales, antigüedad, señales PEP y variables de riesgo.</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Pr>
                <w:b/>
                <w:color w:val="FFFFFF"/>
                <w:sz w:val="16"/>
              </w:rPr>
              <w:t>Familia</w:t>
            </w:r>
          </w:p>
        </w:tc>
        <w:tc>
          <w:tcPr>
            <w:tcW w:type="dxa" w:w="7056"/>
            <w:vAlign w:val="center"/>
            <w:shd w:fill="1F4E78"/>
          </w:tcPr>
          <w:p>
            <w:r>
              <w:rPr>
                <w:b/>
                <w:color w:val="FFFFFF"/>
                <w:sz w:val="16"/>
              </w:rPr>
              <w:t>Ejemplos</w:t>
            </w:r>
          </w:p>
        </w:tc>
      </w:tr>
      <w:tr>
        <w:tc>
          <w:tcPr>
            <w:tcW w:type="dxa" w:w="2448"/>
            <w:vAlign w:val="center"/>
          </w:tcPr>
          <w:p>
            <w:r>
              <w:rPr>
                <w:b w:val="0"/>
                <w:sz w:val="16"/>
              </w:rPr>
              <w:t>Montos</w:t>
            </w:r>
          </w:p>
        </w:tc>
        <w:tc>
          <w:tcPr>
            <w:tcW w:type="dxa" w:w="7056"/>
            <w:vAlign w:val="center"/>
          </w:tcPr>
          <w:p>
            <w:r>
              <w:rPr>
                <w:b w:val="0"/>
                <w:sz w:val="16"/>
              </w:rPr>
              <w:t>monto_total_dolares, monto_debitos_soles, monto_efectivo_soles</w:t>
            </w:r>
          </w:p>
        </w:tc>
      </w:tr>
      <w:tr>
        <w:tc>
          <w:tcPr>
            <w:tcW w:type="dxa" w:w="2448"/>
            <w:vAlign w:val="center"/>
          </w:tcPr>
          <w:p>
            <w:r>
              <w:rPr>
                <w:b w:val="0"/>
                <w:sz w:val="16"/>
              </w:rPr>
              <w:t>Conteos</w:t>
            </w:r>
          </w:p>
        </w:tc>
        <w:tc>
          <w:tcPr>
            <w:tcW w:type="dxa" w:w="7056"/>
            <w:vAlign w:val="center"/>
          </w:tcPr>
          <w:p>
            <w:r>
              <w:rPr>
                <w:b w:val="0"/>
                <w:sz w:val="16"/>
              </w:rPr>
              <w:t>n_trx_otros, n_trx_app, n_cuentas_distintas</w:t>
            </w:r>
          </w:p>
        </w:tc>
      </w:tr>
      <w:tr>
        <w:tc>
          <w:tcPr>
            <w:tcW w:type="dxa" w:w="2448"/>
            <w:vAlign w:val="center"/>
          </w:tcPr>
          <w:p>
            <w:r>
              <w:rPr>
                <w:b w:val="0"/>
                <w:sz w:val="16"/>
              </w:rPr>
              <w:t>Ratios y z-scores</w:t>
            </w:r>
          </w:p>
        </w:tc>
        <w:tc>
          <w:tcPr>
            <w:tcW w:type="dxa" w:w="7056"/>
            <w:vAlign w:val="center"/>
          </w:tcPr>
          <w:p>
            <w:r>
              <w:rPr>
                <w:b w:val="0"/>
                <w:sz w:val="16"/>
              </w:rPr>
              <w:t>ratio_debito_credito, fe_zscore_cargos, fe_ratio_salidas_entradas</w:t>
            </w:r>
          </w:p>
        </w:tc>
      </w:tr>
      <w:tr>
        <w:tc>
          <w:tcPr>
            <w:tcW w:type="dxa" w:w="2448"/>
            <w:vAlign w:val="center"/>
          </w:tcPr>
          <w:p>
            <w:r>
              <w:rPr>
                <w:b w:val="0"/>
                <w:sz w:val="16"/>
              </w:rPr>
              <w:t>Temporalidad</w:t>
            </w:r>
          </w:p>
        </w:tc>
        <w:tc>
          <w:tcPr>
            <w:tcW w:type="dxa" w:w="7056"/>
            <w:vAlign w:val="center"/>
          </w:tcPr>
          <w:p>
            <w:r>
              <w:rPr>
                <w:b w:val="0"/>
                <w:sz w:val="16"/>
              </w:rPr>
              <w:t>cnt_trx_cargostot_3m, cnt_trx_abonosefect_12m, num_antiguedad</w:t>
            </w:r>
          </w:p>
        </w:tc>
      </w:tr>
      <w:tr>
        <w:tc>
          <w:tcPr>
            <w:tcW w:type="dxa" w:w="2448"/>
            <w:vAlign w:val="center"/>
          </w:tcPr>
          <w:p>
            <w:r>
              <w:rPr>
                <w:b w:val="0"/>
                <w:sz w:val="16"/>
              </w:rPr>
              <w:t>Riesgo</w:t>
            </w:r>
          </w:p>
        </w:tc>
        <w:tc>
          <w:tcPr>
            <w:tcW w:type="dxa" w:w="7056"/>
            <w:vAlign w:val="center"/>
          </w:tcPr>
          <w:p>
            <w:r>
              <w:rPr>
                <w:b w:val="0"/>
                <w:sz w:val="16"/>
              </w:rPr>
              <w:t>cod_rsg_pep, flg_pep, cod_v13_lugar_op_rsg_12m</w:t>
            </w:r>
          </w:p>
        </w:tc>
      </w:tr>
    </w:tbl>
    <w:p/>
    <w:p>
      <w:pPr>
        <w:pStyle w:val="Heading1"/>
      </w:pPr>
      <w:r>
        <w:t>8. PREPROCESAMIENTO DE DATOS</w:t>
      </w:r>
    </w:p>
    <w:p>
      <w:r>
        <w:t>El preprocesamiento se implementa mediante preprocessing_1.py y los notebooks de desarrollo. Antes de aprobar la versión productiva deben quedar congelados: tratamiento de nulos, tipos, límites de variables, codificación de categóricas, orden de columnas y versión del pipeline. El artefacto de modelo por sí solo no documenta todos esos pasos.</w:t>
      </w:r>
    </w:p>
    <w:p>
      <w:pPr>
        <w:pStyle w:val="Heading1"/>
      </w:pPr>
      <w:r>
        <w:t>9. SELECCIÓN DE VARIABLES</w:t>
      </w:r>
    </w:p>
    <w:p>
      <w:r>
        <w:t>selected_columns.csv contiene 47 registros y el archivo importancia_variables.csv contiene 34 variables con importancia y valor absoluto SHAP. El informe HTML declara 35 variables en el modelo, por lo que estos archivos no pueden tratarse como una única especificación sin reconciliación.</w:t>
      </w:r>
    </w:p>
    <w:tbl>
      <w:tblPr>
        <w:tblStyle w:val="TableGrid"/>
        <w:tblW w:type="auto" w:w="0"/>
        <w:jc w:val="center"/>
        <w:tblLook w:firstColumn="1" w:firstRow="1" w:lastColumn="0" w:lastRow="0" w:noHBand="0" w:noVBand="1" w:val="04A0"/>
      </w:tblPr>
      <w:tblGrid>
        <w:gridCol w:w="3312"/>
        <w:gridCol w:w="3312"/>
        <w:gridCol w:w="3312"/>
      </w:tblGrid>
      <w:tr>
        <w:tc>
          <w:tcPr>
            <w:tcW w:type="dxa" w:w="4608"/>
            <w:vAlign w:val="center"/>
            <w:shd w:fill="1F4E78"/>
          </w:tcPr>
          <w:p>
            <w:r>
              <w:rPr>
                <w:b/>
                <w:color w:val="FFFFFF"/>
                <w:sz w:val="16"/>
              </w:rPr>
              <w:t>Variable</w:t>
            </w:r>
          </w:p>
        </w:tc>
        <w:tc>
          <w:tcPr>
            <w:tcW w:type="dxa" w:w="2160"/>
            <w:vAlign w:val="center"/>
            <w:shd w:fill="1F4E78"/>
          </w:tcPr>
          <w:p>
            <w:r>
              <w:rPr>
                <w:b/>
                <w:color w:val="FFFFFF"/>
                <w:sz w:val="16"/>
              </w:rPr>
              <w:t>Importancia</w:t>
            </w:r>
          </w:p>
        </w:tc>
        <w:tc>
          <w:tcPr>
            <w:tcW w:type="dxa" w:w="2736"/>
            <w:vAlign w:val="center"/>
            <w:shd w:fill="1F4E78"/>
          </w:tcPr>
          <w:p>
            <w:r>
              <w:rPr>
                <w:b/>
                <w:color w:val="FFFFFF"/>
                <w:sz w:val="16"/>
              </w:rPr>
              <w:t>Valor absoluto SHAP</w:t>
            </w:r>
          </w:p>
        </w:tc>
      </w:tr>
      <w:tr>
        <w:tc>
          <w:tcPr>
            <w:tcW w:type="dxa" w:w="4608"/>
            <w:vAlign w:val="center"/>
          </w:tcPr>
          <w:p>
            <w:r>
              <w:rPr>
                <w:b w:val="0"/>
                <w:sz w:val="16"/>
              </w:rPr>
              <w:t>imp_trx_abonostot_3m</w:t>
            </w:r>
          </w:p>
        </w:tc>
        <w:tc>
          <w:tcPr>
            <w:tcW w:type="dxa" w:w="2160"/>
            <w:vAlign w:val="center"/>
          </w:tcPr>
          <w:p>
            <w:r>
              <w:rPr>
                <w:b w:val="0"/>
                <w:sz w:val="16"/>
              </w:rPr>
              <w:t>0.489485</w:t>
            </w:r>
          </w:p>
        </w:tc>
        <w:tc>
          <w:tcPr>
            <w:tcW w:type="dxa" w:w="2736"/>
            <w:vAlign w:val="center"/>
          </w:tcPr>
          <w:p>
            <w:r>
              <w:rPr>
                <w:b w:val="0"/>
                <w:sz w:val="16"/>
              </w:rPr>
              <w:t>-0.258774</w:t>
            </w:r>
          </w:p>
        </w:tc>
      </w:tr>
      <w:tr>
        <w:tc>
          <w:tcPr>
            <w:tcW w:type="dxa" w:w="4608"/>
            <w:vAlign w:val="center"/>
          </w:tcPr>
          <w:p>
            <w:r>
              <w:rPr>
                <w:b w:val="0"/>
                <w:sz w:val="16"/>
              </w:rPr>
              <w:t>imp_trx_abonosefect_12m</w:t>
            </w:r>
          </w:p>
        </w:tc>
        <w:tc>
          <w:tcPr>
            <w:tcW w:type="dxa" w:w="2160"/>
            <w:vAlign w:val="center"/>
          </w:tcPr>
          <w:p>
            <w:r>
              <w:rPr>
                <w:b w:val="0"/>
                <w:sz w:val="16"/>
              </w:rPr>
              <w:t>0.486125</w:t>
            </w:r>
          </w:p>
        </w:tc>
        <w:tc>
          <w:tcPr>
            <w:tcW w:type="dxa" w:w="2736"/>
            <w:vAlign w:val="center"/>
          </w:tcPr>
          <w:p>
            <w:r>
              <w:rPr>
                <w:b w:val="0"/>
                <w:sz w:val="16"/>
              </w:rPr>
              <w:t>-0.292833</w:t>
            </w:r>
          </w:p>
        </w:tc>
      </w:tr>
      <w:tr>
        <w:tc>
          <w:tcPr>
            <w:tcW w:type="dxa" w:w="4608"/>
            <w:vAlign w:val="center"/>
          </w:tcPr>
          <w:p>
            <w:r>
              <w:rPr>
                <w:b w:val="0"/>
                <w:sz w:val="16"/>
              </w:rPr>
              <w:t>fe_zscore_cargos</w:t>
            </w:r>
          </w:p>
        </w:tc>
        <w:tc>
          <w:tcPr>
            <w:tcW w:type="dxa" w:w="2160"/>
            <w:vAlign w:val="center"/>
          </w:tcPr>
          <w:p>
            <w:r>
              <w:rPr>
                <w:b w:val="0"/>
                <w:sz w:val="16"/>
              </w:rPr>
              <w:t>0.387396</w:t>
            </w:r>
          </w:p>
        </w:tc>
        <w:tc>
          <w:tcPr>
            <w:tcW w:type="dxa" w:w="2736"/>
            <w:vAlign w:val="center"/>
          </w:tcPr>
          <w:p>
            <w:r>
              <w:rPr>
                <w:b w:val="0"/>
                <w:sz w:val="16"/>
              </w:rPr>
              <w:t>-0.248142</w:t>
            </w:r>
          </w:p>
        </w:tc>
      </w:tr>
      <w:tr>
        <w:tc>
          <w:tcPr>
            <w:tcW w:type="dxa" w:w="4608"/>
            <w:vAlign w:val="center"/>
          </w:tcPr>
          <w:p>
            <w:r>
              <w:rPr>
                <w:b w:val="0"/>
                <w:sz w:val="16"/>
              </w:rPr>
              <w:t>imp_trx_cargosefe_12m</w:t>
            </w:r>
          </w:p>
        </w:tc>
        <w:tc>
          <w:tcPr>
            <w:tcW w:type="dxa" w:w="2160"/>
            <w:vAlign w:val="center"/>
          </w:tcPr>
          <w:p>
            <w:r>
              <w:rPr>
                <w:b w:val="0"/>
                <w:sz w:val="16"/>
              </w:rPr>
              <w:t>0.361636</w:t>
            </w:r>
          </w:p>
        </w:tc>
        <w:tc>
          <w:tcPr>
            <w:tcW w:type="dxa" w:w="2736"/>
            <w:vAlign w:val="center"/>
          </w:tcPr>
          <w:p>
            <w:r>
              <w:rPr>
                <w:b w:val="0"/>
                <w:sz w:val="16"/>
              </w:rPr>
              <w:t>-0.248499</w:t>
            </w:r>
          </w:p>
        </w:tc>
      </w:tr>
      <w:tr>
        <w:tc>
          <w:tcPr>
            <w:tcW w:type="dxa" w:w="4608"/>
            <w:vAlign w:val="center"/>
          </w:tcPr>
          <w:p>
            <w:r>
              <w:rPr>
                <w:b w:val="0"/>
                <w:sz w:val="16"/>
              </w:rPr>
              <w:t>flg_vrcn_abonos_5m_1m</w:t>
            </w:r>
          </w:p>
        </w:tc>
        <w:tc>
          <w:tcPr>
            <w:tcW w:type="dxa" w:w="2160"/>
            <w:vAlign w:val="center"/>
          </w:tcPr>
          <w:p>
            <w:r>
              <w:rPr>
                <w:b w:val="0"/>
                <w:sz w:val="16"/>
              </w:rPr>
              <w:t>0.286838</w:t>
            </w:r>
          </w:p>
        </w:tc>
        <w:tc>
          <w:tcPr>
            <w:tcW w:type="dxa" w:w="2736"/>
            <w:vAlign w:val="center"/>
          </w:tcPr>
          <w:p>
            <w:r>
              <w:rPr>
                <w:b w:val="0"/>
                <w:sz w:val="16"/>
              </w:rPr>
              <w:t>-0.124244</w:t>
            </w:r>
          </w:p>
        </w:tc>
      </w:tr>
      <w:tr>
        <w:tc>
          <w:tcPr>
            <w:tcW w:type="dxa" w:w="4608"/>
            <w:vAlign w:val="center"/>
          </w:tcPr>
          <w:p>
            <w:r>
              <w:rPr>
                <w:b w:val="0"/>
                <w:sz w:val="16"/>
              </w:rPr>
              <w:t>cnt_trx_cargostot_12m</w:t>
            </w:r>
          </w:p>
        </w:tc>
        <w:tc>
          <w:tcPr>
            <w:tcW w:type="dxa" w:w="2160"/>
            <w:vAlign w:val="center"/>
          </w:tcPr>
          <w:p>
            <w:r>
              <w:rPr>
                <w:b w:val="0"/>
                <w:sz w:val="16"/>
              </w:rPr>
              <w:t>0.268853</w:t>
            </w:r>
          </w:p>
        </w:tc>
        <w:tc>
          <w:tcPr>
            <w:tcW w:type="dxa" w:w="2736"/>
            <w:vAlign w:val="center"/>
          </w:tcPr>
          <w:p>
            <w:r>
              <w:rPr>
                <w:b w:val="0"/>
                <w:sz w:val="16"/>
              </w:rPr>
              <w:t>-0.203887</w:t>
            </w:r>
          </w:p>
        </w:tc>
      </w:tr>
      <w:tr>
        <w:tc>
          <w:tcPr>
            <w:tcW w:type="dxa" w:w="4608"/>
            <w:vAlign w:val="center"/>
          </w:tcPr>
          <w:p>
            <w:r>
              <w:rPr>
                <w:b w:val="0"/>
                <w:sz w:val="16"/>
              </w:rPr>
              <w:t>cnt_dif_abn_crgsefe_6m</w:t>
            </w:r>
          </w:p>
        </w:tc>
        <w:tc>
          <w:tcPr>
            <w:tcW w:type="dxa" w:w="2160"/>
            <w:vAlign w:val="center"/>
          </w:tcPr>
          <w:p>
            <w:r>
              <w:rPr>
                <w:b w:val="0"/>
                <w:sz w:val="16"/>
              </w:rPr>
              <w:t>0.182724</w:t>
            </w:r>
          </w:p>
        </w:tc>
        <w:tc>
          <w:tcPr>
            <w:tcW w:type="dxa" w:w="2736"/>
            <w:vAlign w:val="center"/>
          </w:tcPr>
          <w:p>
            <w:r>
              <w:rPr>
                <w:b w:val="0"/>
                <w:sz w:val="16"/>
              </w:rPr>
              <w:t>0.010413</w:t>
            </w:r>
          </w:p>
        </w:tc>
      </w:tr>
      <w:tr>
        <w:tc>
          <w:tcPr>
            <w:tcW w:type="dxa" w:w="4608"/>
            <w:vAlign w:val="center"/>
          </w:tcPr>
          <w:p>
            <w:r>
              <w:rPr>
                <w:b w:val="0"/>
                <w:sz w:val="16"/>
              </w:rPr>
              <w:t>concentracion_dia_max</w:t>
            </w:r>
          </w:p>
        </w:tc>
        <w:tc>
          <w:tcPr>
            <w:tcW w:type="dxa" w:w="2160"/>
            <w:vAlign w:val="center"/>
          </w:tcPr>
          <w:p>
            <w:r>
              <w:rPr>
                <w:b w:val="0"/>
                <w:sz w:val="16"/>
              </w:rPr>
              <w:t>0.168765</w:t>
            </w:r>
          </w:p>
        </w:tc>
        <w:tc>
          <w:tcPr>
            <w:tcW w:type="dxa" w:w="2736"/>
            <w:vAlign w:val="center"/>
          </w:tcPr>
          <w:p>
            <w:r>
              <w:rPr>
                <w:b w:val="0"/>
                <w:sz w:val="16"/>
              </w:rPr>
              <w:t>-0.145121</w:t>
            </w:r>
          </w:p>
        </w:tc>
      </w:tr>
      <w:tr>
        <w:tc>
          <w:tcPr>
            <w:tcW w:type="dxa" w:w="4608"/>
            <w:vAlign w:val="center"/>
          </w:tcPr>
          <w:p>
            <w:r>
              <w:rPr>
                <w:b w:val="0"/>
                <w:sz w:val="16"/>
              </w:rPr>
              <w:t>fe_velocidad_rotacion</w:t>
            </w:r>
          </w:p>
        </w:tc>
        <w:tc>
          <w:tcPr>
            <w:tcW w:type="dxa" w:w="2160"/>
            <w:vAlign w:val="center"/>
          </w:tcPr>
          <w:p>
            <w:r>
              <w:rPr>
                <w:b w:val="0"/>
                <w:sz w:val="16"/>
              </w:rPr>
              <w:t>0.156687</w:t>
            </w:r>
          </w:p>
        </w:tc>
        <w:tc>
          <w:tcPr>
            <w:tcW w:type="dxa" w:w="2736"/>
            <w:vAlign w:val="center"/>
          </w:tcPr>
          <w:p>
            <w:r>
              <w:rPr>
                <w:b w:val="0"/>
                <w:sz w:val="16"/>
              </w:rPr>
              <w:t>0.002961</w:t>
            </w:r>
          </w:p>
        </w:tc>
      </w:tr>
      <w:tr>
        <w:tc>
          <w:tcPr>
            <w:tcW w:type="dxa" w:w="4608"/>
            <w:vAlign w:val="center"/>
          </w:tcPr>
          <w:p>
            <w:r>
              <w:rPr>
                <w:b w:val="0"/>
                <w:sz w:val="16"/>
              </w:rPr>
              <w:t>cnt_trx_abonostot_12m</w:t>
            </w:r>
          </w:p>
        </w:tc>
        <w:tc>
          <w:tcPr>
            <w:tcW w:type="dxa" w:w="2160"/>
            <w:vAlign w:val="center"/>
          </w:tcPr>
          <w:p>
            <w:r>
              <w:rPr>
                <w:b w:val="0"/>
                <w:sz w:val="16"/>
              </w:rPr>
              <w:t>0.155460</w:t>
            </w:r>
          </w:p>
        </w:tc>
        <w:tc>
          <w:tcPr>
            <w:tcW w:type="dxa" w:w="2736"/>
            <w:vAlign w:val="center"/>
          </w:tcPr>
          <w:p>
            <w:r>
              <w:rPr>
                <w:b w:val="0"/>
                <w:sz w:val="16"/>
              </w:rPr>
              <w:t>-0.107618</w:t>
            </w:r>
          </w:p>
        </w:tc>
      </w:tr>
      <w:tr>
        <w:tc>
          <w:tcPr>
            <w:tcW w:type="dxa" w:w="4608"/>
            <w:vAlign w:val="center"/>
          </w:tcPr>
          <w:p>
            <w:r>
              <w:rPr>
                <w:b w:val="0"/>
                <w:sz w:val="16"/>
              </w:rPr>
              <w:t>ratio_debito_credito</w:t>
            </w:r>
          </w:p>
        </w:tc>
        <w:tc>
          <w:tcPr>
            <w:tcW w:type="dxa" w:w="2160"/>
            <w:vAlign w:val="center"/>
          </w:tcPr>
          <w:p>
            <w:r>
              <w:rPr>
                <w:b w:val="0"/>
                <w:sz w:val="16"/>
              </w:rPr>
              <w:t>0.136850</w:t>
            </w:r>
          </w:p>
        </w:tc>
        <w:tc>
          <w:tcPr>
            <w:tcW w:type="dxa" w:w="2736"/>
            <w:vAlign w:val="center"/>
          </w:tcPr>
          <w:p>
            <w:r>
              <w:rPr>
                <w:b w:val="0"/>
                <w:sz w:val="16"/>
              </w:rPr>
              <w:t>-0.012735</w:t>
            </w:r>
          </w:p>
        </w:tc>
      </w:tr>
      <w:tr>
        <w:tc>
          <w:tcPr>
            <w:tcW w:type="dxa" w:w="4608"/>
            <w:vAlign w:val="center"/>
          </w:tcPr>
          <w:p>
            <w:r>
              <w:rPr>
                <w:b w:val="0"/>
                <w:sz w:val="16"/>
              </w:rPr>
              <w:t>n_trx_mismo_cliente</w:t>
            </w:r>
          </w:p>
        </w:tc>
        <w:tc>
          <w:tcPr>
            <w:tcW w:type="dxa" w:w="2160"/>
            <w:vAlign w:val="center"/>
          </w:tcPr>
          <w:p>
            <w:r>
              <w:rPr>
                <w:b w:val="0"/>
                <w:sz w:val="16"/>
              </w:rPr>
              <w:t>0.126510</w:t>
            </w:r>
          </w:p>
        </w:tc>
        <w:tc>
          <w:tcPr>
            <w:tcW w:type="dxa" w:w="2736"/>
            <w:vAlign w:val="center"/>
          </w:tcPr>
          <w:p>
            <w:r>
              <w:rPr>
                <w:b w:val="0"/>
                <w:sz w:val="16"/>
              </w:rPr>
              <w:t>-0.085490</w:t>
            </w:r>
          </w:p>
        </w:tc>
      </w:tr>
    </w:tbl>
    <w:p/>
    <w:p>
      <w:r>
        <w:t>Regla de control: la lista final de variables debe extraerse del mismo commit o ejecución que produjo el artefacto xgboost-model. Hasta completar ese control, este documento presenta la importancia como evidencia descriptiva y no como contrato productivo.</w:t>
      </w:r>
    </w:p>
    <w:p>
      <w:pPr>
        <w:pStyle w:val="Heading1"/>
      </w:pPr>
      <w:r>
        <w:t>10. DESARROLLO DEL MODELO</w:t>
      </w:r>
    </w:p>
    <w:p>
      <w:r>
        <w:t>El modelo localizado es un XGBoost serializado. La carpeta contiene versiones de notebooks con y sin sufijo de estación de trabajo, por lo que la ejecución aprobada debe identificarse mediante fecha, hash del código, parámetros, semilla, volumen y artefacto resultante.</w:t>
      </w:r>
    </w:p>
    <w:p>
      <w:r>
        <w:t>El score se utiliza para ordenar clientes de mayor a menor prioridad. No se documenta una probabilidad calibrada; por ello, el score debe interpretarse como ranking relativo salvo que una calibración independiente sea aprobada.</w:t>
      </w:r>
    </w:p>
    <w:p>
      <w:pPr>
        <w:pStyle w:val="Heading1"/>
      </w:pPr>
      <w:r>
        <w:t>11. OPTIMIZACIÓN DE HIPERPARÁMETROS</w:t>
      </w:r>
    </w:p>
    <w:p>
      <w:r>
        <w:t>El nombre del modelo reportado incluye hpo, lo que indica una búsqueda de hiperparámetros. No se encontró en la carpeta una tabla consolidada de búsqueda con espacio de parámetros, criterio de selección y resultado por configuración. Esa evidencia debe anexarse para cerrar la trazabilidad del entrenamiento.</w:t>
      </w:r>
    </w:p>
    <w:p>
      <w:pPr>
        <w:pStyle w:val="Heading1"/>
      </w:pPr>
      <w:r>
        <w:t>12. CALIBRACIÓN DEL MODELO</w:t>
      </w:r>
    </w:p>
    <w:p>
      <w:r>
        <w:t>No se encontró evidencia suficiente para afirmar que el score esté calibrado como probabilidad de evento. La interpretación aprobada en esta versión es ordinal: un score mayor implica mayor prioridad relativa dentro de la población evaluada.</w:t>
      </w:r>
    </w:p>
    <w:p>
      <w:pPr>
        <w:pStyle w:val="Heading1"/>
      </w:pPr>
      <w:r>
        <w:t>13. EVALUACIÓN DEL MODELO</w:t>
      </w:r>
    </w:p>
    <w:p>
      <w:r>
        <w:t>El informe HTML reporta 13,182,690 clientes, cinco quintiles con cortes fijados en 202508 y un score mediano de 0.0670 en P1 frente a 0.0030 en P5. Estos resultados muestran separación de perfiles en la muestra de perfilamiento; no equivalen por sí solos a AUC, Gini, KS, precisión, recall o lift.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b/>
                <w:color w:val="FFFFFF"/>
                <w:sz w:val="16"/>
              </w:rPr>
              <w:t>Indicador reportado</w:t>
            </w:r>
          </w:p>
        </w:tc>
        <w:tc>
          <w:tcPr>
            <w:tcW w:type="dxa" w:w="2016"/>
            <w:vAlign w:val="center"/>
            <w:shd w:fill="1F4E78"/>
          </w:tcPr>
          <w:p>
            <w:r>
              <w:rPr>
                <w:b/>
                <w:color w:val="FFFFFF"/>
                <w:sz w:val="16"/>
              </w:rPr>
              <w:t>Valor</w:t>
            </w:r>
          </w:p>
        </w:tc>
        <w:tc>
          <w:tcPr>
            <w:tcW w:type="dxa" w:w="4176"/>
            <w:vAlign w:val="center"/>
            <w:shd w:fill="1F4E78"/>
          </w:tcPr>
          <w:p>
            <w:r>
              <w:rPr>
                <w:b/>
                <w:color w:val="FFFFFF"/>
                <w:sz w:val="16"/>
              </w:rPr>
              <w:t>Interpretación</w:t>
            </w:r>
          </w:p>
        </w:tc>
      </w:tr>
      <w:tr>
        <w:tc>
          <w:tcPr>
            <w:tcW w:type="dxa" w:w="3312"/>
            <w:vAlign w:val="center"/>
          </w:tcPr>
          <w:p>
            <w:r>
              <w:rPr>
                <w:b w:val="0"/>
                <w:sz w:val="16"/>
              </w:rPr>
              <w:t>Clientes perfilados</w:t>
            </w:r>
          </w:p>
        </w:tc>
        <w:tc>
          <w:tcPr>
            <w:tcW w:type="dxa" w:w="2016"/>
            <w:vAlign w:val="center"/>
          </w:tcPr>
          <w:p>
            <w:r>
              <w:rPr>
                <w:b w:val="0"/>
                <w:sz w:val="16"/>
              </w:rPr>
              <w:t>13,182,690</w:t>
            </w:r>
          </w:p>
        </w:tc>
        <w:tc>
          <w:tcPr>
            <w:tcW w:type="dxa" w:w="4176"/>
            <w:vAlign w:val="center"/>
          </w:tcPr>
          <w:p>
            <w:r>
              <w:rPr>
                <w:b w:val="0"/>
                <w:sz w:val="16"/>
              </w:rPr>
              <w:t>Volumen de la muestra reportada</w:t>
            </w:r>
          </w:p>
        </w:tc>
      </w:tr>
      <w:tr>
        <w:tc>
          <w:tcPr>
            <w:tcW w:type="dxa" w:w="3312"/>
            <w:vAlign w:val="center"/>
          </w:tcPr>
          <w:p>
            <w:r>
              <w:rPr>
                <w:b w:val="0"/>
                <w:sz w:val="16"/>
              </w:rPr>
              <w:t>Variables del modelo</w:t>
            </w:r>
          </w:p>
        </w:tc>
        <w:tc>
          <w:tcPr>
            <w:tcW w:type="dxa" w:w="2016"/>
            <w:vAlign w:val="center"/>
          </w:tcPr>
          <w:p>
            <w:r>
              <w:rPr>
                <w:b w:val="0"/>
                <w:sz w:val="16"/>
              </w:rPr>
              <w:t>35</w:t>
            </w:r>
          </w:p>
        </w:tc>
        <w:tc>
          <w:tcPr>
            <w:tcW w:type="dxa" w:w="4176"/>
            <w:vAlign w:val="center"/>
          </w:tcPr>
          <w:p>
            <w:r>
              <w:rPr>
                <w:b w:val="0"/>
                <w:sz w:val="16"/>
              </w:rPr>
              <w:t>Declaración del informe HTML; pendiente de reconciliación</w:t>
            </w:r>
          </w:p>
        </w:tc>
      </w:tr>
      <w:tr>
        <w:tc>
          <w:tcPr>
            <w:tcW w:type="dxa" w:w="3312"/>
            <w:vAlign w:val="center"/>
          </w:tcPr>
          <w:p>
            <w:r>
              <w:rPr>
                <w:b w:val="0"/>
                <w:sz w:val="16"/>
              </w:rPr>
              <w:t>Mediana score P1</w:t>
            </w:r>
          </w:p>
        </w:tc>
        <w:tc>
          <w:tcPr>
            <w:tcW w:type="dxa" w:w="2016"/>
            <w:vAlign w:val="center"/>
          </w:tcPr>
          <w:p>
            <w:r>
              <w:rPr>
                <w:b w:val="0"/>
                <w:sz w:val="16"/>
              </w:rPr>
              <w:t>0.0670</w:t>
            </w:r>
          </w:p>
        </w:tc>
        <w:tc>
          <w:tcPr>
            <w:tcW w:type="dxa" w:w="4176"/>
            <w:vAlign w:val="center"/>
          </w:tcPr>
          <w:p>
            <w:r>
              <w:rPr>
                <w:b w:val="0"/>
                <w:sz w:val="16"/>
              </w:rPr>
              <w:t>Quintil de mayor score</w:t>
            </w:r>
          </w:p>
        </w:tc>
      </w:tr>
      <w:tr>
        <w:tc>
          <w:tcPr>
            <w:tcW w:type="dxa" w:w="3312"/>
            <w:vAlign w:val="center"/>
          </w:tcPr>
          <w:p>
            <w:r>
              <w:rPr>
                <w:b w:val="0"/>
                <w:sz w:val="16"/>
              </w:rPr>
              <w:t>Mediana score P5</w:t>
            </w:r>
          </w:p>
        </w:tc>
        <w:tc>
          <w:tcPr>
            <w:tcW w:type="dxa" w:w="2016"/>
            <w:vAlign w:val="center"/>
          </w:tcPr>
          <w:p>
            <w:r>
              <w:rPr>
                <w:b w:val="0"/>
                <w:sz w:val="16"/>
              </w:rPr>
              <w:t>0.0030</w:t>
            </w:r>
          </w:p>
        </w:tc>
        <w:tc>
          <w:tcPr>
            <w:tcW w:type="dxa" w:w="4176"/>
            <w:vAlign w:val="center"/>
          </w:tcPr>
          <w:p>
            <w:r>
              <w:rPr>
                <w:b w:val="0"/>
                <w:sz w:val="16"/>
              </w:rPr>
              <w:t>Quintil de menor score</w:t>
            </w:r>
          </w:p>
        </w:tc>
      </w:tr>
      <w:tr>
        <w:tc>
          <w:tcPr>
            <w:tcW w:type="dxa" w:w="3312"/>
            <w:vAlign w:val="center"/>
          </w:tcPr>
          <w:p>
            <w:r>
              <w:rPr>
                <w:b w:val="0"/>
                <w:sz w:val="16"/>
              </w:rPr>
              <w:t>Cobertura de señales de analista</w:t>
            </w:r>
          </w:p>
        </w:tc>
        <w:tc>
          <w:tcPr>
            <w:tcW w:type="dxa" w:w="2016"/>
            <w:vAlign w:val="center"/>
          </w:tcPr>
          <w:p>
            <w:r>
              <w:rPr>
                <w:b w:val="0"/>
                <w:sz w:val="16"/>
              </w:rPr>
              <w:t>49%</w:t>
            </w:r>
          </w:p>
        </w:tc>
        <w:tc>
          <w:tcPr>
            <w:tcW w:type="dxa" w:w="4176"/>
            <w:vAlign w:val="center"/>
          </w:tcPr>
          <w:p>
            <w:r>
              <w:rPr>
                <w:b w:val="0"/>
                <w:sz w:val="16"/>
              </w:rPr>
              <w:t>Señales observadas cubiertas por variables</w:t>
            </w:r>
          </w:p>
        </w:tc>
      </w:tr>
      <w:tr>
        <w:tc>
          <w:tcPr>
            <w:tcW w:type="dxa" w:w="3312"/>
            <w:vAlign w:val="center"/>
          </w:tcPr>
          <w:p>
            <w:r>
              <w:rPr>
                <w:b w:val="0"/>
                <w:sz w:val="16"/>
              </w:rPr>
              <w:t>Periodo de test</w:t>
            </w:r>
          </w:p>
        </w:tc>
        <w:tc>
          <w:tcPr>
            <w:tcW w:type="dxa" w:w="2016"/>
            <w:vAlign w:val="center"/>
          </w:tcPr>
          <w:p>
            <w:r>
              <w:rPr>
                <w:b w:val="0"/>
                <w:sz w:val="16"/>
              </w:rPr>
              <w:t>202508-202605</w:t>
            </w:r>
          </w:p>
        </w:tc>
        <w:tc>
          <w:tcPr>
            <w:tcW w:type="dxa" w:w="4176"/>
            <w:vAlign w:val="center"/>
          </w:tcPr>
          <w:p>
            <w:r>
              <w:rPr>
                <w:b w:val="0"/>
                <w:sz w:val="16"/>
              </w:rPr>
              <w:t>Declaración del informe HTML</w:t>
            </w:r>
          </w:p>
        </w:tc>
      </w:tr>
    </w:tbl>
    <w:p/>
    <w:p>
      <w:r>
        <w:t>Pendiente de cierre: anexar métricas discriminatorias y operativas por mes, incluyendo denominadores, prevalencia, intervalos o variabilidad y definición del universo operativo.</w:t>
      </w:r>
    </w:p>
    <w:p>
      <w:pPr>
        <w:pStyle w:val="Heading1"/>
      </w:pPr>
      <w:r>
        <w:t>14. INTERPRETABILIDAD</w:t>
      </w:r>
    </w:p>
    <w:p>
      <w:r>
        <w:t>La interpretabilidad se apoya en importancia global, valores SHAP y perfilamiento por quintiles. P1 representa el mayor score y P5 el menor. El diccionario presenta la lectura de 34 variables y sus relaciones P1/P5; debe completarse con la variable adicional que corresponda al modelo de 35 variables declarado en el informe.</w:t>
      </w:r>
    </w:p>
    <w:p>
      <w:r>
        <w:t>El análisis de comentarios de analistas permite contrastar si las señales usadas por los especialistas están representadas por el modelo. Esta evidencia es de apoyo interpretativo y no reemplaza una explicación individual validada para cada cliente.</w:t>
      </w:r>
    </w:p>
    <w:p>
      <w:pPr>
        <w:pStyle w:val="Heading1"/>
      </w:pPr>
      <w:r>
        <w:t>15. CONCLUSIONES</w:t>
      </w:r>
    </w:p>
    <w:p>
      <w:r>
        <w:t>La evidencia disponible permite documentar una versión inicial del Modelo PLAFT PN Masivo como un ranking XGBoost para priorización de revisión. El informe HTML muestra separación entre quintiles, perfiles de score y cobertura parcial de señales de analistas.</w:t>
      </w:r>
    </w:p>
    <w:p>
      <w:r>
        <w:t>Antes de declarar el modelo metodológicamente cerrado deben reconciliarse el listado de 35 variables, el diccionario de 34 variables, selected_columns.csv, importancia_variables.csv y variables_modelo.csv; además, deben anexarse las métricas por mes y la definición formal del target.</w:t>
      </w:r>
    </w:p>
    <w:p>
      <w:pPr>
        <w:pStyle w:val="Heading1"/>
      </w:pPr>
      <w:r>
        <w:t>ANEXO A. DICCIONARIO DE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1F4E78"/>
          </w:tcPr>
          <w:p>
            <w:r>
              <w:rPr>
                <w:b/>
                <w:color w:val="FFFFFF"/>
                <w:sz w:val="16"/>
              </w:rPr>
              <w:t>Variable</w:t>
            </w:r>
          </w:p>
        </w:tc>
        <w:tc>
          <w:tcPr>
            <w:tcW w:type="dxa" w:w="2304"/>
            <w:vAlign w:val="center"/>
            <w:shd w:fill="1F4E78"/>
          </w:tcPr>
          <w:p>
            <w:r>
              <w:rPr>
                <w:b/>
                <w:color w:val="FFFFFF"/>
                <w:sz w:val="16"/>
              </w:rPr>
              <w:t>Nombre gerencial</w:t>
            </w:r>
          </w:p>
        </w:tc>
        <w:tc>
          <w:tcPr>
            <w:tcW w:type="dxa" w:w="3168"/>
            <w:vAlign w:val="center"/>
            <w:shd w:fill="1F4E78"/>
          </w:tcPr>
          <w:p>
            <w:r>
              <w:rPr>
                <w:b/>
                <w:color w:val="FFFFFF"/>
                <w:sz w:val="16"/>
              </w:rPr>
              <w:t>Descripción</w:t>
            </w:r>
          </w:p>
        </w:tc>
        <w:tc>
          <w:tcPr>
            <w:tcW w:type="dxa" w:w="2160"/>
            <w:vAlign w:val="center"/>
            <w:shd w:fill="1F4E78"/>
          </w:tcPr>
          <w:p>
            <w:r>
              <w:rPr>
                <w:b/>
                <w:color w:val="FFFFFF"/>
                <w:sz w:val="16"/>
              </w:rPr>
              <w:t>Interpretación PLAFT</w:t>
            </w:r>
          </w:p>
        </w:tc>
      </w:tr>
      <w:tr>
        <w:tc>
          <w:tcPr>
            <w:tcW w:type="dxa" w:w="2304"/>
            <w:vAlign w:val="center"/>
          </w:tcPr>
          <w:p>
            <w:r>
              <w:rPr>
                <w:b w:val="0"/>
                <w:sz w:val="16"/>
              </w:rPr>
              <w:t>imp_trx_abonostot_3m</w:t>
            </w:r>
          </w:p>
        </w:tc>
        <w:tc>
          <w:tcPr>
            <w:tcW w:type="dxa" w:w="2304"/>
            <w:vAlign w:val="center"/>
          </w:tcPr>
          <w:p>
            <w:r>
              <w:rPr>
                <w:b w:val="0"/>
                <w:sz w:val="16"/>
              </w:rPr>
              <w:t>Monto depósitos totales acumulado (3m)</w:t>
            </w:r>
          </w:p>
        </w:tc>
        <w:tc>
          <w:tcPr>
            <w:tcW w:type="dxa" w:w="3168"/>
            <w:vAlign w:val="center"/>
          </w:tcPr>
          <w:p>
            <w:r>
              <w:rPr>
                <w:b w:val="0"/>
                <w:sz w:val="16"/>
              </w:rPr>
              <w:t>Monto total de depósitos recibidos por el cliente en los últimos 3 meses.</w:t>
            </w:r>
          </w:p>
        </w:tc>
        <w:tc>
          <w:tcPr>
            <w:tcW w:type="dxa" w:w="2160"/>
            <w:vAlign w:val="center"/>
          </w:tcPr>
          <w:p>
            <w:r>
              <w:rPr>
                <w:b w:val="0"/>
                <w:sz w:val="16"/>
              </w:rPr>
              <w:t>Montos elevados pueden reflejar mayor movimiento de fondos entrantes.</w:t>
            </w:r>
          </w:p>
        </w:tc>
      </w:tr>
      <w:tr>
        <w:tc>
          <w:tcPr>
            <w:tcW w:type="dxa" w:w="2304"/>
            <w:vAlign w:val="center"/>
          </w:tcPr>
          <w:p>
            <w:r>
              <w:rPr>
                <w:b w:val="0"/>
                <w:sz w:val="16"/>
              </w:rPr>
              <w:t>imp_trx_abonosefect_12m</w:t>
            </w:r>
          </w:p>
        </w:tc>
        <w:tc>
          <w:tcPr>
            <w:tcW w:type="dxa" w:w="2304"/>
            <w:vAlign w:val="center"/>
          </w:tcPr>
          <w:p>
            <w:r>
              <w:rPr>
                <w:b w:val="0"/>
                <w:sz w:val="16"/>
              </w:rPr>
              <w:t>Monto depósitos en efectivo acumulado (12m)</w:t>
            </w:r>
          </w:p>
        </w:tc>
        <w:tc>
          <w:tcPr>
            <w:tcW w:type="dxa" w:w="3168"/>
            <w:vAlign w:val="center"/>
          </w:tcPr>
          <w:p>
            <w:r>
              <w:rPr>
                <w:b w:val="0"/>
                <w:sz w:val="16"/>
              </w:rPr>
              <w:t>Monto total depositado en efectivo durante los últimos 12 meses.</w:t>
            </w:r>
          </w:p>
        </w:tc>
        <w:tc>
          <w:tcPr>
            <w:tcW w:type="dxa" w:w="2160"/>
            <w:vAlign w:val="center"/>
          </w:tcPr>
          <w:p>
            <w:r>
              <w:rPr>
                <w:b w:val="0"/>
                <w:sz w:val="16"/>
              </w:rPr>
              <w:t>Alta exposición a efectivo puede ser relevante por menor trazabilidad del origen de fondos.</w:t>
            </w:r>
          </w:p>
        </w:tc>
      </w:tr>
      <w:tr>
        <w:tc>
          <w:tcPr>
            <w:tcW w:type="dxa" w:w="2304"/>
            <w:vAlign w:val="center"/>
          </w:tcPr>
          <w:p>
            <w:r>
              <w:rPr>
                <w:b w:val="0"/>
                <w:sz w:val="16"/>
              </w:rPr>
              <w:t>fe_zscore_cargos</w:t>
            </w:r>
          </w:p>
        </w:tc>
        <w:tc>
          <w:tcPr>
            <w:tcW w:type="dxa" w:w="2304"/>
            <w:vAlign w:val="center"/>
          </w:tcPr>
          <w:p>
            <w:r>
              <w:rPr>
                <w:b w:val="0"/>
                <w:sz w:val="16"/>
              </w:rPr>
              <w:t>Anomalía egresos: mes actual vs promedio mensual 6m</w:t>
            </w:r>
          </w:p>
        </w:tc>
        <w:tc>
          <w:tcPr>
            <w:tcW w:type="dxa" w:w="3168"/>
            <w:vAlign w:val="center"/>
          </w:tcPr>
          <w:p>
            <w:r>
              <w:rPr>
                <w:b w:val="0"/>
                <w:sz w:val="16"/>
              </w:rPr>
              <w:t>Compara los egresos del último mes contra el promedio mensual de los últimos 6 meses.</w:t>
            </w:r>
          </w:p>
        </w:tc>
        <w:tc>
          <w:tcPr>
            <w:tcW w:type="dxa" w:w="2160"/>
            <w:vAlign w:val="center"/>
          </w:tcPr>
          <w:p>
            <w:r>
              <w:rPr>
                <w:b w:val="0"/>
                <w:sz w:val="16"/>
              </w:rPr>
              <w:t>Ayuda a detectar aumentos inusuales de salidas de fondos.</w:t>
            </w:r>
          </w:p>
        </w:tc>
      </w:tr>
      <w:tr>
        <w:tc>
          <w:tcPr>
            <w:tcW w:type="dxa" w:w="2304"/>
            <w:vAlign w:val="center"/>
          </w:tcPr>
          <w:p>
            <w:r>
              <w:rPr>
                <w:b w:val="0"/>
                <w:sz w:val="16"/>
              </w:rPr>
              <w:t>imp_trx_cargosefe_12m</w:t>
            </w:r>
          </w:p>
        </w:tc>
        <w:tc>
          <w:tcPr>
            <w:tcW w:type="dxa" w:w="2304"/>
            <w:vAlign w:val="center"/>
          </w:tcPr>
          <w:p>
            <w:r>
              <w:rPr>
                <w:b w:val="0"/>
                <w:sz w:val="16"/>
              </w:rPr>
              <w:t>Monto egresos en efectivo acumulado (12m)</w:t>
            </w:r>
          </w:p>
        </w:tc>
        <w:tc>
          <w:tcPr>
            <w:tcW w:type="dxa" w:w="3168"/>
            <w:vAlign w:val="center"/>
          </w:tcPr>
          <w:p>
            <w:r>
              <w:rPr>
                <w:b w:val="0"/>
                <w:sz w:val="16"/>
              </w:rPr>
              <w:t>Monto total de retiros o cargos en efectivo durante los últimos 12 meses.</w:t>
            </w:r>
          </w:p>
        </w:tc>
        <w:tc>
          <w:tcPr>
            <w:tcW w:type="dxa" w:w="2160"/>
            <w:vAlign w:val="center"/>
          </w:tcPr>
          <w:p>
            <w:r>
              <w:rPr>
                <w:b w:val="0"/>
                <w:sz w:val="16"/>
              </w:rPr>
              <w:t>Egresos elevados en efectivo pueden indicar retiro intensivo de fondos.</w:t>
            </w:r>
          </w:p>
        </w:tc>
      </w:tr>
      <w:tr>
        <w:tc>
          <w:tcPr>
            <w:tcW w:type="dxa" w:w="2304"/>
            <w:vAlign w:val="center"/>
          </w:tcPr>
          <w:p>
            <w:r>
              <w:rPr>
                <w:b w:val="0"/>
                <w:sz w:val="16"/>
              </w:rPr>
              <w:t>flg_vrcn_abonos_5m_1m</w:t>
            </w:r>
          </w:p>
        </w:tc>
        <w:tc>
          <w:tcPr>
            <w:tcW w:type="dxa" w:w="2304"/>
            <w:vAlign w:val="center"/>
          </w:tcPr>
          <w:p>
            <w:r>
              <w:rPr>
                <w:b w:val="0"/>
                <w:sz w:val="16"/>
              </w:rPr>
              <w:t>Flag incremento inusual depósitos: mes actual vs promedio 5m</w:t>
            </w:r>
          </w:p>
        </w:tc>
        <w:tc>
          <w:tcPr>
            <w:tcW w:type="dxa" w:w="3168"/>
            <w:vAlign w:val="center"/>
          </w:tcPr>
          <w:p>
            <w:r>
              <w:rPr>
                <w:b w:val="0"/>
                <w:sz w:val="16"/>
              </w:rPr>
              <w:t>Indica si los depósitos del último mes superan el promedio de los 5 meses anteriores.</w:t>
            </w:r>
          </w:p>
        </w:tc>
        <w:tc>
          <w:tcPr>
            <w:tcW w:type="dxa" w:w="2160"/>
            <w:vAlign w:val="center"/>
          </w:tcPr>
          <w:p>
            <w:r>
              <w:rPr>
                <w:b w:val="0"/>
                <w:sz w:val="16"/>
              </w:rPr>
              <w:t>Señal de cambio abrupto en el comportamiento de ingresos.</w:t>
            </w:r>
          </w:p>
        </w:tc>
      </w:tr>
      <w:tr>
        <w:tc>
          <w:tcPr>
            <w:tcW w:type="dxa" w:w="2304"/>
            <w:vAlign w:val="center"/>
          </w:tcPr>
          <w:p>
            <w:r>
              <w:rPr>
                <w:b w:val="0"/>
                <w:sz w:val="16"/>
              </w:rPr>
              <w:t>cnt_trx_cargostot_12m</w:t>
            </w:r>
          </w:p>
        </w:tc>
        <w:tc>
          <w:tcPr>
            <w:tcW w:type="dxa" w:w="2304"/>
            <w:vAlign w:val="center"/>
          </w:tcPr>
          <w:p>
            <w:r>
              <w:rPr>
                <w:b w:val="0"/>
                <w:sz w:val="16"/>
              </w:rPr>
              <w:t>N° egresos totales acumulado (12m)</w:t>
            </w:r>
          </w:p>
        </w:tc>
        <w:tc>
          <w:tcPr>
            <w:tcW w:type="dxa" w:w="3168"/>
            <w:vAlign w:val="center"/>
          </w:tcPr>
          <w:p>
            <w:r>
              <w:rPr>
                <w:b w:val="0"/>
                <w:sz w:val="16"/>
              </w:rPr>
              <w:t>Cantidad total de operaciones de salida en los últimos 12 meses.</w:t>
            </w:r>
          </w:p>
        </w:tc>
        <w:tc>
          <w:tcPr>
            <w:tcW w:type="dxa" w:w="2160"/>
            <w:vAlign w:val="center"/>
          </w:tcPr>
          <w:p>
            <w:r>
              <w:rPr>
                <w:b w:val="0"/>
                <w:sz w:val="16"/>
              </w:rPr>
              <w:t>Alta frecuencia de egresos puede reflejar actividad transaccional intensa.</w:t>
            </w:r>
          </w:p>
        </w:tc>
      </w:tr>
      <w:tr>
        <w:tc>
          <w:tcPr>
            <w:tcW w:type="dxa" w:w="2304"/>
            <w:vAlign w:val="center"/>
          </w:tcPr>
          <w:p>
            <w:r>
              <w:rPr>
                <w:b w:val="0"/>
                <w:sz w:val="16"/>
              </w:rPr>
              <w:t>cnt_dif_abn_crgsefe_6m</w:t>
            </w:r>
          </w:p>
        </w:tc>
        <w:tc>
          <w:tcPr>
            <w:tcW w:type="dxa" w:w="2304"/>
            <w:vAlign w:val="center"/>
          </w:tcPr>
          <w:p>
            <w:r>
              <w:rPr>
                <w:b w:val="0"/>
                <w:sz w:val="16"/>
              </w:rPr>
              <w:t>Dif. N° operaciones: depósitos menos egresos en efectivo (6m)</w:t>
            </w:r>
          </w:p>
        </w:tc>
        <w:tc>
          <w:tcPr>
            <w:tcW w:type="dxa" w:w="3168"/>
            <w:vAlign w:val="center"/>
          </w:tcPr>
          <w:p>
            <w:r>
              <w:rPr>
                <w:b w:val="0"/>
                <w:sz w:val="16"/>
              </w:rPr>
              <w:t>Diferencia entre cantidad de depósitos y retiros en efectivo en 6 meses.</w:t>
            </w:r>
          </w:p>
        </w:tc>
        <w:tc>
          <w:tcPr>
            <w:tcW w:type="dxa" w:w="2160"/>
            <w:vAlign w:val="center"/>
          </w:tcPr>
          <w:p>
            <w:r>
              <w:rPr>
                <w:b w:val="0"/>
                <w:sz w:val="16"/>
              </w:rPr>
              <w:t>Permite identificar desbalances en el flujo de efectivo.</w:t>
            </w:r>
          </w:p>
        </w:tc>
      </w:tr>
      <w:tr>
        <w:tc>
          <w:tcPr>
            <w:tcW w:type="dxa" w:w="2304"/>
            <w:vAlign w:val="center"/>
          </w:tcPr>
          <w:p>
            <w:r>
              <w:rPr>
                <w:b w:val="0"/>
                <w:sz w:val="16"/>
              </w:rPr>
              <w:t>concentracion_dia_max</w:t>
            </w:r>
          </w:p>
        </w:tc>
        <w:tc>
          <w:tcPr>
            <w:tcW w:type="dxa" w:w="2304"/>
            <w:vAlign w:val="center"/>
          </w:tcPr>
          <w:p>
            <w:r>
              <w:rPr>
                <w:b w:val="0"/>
                <w:sz w:val="16"/>
              </w:rPr>
              <w:t>Concentración día pico: trx del día más activo ÷ total trx del mes</w:t>
            </w:r>
          </w:p>
        </w:tc>
        <w:tc>
          <w:tcPr>
            <w:tcW w:type="dxa" w:w="3168"/>
            <w:vAlign w:val="center"/>
          </w:tcPr>
          <w:p>
            <w:r>
              <w:rPr>
                <w:b w:val="0"/>
                <w:sz w:val="16"/>
              </w:rPr>
              <w:t>Proporción de operaciones realizadas en el día con mayor actividad del mes.</w:t>
            </w:r>
          </w:p>
        </w:tc>
        <w:tc>
          <w:tcPr>
            <w:tcW w:type="dxa" w:w="2160"/>
            <w:vAlign w:val="center"/>
          </w:tcPr>
          <w:p>
            <w:r>
              <w:rPr>
                <w:b w:val="0"/>
                <w:sz w:val="16"/>
              </w:rPr>
              <w:t>Alta concentración puede indicar actividad puntual e inusual.</w:t>
            </w:r>
          </w:p>
        </w:tc>
      </w:tr>
      <w:tr>
        <w:tc>
          <w:tcPr>
            <w:tcW w:type="dxa" w:w="2304"/>
            <w:vAlign w:val="center"/>
          </w:tcPr>
          <w:p>
            <w:r>
              <w:rPr>
                <w:b w:val="0"/>
                <w:sz w:val="16"/>
              </w:rPr>
              <w:t>fe_velocidad_rotacion</w:t>
            </w:r>
          </w:p>
        </w:tc>
        <w:tc>
          <w:tcPr>
            <w:tcW w:type="dxa" w:w="2304"/>
            <w:vAlign w:val="center"/>
          </w:tcPr>
          <w:p>
            <w:r>
              <w:rPr>
                <w:b w:val="0"/>
                <w:sz w:val="16"/>
              </w:rPr>
              <w:t>Velocidad rotación: egresos mes / saldo pasivo promedio</w:t>
            </w:r>
          </w:p>
        </w:tc>
        <w:tc>
          <w:tcPr>
            <w:tcW w:type="dxa" w:w="3168"/>
            <w:vAlign w:val="center"/>
          </w:tcPr>
          <w:p>
            <w:r>
              <w:rPr>
                <w:b w:val="0"/>
                <w:sz w:val="16"/>
              </w:rPr>
              <w:t>Relación entre salidas de fondos y saldo promedio del cliente.</w:t>
            </w:r>
          </w:p>
        </w:tc>
        <w:tc>
          <w:tcPr>
            <w:tcW w:type="dxa" w:w="2160"/>
            <w:vAlign w:val="center"/>
          </w:tcPr>
          <w:p>
            <w:r>
              <w:rPr>
                <w:b w:val="0"/>
                <w:sz w:val="16"/>
              </w:rPr>
              <w:t>Valores altos indican que el cliente mueve rápidamente fondos respecto a su saldo.</w:t>
            </w:r>
          </w:p>
        </w:tc>
      </w:tr>
      <w:tr>
        <w:tc>
          <w:tcPr>
            <w:tcW w:type="dxa" w:w="2304"/>
            <w:vAlign w:val="center"/>
          </w:tcPr>
          <w:p>
            <w:r>
              <w:rPr>
                <w:b w:val="0"/>
                <w:sz w:val="16"/>
              </w:rPr>
              <w:t>cnt_trx_abonostot_12m</w:t>
            </w:r>
          </w:p>
        </w:tc>
        <w:tc>
          <w:tcPr>
            <w:tcW w:type="dxa" w:w="2304"/>
            <w:vAlign w:val="center"/>
          </w:tcPr>
          <w:p>
            <w:r>
              <w:rPr>
                <w:b w:val="0"/>
                <w:sz w:val="16"/>
              </w:rPr>
              <w:t>N° depósitos totales acumulado (12m)</w:t>
            </w:r>
          </w:p>
        </w:tc>
        <w:tc>
          <w:tcPr>
            <w:tcW w:type="dxa" w:w="3168"/>
            <w:vAlign w:val="center"/>
          </w:tcPr>
          <w:p>
            <w:r>
              <w:rPr>
                <w:b w:val="0"/>
                <w:sz w:val="16"/>
              </w:rPr>
              <w:t>Cantidad total de depósitos recibidos en los últimos 12 meses.</w:t>
            </w:r>
          </w:p>
        </w:tc>
        <w:tc>
          <w:tcPr>
            <w:tcW w:type="dxa" w:w="2160"/>
            <w:vAlign w:val="center"/>
          </w:tcPr>
          <w:p>
            <w:r>
              <w:rPr>
                <w:b w:val="0"/>
                <w:sz w:val="16"/>
              </w:rPr>
              <w:t>Alta frecuencia de ingresos puede indicar mayor actividad financiera.</w:t>
            </w:r>
          </w:p>
        </w:tc>
      </w:tr>
      <w:tr>
        <w:tc>
          <w:tcPr>
            <w:tcW w:type="dxa" w:w="2304"/>
            <w:vAlign w:val="center"/>
          </w:tcPr>
          <w:p>
            <w:r>
              <w:rPr>
                <w:b w:val="0"/>
                <w:sz w:val="16"/>
              </w:rPr>
              <w:t>ratio_debito_credito</w:t>
            </w:r>
          </w:p>
        </w:tc>
        <w:tc>
          <w:tcPr>
            <w:tcW w:type="dxa" w:w="2304"/>
            <w:vAlign w:val="center"/>
          </w:tcPr>
          <w:p>
            <w:r>
              <w:rPr>
                <w:b w:val="0"/>
                <w:sz w:val="16"/>
              </w:rPr>
              <w:t>Ratio N° débitos / N° créditos por operaciones (mes actual)</w:t>
            </w:r>
          </w:p>
        </w:tc>
        <w:tc>
          <w:tcPr>
            <w:tcW w:type="dxa" w:w="3168"/>
            <w:vAlign w:val="center"/>
          </w:tcPr>
          <w:p>
            <w:r>
              <w:rPr>
                <w:b w:val="0"/>
                <w:sz w:val="16"/>
              </w:rPr>
              <w:t>Relación entre cantidad de operaciones de salida y entrada.</w:t>
            </w:r>
          </w:p>
        </w:tc>
        <w:tc>
          <w:tcPr>
            <w:tcW w:type="dxa" w:w="2160"/>
            <w:vAlign w:val="center"/>
          </w:tcPr>
          <w:p>
            <w:r>
              <w:rPr>
                <w:b w:val="0"/>
                <w:sz w:val="16"/>
              </w:rPr>
              <w:t>Permite ver si predominan las salidas sobre las entradas.</w:t>
            </w:r>
          </w:p>
        </w:tc>
      </w:tr>
      <w:tr>
        <w:tc>
          <w:tcPr>
            <w:tcW w:type="dxa" w:w="2304"/>
            <w:vAlign w:val="center"/>
          </w:tcPr>
          <w:p>
            <w:r>
              <w:rPr>
                <w:b w:val="0"/>
                <w:sz w:val="16"/>
              </w:rPr>
              <w:t>n_trx_mismo_cliente</w:t>
            </w:r>
          </w:p>
        </w:tc>
        <w:tc>
          <w:tcPr>
            <w:tcW w:type="dxa" w:w="2304"/>
            <w:vAlign w:val="center"/>
          </w:tcPr>
          <w:p>
            <w:r>
              <w:rPr>
                <w:b w:val="0"/>
                <w:sz w:val="16"/>
              </w:rPr>
              <w:t>N° transferencias entre cuentas propias (mes actual)</w:t>
            </w:r>
          </w:p>
        </w:tc>
        <w:tc>
          <w:tcPr>
            <w:tcW w:type="dxa" w:w="3168"/>
            <w:vAlign w:val="center"/>
          </w:tcPr>
          <w:p>
            <w:r>
              <w:rPr>
                <w:b w:val="0"/>
                <w:sz w:val="16"/>
              </w:rPr>
              <w:t>Cantidad de operaciones entre cuentas del mismo cliente.</w:t>
            </w:r>
          </w:p>
        </w:tc>
        <w:tc>
          <w:tcPr>
            <w:tcW w:type="dxa" w:w="2160"/>
            <w:vAlign w:val="center"/>
          </w:tcPr>
          <w:p>
            <w:r>
              <w:rPr>
                <w:b w:val="0"/>
                <w:sz w:val="16"/>
              </w:rPr>
              <w:t>Puede reflejar movimientos internos de fondos o dispersión entre cuentas propias.</w:t>
            </w:r>
          </w:p>
        </w:tc>
      </w:tr>
      <w:tr>
        <w:tc>
          <w:tcPr>
            <w:tcW w:type="dxa" w:w="2304"/>
            <w:vAlign w:val="center"/>
          </w:tcPr>
          <w:p>
            <w:r>
              <w:rPr>
                <w:b w:val="0"/>
                <w:sz w:val="16"/>
              </w:rPr>
              <w:t>num_antiguedad</w:t>
            </w:r>
          </w:p>
        </w:tc>
        <w:tc>
          <w:tcPr>
            <w:tcW w:type="dxa" w:w="2304"/>
            <w:vAlign w:val="center"/>
          </w:tcPr>
          <w:p>
            <w:r>
              <w:rPr>
                <w:b w:val="0"/>
                <w:sz w:val="16"/>
              </w:rPr>
              <w:t>Antigüedad del cliente en meses</w:t>
            </w:r>
          </w:p>
        </w:tc>
        <w:tc>
          <w:tcPr>
            <w:tcW w:type="dxa" w:w="3168"/>
            <w:vAlign w:val="center"/>
          </w:tcPr>
          <w:p>
            <w:r>
              <w:rPr>
                <w:b w:val="0"/>
                <w:sz w:val="16"/>
              </w:rPr>
              <w:t>Tiempo de relación comercial del cliente con el banco.</w:t>
            </w:r>
          </w:p>
        </w:tc>
        <w:tc>
          <w:tcPr>
            <w:tcW w:type="dxa" w:w="2160"/>
            <w:vAlign w:val="center"/>
          </w:tcPr>
          <w:p>
            <w:r>
              <w:rPr>
                <w:b w:val="0"/>
                <w:sz w:val="16"/>
              </w:rPr>
              <w:t>Clientes nuevos con alta actividad pueden requerir mayor atención.</w:t>
            </w:r>
          </w:p>
        </w:tc>
      </w:tr>
      <w:tr>
        <w:tc>
          <w:tcPr>
            <w:tcW w:type="dxa" w:w="2304"/>
            <w:vAlign w:val="center"/>
          </w:tcPr>
          <w:p>
            <w:r>
              <w:rPr>
                <w:b w:val="0"/>
                <w:sz w:val="16"/>
              </w:rPr>
              <w:t>monto_max_soles</w:t>
            </w:r>
          </w:p>
        </w:tc>
        <w:tc>
          <w:tcPr>
            <w:tcW w:type="dxa" w:w="2304"/>
            <w:vAlign w:val="center"/>
          </w:tcPr>
          <w:p>
            <w:r>
              <w:rPr>
                <w:b w:val="0"/>
                <w:sz w:val="16"/>
              </w:rPr>
              <w:t>Monto máximo por transacción en soles (mes actual)</w:t>
            </w:r>
          </w:p>
        </w:tc>
        <w:tc>
          <w:tcPr>
            <w:tcW w:type="dxa" w:w="3168"/>
            <w:vAlign w:val="center"/>
          </w:tcPr>
          <w:p>
            <w:r>
              <w:rPr>
                <w:b w:val="0"/>
                <w:sz w:val="16"/>
              </w:rPr>
              <w:t>Mayor monto individual operado en soles durante el mes.</w:t>
            </w:r>
          </w:p>
        </w:tc>
        <w:tc>
          <w:tcPr>
            <w:tcW w:type="dxa" w:w="2160"/>
            <w:vAlign w:val="center"/>
          </w:tcPr>
          <w:p>
            <w:r>
              <w:rPr>
                <w:b w:val="0"/>
                <w:sz w:val="16"/>
              </w:rPr>
              <w:t>Operaciones individuales elevadas pueden representar eventos relevantes de riesgo.</w:t>
            </w:r>
          </w:p>
        </w:tc>
      </w:tr>
      <w:tr>
        <w:tc>
          <w:tcPr>
            <w:tcW w:type="dxa" w:w="2304"/>
            <w:vAlign w:val="center"/>
          </w:tcPr>
          <w:p>
            <w:r>
              <w:rPr>
                <w:b w:val="0"/>
                <w:sz w:val="16"/>
              </w:rPr>
              <w:t>monto_transferencias_soles</w:t>
            </w:r>
          </w:p>
        </w:tc>
        <w:tc>
          <w:tcPr>
            <w:tcW w:type="dxa" w:w="2304"/>
            <w:vAlign w:val="center"/>
          </w:tcPr>
          <w:p>
            <w:r>
              <w:rPr>
                <w:b w:val="0"/>
                <w:sz w:val="16"/>
              </w:rPr>
              <w:t>Monto total transferencias en soles (mes actual)</w:t>
            </w:r>
          </w:p>
        </w:tc>
        <w:tc>
          <w:tcPr>
            <w:tcW w:type="dxa" w:w="3168"/>
            <w:vAlign w:val="center"/>
          </w:tcPr>
          <w:p>
            <w:r>
              <w:rPr>
                <w:b w:val="0"/>
                <w:sz w:val="16"/>
              </w:rPr>
              <w:t>Monto total transferido en soles por canales como BPI, Yape, Plin, etc.</w:t>
            </w:r>
          </w:p>
        </w:tc>
        <w:tc>
          <w:tcPr>
            <w:tcW w:type="dxa" w:w="2160"/>
            <w:vAlign w:val="center"/>
          </w:tcPr>
          <w:p>
            <w:r>
              <w:rPr>
                <w:b w:val="0"/>
                <w:sz w:val="16"/>
              </w:rPr>
              <w:t>Alto volumen de transferencias puede indicar movilidad intensa de fondos.</w:t>
            </w:r>
          </w:p>
        </w:tc>
      </w:tr>
      <w:tr>
        <w:tc>
          <w:tcPr>
            <w:tcW w:type="dxa" w:w="2304"/>
            <w:vAlign w:val="center"/>
          </w:tcPr>
          <w:p>
            <w:r>
              <w:rPr>
                <w:b w:val="0"/>
                <w:sz w:val="16"/>
              </w:rPr>
              <w:t>rat_trx_mntabnsefetot_6m</w:t>
            </w:r>
          </w:p>
        </w:tc>
        <w:tc>
          <w:tcPr>
            <w:tcW w:type="dxa" w:w="2304"/>
            <w:vAlign w:val="center"/>
          </w:tcPr>
          <w:p>
            <w:r>
              <w:rPr>
                <w:b w:val="0"/>
                <w:sz w:val="16"/>
              </w:rPr>
              <w:t>Proporción monto depósitos en efectivo / total depósitos (6m)</w:t>
            </w:r>
          </w:p>
        </w:tc>
        <w:tc>
          <w:tcPr>
            <w:tcW w:type="dxa" w:w="3168"/>
            <w:vAlign w:val="center"/>
          </w:tcPr>
          <w:p>
            <w:r>
              <w:rPr>
                <w:b w:val="0"/>
                <w:sz w:val="16"/>
              </w:rPr>
              <w:t>Porcentaje de depósitos que corresponden a efectivo sobre el total de depósitos.</w:t>
            </w:r>
          </w:p>
        </w:tc>
        <w:tc>
          <w:tcPr>
            <w:tcW w:type="dxa" w:w="2160"/>
            <w:vAlign w:val="center"/>
          </w:tcPr>
          <w:p>
            <w:r>
              <w:rPr>
                <w:b w:val="0"/>
                <w:sz w:val="16"/>
              </w:rPr>
              <w:t>Mayor proporción de efectivo aumenta el interés PLAFT por trazabilidad limitada.</w:t>
            </w:r>
          </w:p>
        </w:tc>
      </w:tr>
      <w:tr>
        <w:tc>
          <w:tcPr>
            <w:tcW w:type="dxa" w:w="2304"/>
            <w:vAlign w:val="center"/>
          </w:tcPr>
          <w:p>
            <w:r>
              <w:rPr>
                <w:b w:val="0"/>
                <w:sz w:val="16"/>
              </w:rPr>
              <w:t>monto_debitos_soles</w:t>
            </w:r>
          </w:p>
        </w:tc>
        <w:tc>
          <w:tcPr>
            <w:tcW w:type="dxa" w:w="2304"/>
            <w:vAlign w:val="center"/>
          </w:tcPr>
          <w:p>
            <w:r>
              <w:rPr>
                <w:b w:val="0"/>
                <w:sz w:val="16"/>
              </w:rPr>
              <w:t>Monto total egresos en soles (mes actual)</w:t>
            </w:r>
          </w:p>
        </w:tc>
        <w:tc>
          <w:tcPr>
            <w:tcW w:type="dxa" w:w="3168"/>
            <w:vAlign w:val="center"/>
          </w:tcPr>
          <w:p>
            <w:r>
              <w:rPr>
                <w:b w:val="0"/>
                <w:sz w:val="16"/>
              </w:rPr>
              <w:t>Monto total de salidas de fondos en soles durante el mes.</w:t>
            </w:r>
          </w:p>
        </w:tc>
        <w:tc>
          <w:tcPr>
            <w:tcW w:type="dxa" w:w="2160"/>
            <w:vAlign w:val="center"/>
          </w:tcPr>
          <w:p>
            <w:r>
              <w:rPr>
                <w:b w:val="0"/>
                <w:sz w:val="16"/>
              </w:rPr>
              <w:t>Salidas elevadas pueden indicar alta rotación o dispersión de fondos.</w:t>
            </w:r>
          </w:p>
        </w:tc>
      </w:tr>
      <w:tr>
        <w:tc>
          <w:tcPr>
            <w:tcW w:type="dxa" w:w="2304"/>
            <w:vAlign w:val="center"/>
          </w:tcPr>
          <w:p>
            <w:r>
              <w:rPr>
                <w:b w:val="0"/>
                <w:sz w:val="16"/>
              </w:rPr>
              <w:t>n_trx_pagos</w:t>
            </w:r>
          </w:p>
        </w:tc>
        <w:tc>
          <w:tcPr>
            <w:tcW w:type="dxa" w:w="2304"/>
            <w:vAlign w:val="center"/>
          </w:tcPr>
          <w:p>
            <w:r>
              <w:rPr>
                <w:b w:val="0"/>
                <w:sz w:val="16"/>
              </w:rPr>
              <w:t>N° pagos realizados (mes actual)</w:t>
            </w:r>
          </w:p>
        </w:tc>
        <w:tc>
          <w:tcPr>
            <w:tcW w:type="dxa" w:w="3168"/>
            <w:vAlign w:val="center"/>
          </w:tcPr>
          <w:p>
            <w:r>
              <w:rPr>
                <w:b w:val="0"/>
                <w:sz w:val="16"/>
              </w:rPr>
              <w:t>Cantidad de operaciones clasificadas como pagos.</w:t>
            </w:r>
          </w:p>
        </w:tc>
        <w:tc>
          <w:tcPr>
            <w:tcW w:type="dxa" w:w="2160"/>
            <w:vAlign w:val="center"/>
          </w:tcPr>
          <w:p>
            <w:r>
              <w:rPr>
                <w:b w:val="0"/>
                <w:sz w:val="16"/>
              </w:rPr>
              <w:t>Ayuda a caracterizar el patrón operativo del cliente.</w:t>
            </w:r>
          </w:p>
        </w:tc>
      </w:tr>
      <w:tr>
        <w:tc>
          <w:tcPr>
            <w:tcW w:type="dxa" w:w="2304"/>
            <w:vAlign w:val="center"/>
          </w:tcPr>
          <w:p>
            <w:r>
              <w:rPr>
                <w:b w:val="0"/>
                <w:sz w:val="16"/>
              </w:rPr>
              <w:t>fe_ratio_salidas_entradas</w:t>
            </w:r>
          </w:p>
        </w:tc>
        <w:tc>
          <w:tcPr>
            <w:tcW w:type="dxa" w:w="2304"/>
            <w:vAlign w:val="center"/>
          </w:tcPr>
          <w:p>
            <w:r>
              <w:rPr>
                <w:b w:val="0"/>
                <w:sz w:val="16"/>
              </w:rPr>
              <w:t>Ratio salidas/entradas: egresos ÷ ingresos en soles (mes actual)</w:t>
            </w:r>
          </w:p>
        </w:tc>
        <w:tc>
          <w:tcPr>
            <w:tcW w:type="dxa" w:w="3168"/>
            <w:vAlign w:val="center"/>
          </w:tcPr>
          <w:p>
            <w:r>
              <w:rPr>
                <w:b w:val="0"/>
                <w:sz w:val="16"/>
              </w:rPr>
              <w:t>Compara el monto debitado contra el monto acreditado.</w:t>
            </w:r>
          </w:p>
        </w:tc>
        <w:tc>
          <w:tcPr>
            <w:tcW w:type="dxa" w:w="2160"/>
            <w:vAlign w:val="center"/>
          </w:tcPr>
          <w:p>
            <w:r>
              <w:rPr>
                <w:b w:val="0"/>
                <w:sz w:val="16"/>
              </w:rPr>
              <w:t>Valores altos reflejan mayor salida de fondos respecto a entradas.</w:t>
            </w:r>
          </w:p>
        </w:tc>
      </w:tr>
      <w:tr>
        <w:tc>
          <w:tcPr>
            <w:tcW w:type="dxa" w:w="2304"/>
            <w:vAlign w:val="center"/>
          </w:tcPr>
          <w:p>
            <w:r>
              <w:rPr>
                <w:b w:val="0"/>
                <w:sz w:val="16"/>
              </w:rPr>
              <w:t>td_avg_monto_1h</w:t>
            </w:r>
          </w:p>
        </w:tc>
        <w:tc>
          <w:tcPr>
            <w:tcW w:type="dxa" w:w="2304"/>
            <w:vAlign w:val="center"/>
          </w:tcPr>
          <w:p>
            <w:r>
              <w:rPr>
                <w:b w:val="0"/>
                <w:sz w:val="16"/>
              </w:rPr>
              <w:t>Monto acumulado TD en ventana de 1 hora (promedio)</w:t>
            </w:r>
          </w:p>
        </w:tc>
        <w:tc>
          <w:tcPr>
            <w:tcW w:type="dxa" w:w="3168"/>
            <w:vAlign w:val="center"/>
          </w:tcPr>
          <w:p>
            <w:r>
              <w:rPr>
                <w:b w:val="0"/>
                <w:sz w:val="16"/>
              </w:rPr>
              <w:t>Promedio del monto acumulado en tarjeta de débito dentro de ventanas móviles de una hora.</w:t>
            </w:r>
          </w:p>
        </w:tc>
        <w:tc>
          <w:tcPr>
            <w:tcW w:type="dxa" w:w="2160"/>
            <w:vAlign w:val="center"/>
          </w:tcPr>
          <w:p>
            <w:r>
              <w:rPr>
                <w:b w:val="0"/>
                <w:sz w:val="16"/>
              </w:rPr>
              <w:t>Detecta ráfagas de consumo o concentración de operaciones en corto tiempo.</w:t>
            </w:r>
          </w:p>
        </w:tc>
      </w:tr>
      <w:tr>
        <w:tc>
          <w:tcPr>
            <w:tcW w:type="dxa" w:w="2304"/>
            <w:vAlign w:val="center"/>
          </w:tcPr>
          <w:p>
            <w:r>
              <w:rPr>
                <w:b w:val="0"/>
                <w:sz w:val="16"/>
              </w:rPr>
              <w:t>monto_total_dolares</w:t>
            </w:r>
          </w:p>
        </w:tc>
        <w:tc>
          <w:tcPr>
            <w:tcW w:type="dxa" w:w="2304"/>
            <w:vAlign w:val="center"/>
          </w:tcPr>
          <w:p>
            <w:r>
              <w:rPr>
                <w:b w:val="0"/>
                <w:sz w:val="16"/>
              </w:rPr>
              <w:t>Monto total en dólares (mes actual)</w:t>
            </w:r>
          </w:p>
        </w:tc>
        <w:tc>
          <w:tcPr>
            <w:tcW w:type="dxa" w:w="3168"/>
            <w:vAlign w:val="center"/>
          </w:tcPr>
          <w:p>
            <w:r>
              <w:rPr>
                <w:b w:val="0"/>
                <w:sz w:val="16"/>
              </w:rPr>
              <w:t>Monto total transado en dólares durante el mes.</w:t>
            </w:r>
          </w:p>
        </w:tc>
        <w:tc>
          <w:tcPr>
            <w:tcW w:type="dxa" w:w="2160"/>
            <w:vAlign w:val="center"/>
          </w:tcPr>
          <w:p>
            <w:r>
              <w:rPr>
                <w:b w:val="0"/>
                <w:sz w:val="16"/>
              </w:rPr>
              <w:t>Operatoria en moneda extranjera puede ser relevante según perfil esperado.</w:t>
            </w:r>
          </w:p>
        </w:tc>
      </w:tr>
      <w:tr>
        <w:tc>
          <w:tcPr>
            <w:tcW w:type="dxa" w:w="2304"/>
            <w:vAlign w:val="center"/>
          </w:tcPr>
          <w:p>
            <w:r>
              <w:rPr>
                <w:b w:val="0"/>
                <w:sz w:val="16"/>
              </w:rPr>
              <w:t>mto_dif_abn_crgsefe_6m</w:t>
            </w:r>
          </w:p>
        </w:tc>
        <w:tc>
          <w:tcPr>
            <w:tcW w:type="dxa" w:w="2304"/>
            <w:vAlign w:val="center"/>
          </w:tcPr>
          <w:p>
            <w:r>
              <w:rPr>
                <w:b w:val="0"/>
                <w:sz w:val="16"/>
              </w:rPr>
              <w:t>Dif. montos: depósitos menos egresos en efectivo (6m)</w:t>
            </w:r>
          </w:p>
        </w:tc>
        <w:tc>
          <w:tcPr>
            <w:tcW w:type="dxa" w:w="3168"/>
            <w:vAlign w:val="center"/>
          </w:tcPr>
          <w:p>
            <w:r>
              <w:rPr>
                <w:b w:val="0"/>
                <w:sz w:val="16"/>
              </w:rPr>
              <w:t>Diferencia entre monto depositado y retirado en efectivo en 6 meses.</w:t>
            </w:r>
          </w:p>
        </w:tc>
        <w:tc>
          <w:tcPr>
            <w:tcW w:type="dxa" w:w="2160"/>
            <w:vAlign w:val="center"/>
          </w:tcPr>
          <w:p>
            <w:r>
              <w:rPr>
                <w:b w:val="0"/>
                <w:sz w:val="16"/>
              </w:rPr>
              <w:t>Permite identificar acumulación o salida neta de efectivo.</w:t>
            </w:r>
          </w:p>
        </w:tc>
      </w:tr>
      <w:tr>
        <w:tc>
          <w:tcPr>
            <w:tcW w:type="dxa" w:w="2304"/>
            <w:vAlign w:val="center"/>
          </w:tcPr>
          <w:p>
            <w:r>
              <w:rPr>
                <w:b w:val="0"/>
                <w:sz w:val="16"/>
              </w:rPr>
              <w:t>cnt_trx_abonosefect_12m</w:t>
            </w:r>
          </w:p>
        </w:tc>
        <w:tc>
          <w:tcPr>
            <w:tcW w:type="dxa" w:w="2304"/>
            <w:vAlign w:val="center"/>
          </w:tcPr>
          <w:p>
            <w:r>
              <w:rPr>
                <w:b w:val="0"/>
                <w:sz w:val="16"/>
              </w:rPr>
              <w:t>N° depósitos en efectivo acumulado (12m)</w:t>
            </w:r>
          </w:p>
        </w:tc>
        <w:tc>
          <w:tcPr>
            <w:tcW w:type="dxa" w:w="3168"/>
            <w:vAlign w:val="center"/>
          </w:tcPr>
          <w:p>
            <w:r>
              <w:rPr>
                <w:b w:val="0"/>
                <w:sz w:val="16"/>
              </w:rPr>
              <w:t>Cantidad de depósitos en efectivo en los últimos 12 meses.</w:t>
            </w:r>
          </w:p>
        </w:tc>
        <w:tc>
          <w:tcPr>
            <w:tcW w:type="dxa" w:w="2160"/>
            <w:vAlign w:val="center"/>
          </w:tcPr>
          <w:p>
            <w:r>
              <w:rPr>
                <w:b w:val="0"/>
                <w:sz w:val="16"/>
              </w:rPr>
              <w:t>Alta frecuencia de depósitos en efectivo puede ser señal de estructuración o uso intensivo de efectivo.</w:t>
            </w:r>
          </w:p>
        </w:tc>
      </w:tr>
      <w:tr>
        <w:tc>
          <w:tcPr>
            <w:tcW w:type="dxa" w:w="2304"/>
            <w:vAlign w:val="center"/>
          </w:tcPr>
          <w:p>
            <w:r>
              <w:rPr>
                <w:b w:val="0"/>
                <w:sz w:val="16"/>
              </w:rPr>
              <w:t>n_canales_distintos</w:t>
            </w:r>
          </w:p>
        </w:tc>
        <w:tc>
          <w:tcPr>
            <w:tcW w:type="dxa" w:w="2304"/>
            <w:vAlign w:val="center"/>
          </w:tcPr>
          <w:p>
            <w:r>
              <w:rPr>
                <w:b w:val="0"/>
                <w:sz w:val="16"/>
              </w:rPr>
              <w:t>N° canales distintos usados (mes actual)</w:t>
            </w:r>
          </w:p>
        </w:tc>
        <w:tc>
          <w:tcPr>
            <w:tcW w:type="dxa" w:w="3168"/>
            <w:vAlign w:val="center"/>
          </w:tcPr>
          <w:p>
            <w:r>
              <w:rPr>
                <w:b w:val="0"/>
                <w:sz w:val="16"/>
              </w:rPr>
              <w:t>Cantidad de canales diferentes utilizados por el cliente.</w:t>
            </w:r>
          </w:p>
        </w:tc>
        <w:tc>
          <w:tcPr>
            <w:tcW w:type="dxa" w:w="2160"/>
            <w:vAlign w:val="center"/>
          </w:tcPr>
          <w:p>
            <w:r>
              <w:rPr>
                <w:b w:val="0"/>
                <w:sz w:val="16"/>
              </w:rPr>
              <w:t>Mayor diversidad de canales puede reflejar comportamiento transaccional más complejo.</w:t>
            </w:r>
          </w:p>
        </w:tc>
      </w:tr>
      <w:tr>
        <w:tc>
          <w:tcPr>
            <w:tcW w:type="dxa" w:w="2304"/>
            <w:vAlign w:val="center"/>
          </w:tcPr>
          <w:p>
            <w:r>
              <w:rPr>
                <w:b w:val="0"/>
                <w:sz w:val="16"/>
              </w:rPr>
              <w:t>fe_ratio_efectivo_vs_total</w:t>
            </w:r>
          </w:p>
        </w:tc>
        <w:tc>
          <w:tcPr>
            <w:tcW w:type="dxa" w:w="2304"/>
            <w:vAlign w:val="center"/>
          </w:tcPr>
          <w:p>
            <w:r>
              <w:rPr>
                <w:b w:val="0"/>
                <w:sz w:val="16"/>
              </w:rPr>
              <w:t>Proporción efectivo / total transacciones en soles (mes actual)</w:t>
            </w:r>
          </w:p>
        </w:tc>
        <w:tc>
          <w:tcPr>
            <w:tcW w:type="dxa" w:w="3168"/>
            <w:vAlign w:val="center"/>
          </w:tcPr>
          <w:p>
            <w:r>
              <w:rPr>
                <w:b w:val="0"/>
                <w:sz w:val="16"/>
              </w:rPr>
              <w:t>Relación entre monto en efectivo y monto total transado en soles.</w:t>
            </w:r>
          </w:p>
        </w:tc>
        <w:tc>
          <w:tcPr>
            <w:tcW w:type="dxa" w:w="2160"/>
            <w:vAlign w:val="center"/>
          </w:tcPr>
          <w:p>
            <w:r>
              <w:rPr>
                <w:b w:val="0"/>
                <w:sz w:val="16"/>
              </w:rPr>
              <w:t>Mide dependencia del efectivo dentro de la operatoria total.</w:t>
            </w:r>
          </w:p>
        </w:tc>
      </w:tr>
      <w:tr>
        <w:tc>
          <w:tcPr>
            <w:tcW w:type="dxa" w:w="2304"/>
            <w:vAlign w:val="center"/>
          </w:tcPr>
          <w:p>
            <w:r>
              <w:rPr>
                <w:b w:val="0"/>
                <w:sz w:val="16"/>
              </w:rPr>
              <w:t>n_trx_otros</w:t>
            </w:r>
          </w:p>
        </w:tc>
        <w:tc>
          <w:tcPr>
            <w:tcW w:type="dxa" w:w="2304"/>
            <w:vAlign w:val="center"/>
          </w:tcPr>
          <w:p>
            <w:r>
              <w:rPr>
                <w:b w:val="0"/>
                <w:sz w:val="16"/>
              </w:rPr>
              <w:t>N° transacciones diversas (mes actual)</w:t>
            </w:r>
          </w:p>
        </w:tc>
        <w:tc>
          <w:tcPr>
            <w:tcW w:type="dxa" w:w="3168"/>
            <w:vAlign w:val="center"/>
          </w:tcPr>
          <w:p>
            <w:r>
              <w:rPr>
                <w:b w:val="0"/>
                <w:sz w:val="16"/>
              </w:rPr>
              <w:t>Cantidad de operaciones clasificadas como “otros”.</w:t>
            </w:r>
          </w:p>
        </w:tc>
        <w:tc>
          <w:tcPr>
            <w:tcW w:type="dxa" w:w="2160"/>
            <w:vAlign w:val="center"/>
          </w:tcPr>
          <w:p>
            <w:r>
              <w:rPr>
                <w:b w:val="0"/>
                <w:sz w:val="16"/>
              </w:rPr>
              <w:t>Puede capturar actividad no tradicional o difícil de categorizar.</w:t>
            </w:r>
          </w:p>
        </w:tc>
      </w:tr>
      <w:tr>
        <w:tc>
          <w:tcPr>
            <w:tcW w:type="dxa" w:w="2304"/>
            <w:vAlign w:val="center"/>
          </w:tcPr>
          <w:p>
            <w:r>
              <w:rPr>
                <w:b w:val="0"/>
                <w:sz w:val="16"/>
              </w:rPr>
              <w:t>tc_total_monto_mes</w:t>
            </w:r>
          </w:p>
        </w:tc>
        <w:tc>
          <w:tcPr>
            <w:tcW w:type="dxa" w:w="2304"/>
            <w:vAlign w:val="center"/>
          </w:tcPr>
          <w:p>
            <w:r>
              <w:rPr>
                <w:b w:val="0"/>
                <w:sz w:val="16"/>
              </w:rPr>
              <w:t>Monto total tarjeta crédito (mes actual)</w:t>
            </w:r>
          </w:p>
        </w:tc>
        <w:tc>
          <w:tcPr>
            <w:tcW w:type="dxa" w:w="3168"/>
            <w:vAlign w:val="center"/>
          </w:tcPr>
          <w:p>
            <w:r>
              <w:rPr>
                <w:b w:val="0"/>
                <w:sz w:val="16"/>
              </w:rPr>
              <w:t>Monto total consumido con tarjeta de crédito durante el mes.</w:t>
            </w:r>
          </w:p>
        </w:tc>
        <w:tc>
          <w:tcPr>
            <w:tcW w:type="dxa" w:w="2160"/>
            <w:vAlign w:val="center"/>
          </w:tcPr>
          <w:p>
            <w:r>
              <w:rPr>
                <w:b w:val="0"/>
                <w:sz w:val="16"/>
              </w:rPr>
              <w:t>Ayuda a complementar el perfil transaccional del cliente.</w:t>
            </w:r>
          </w:p>
        </w:tc>
      </w:tr>
      <w:tr>
        <w:tc>
          <w:tcPr>
            <w:tcW w:type="dxa" w:w="2304"/>
            <w:vAlign w:val="center"/>
          </w:tcPr>
          <w:p>
            <w:r>
              <w:rPr>
                <w:b w:val="0"/>
                <w:sz w:val="16"/>
              </w:rPr>
              <w:t>n_trx_app</w:t>
            </w:r>
          </w:p>
        </w:tc>
        <w:tc>
          <w:tcPr>
            <w:tcW w:type="dxa" w:w="2304"/>
            <w:vAlign w:val="center"/>
          </w:tcPr>
          <w:p>
            <w:r>
              <w:rPr>
                <w:b w:val="0"/>
                <w:sz w:val="16"/>
              </w:rPr>
              <w:t>N° transacciones vía APP (mes actual)</w:t>
            </w:r>
          </w:p>
        </w:tc>
        <w:tc>
          <w:tcPr>
            <w:tcW w:type="dxa" w:w="3168"/>
            <w:vAlign w:val="center"/>
          </w:tcPr>
          <w:p>
            <w:r>
              <w:rPr>
                <w:b w:val="0"/>
                <w:sz w:val="16"/>
              </w:rPr>
              <w:t>Cantidad de operaciones realizadas por la app.</w:t>
            </w:r>
          </w:p>
        </w:tc>
        <w:tc>
          <w:tcPr>
            <w:tcW w:type="dxa" w:w="2160"/>
            <w:vAlign w:val="center"/>
          </w:tcPr>
          <w:p>
            <w:r>
              <w:rPr>
                <w:b w:val="0"/>
                <w:sz w:val="16"/>
              </w:rPr>
              <w:t>Mide intensidad de uso digital.</w:t>
            </w:r>
          </w:p>
        </w:tc>
      </w:tr>
      <w:tr>
        <w:tc>
          <w:tcPr>
            <w:tcW w:type="dxa" w:w="2304"/>
            <w:vAlign w:val="center"/>
          </w:tcPr>
          <w:p>
            <w:r>
              <w:rPr>
                <w:b w:val="0"/>
                <w:sz w:val="16"/>
              </w:rPr>
              <w:t>td_gap_promedio</w:t>
            </w:r>
          </w:p>
        </w:tc>
        <w:tc>
          <w:tcPr>
            <w:tcW w:type="dxa" w:w="2304"/>
            <w:vAlign w:val="center"/>
          </w:tcPr>
          <w:p>
            <w:r>
              <w:rPr>
                <w:b w:val="0"/>
                <w:sz w:val="16"/>
              </w:rPr>
              <w:t>Tiempo promedio entre transacciones TD en minutos (mes actual)</w:t>
            </w:r>
          </w:p>
        </w:tc>
        <w:tc>
          <w:tcPr>
            <w:tcW w:type="dxa" w:w="3168"/>
            <w:vAlign w:val="center"/>
          </w:tcPr>
          <w:p>
            <w:r>
              <w:rPr>
                <w:b w:val="0"/>
                <w:sz w:val="16"/>
              </w:rPr>
              <w:t>Promedio de minutos entre operaciones consecutivas con tarjeta de débito.</w:t>
            </w:r>
          </w:p>
        </w:tc>
        <w:tc>
          <w:tcPr>
            <w:tcW w:type="dxa" w:w="2160"/>
            <w:vAlign w:val="center"/>
          </w:tcPr>
          <w:p>
            <w:r>
              <w:rPr>
                <w:b w:val="0"/>
                <w:sz w:val="16"/>
              </w:rPr>
              <w:t>Valores bajos pueden indicar operaciones muy frecuentes o concentradas.</w:t>
            </w:r>
          </w:p>
        </w:tc>
      </w:tr>
      <w:tr>
        <w:tc>
          <w:tcPr>
            <w:tcW w:type="dxa" w:w="2304"/>
            <w:vAlign w:val="center"/>
          </w:tcPr>
          <w:p>
            <w:r>
              <w:rPr>
                <w:b w:val="0"/>
                <w:sz w:val="16"/>
              </w:rPr>
              <w:t>flg_activo</w:t>
            </w:r>
          </w:p>
        </w:tc>
        <w:tc>
          <w:tcPr>
            <w:tcW w:type="dxa" w:w="2304"/>
            <w:vAlign w:val="center"/>
          </w:tcPr>
          <w:p>
            <w:r>
              <w:rPr>
                <w:b w:val="0"/>
                <w:sz w:val="16"/>
              </w:rPr>
              <w:t>Flag: cliente con productos activos</w:t>
            </w:r>
          </w:p>
        </w:tc>
        <w:tc>
          <w:tcPr>
            <w:tcW w:type="dxa" w:w="3168"/>
            <w:vAlign w:val="center"/>
          </w:tcPr>
          <w:p>
            <w:r>
              <w:rPr>
                <w:b w:val="0"/>
                <w:sz w:val="16"/>
              </w:rPr>
              <w:t>Indica si el cliente mantiene productos activos en el banco.</w:t>
            </w:r>
          </w:p>
        </w:tc>
        <w:tc>
          <w:tcPr>
            <w:tcW w:type="dxa" w:w="2160"/>
            <w:vAlign w:val="center"/>
          </w:tcPr>
          <w:p>
            <w:r>
              <w:rPr>
                <w:b w:val="0"/>
                <w:sz w:val="16"/>
              </w:rPr>
              <w:t>Sirve para contextualizar si la actividad corresponde a un cliente vigente.</w:t>
            </w:r>
          </w:p>
        </w:tc>
      </w:tr>
      <w:tr>
        <w:tc>
          <w:tcPr>
            <w:tcW w:type="dxa" w:w="2304"/>
            <w:vAlign w:val="center"/>
          </w:tcPr>
          <w:p>
            <w:r>
              <w:rPr>
                <w:b w:val="0"/>
                <w:sz w:val="16"/>
              </w:rPr>
              <w:t>td_monto_total</w:t>
            </w:r>
          </w:p>
        </w:tc>
        <w:tc>
          <w:tcPr>
            <w:tcW w:type="dxa" w:w="2304"/>
            <w:vAlign w:val="center"/>
          </w:tcPr>
          <w:p>
            <w:r>
              <w:rPr>
                <w:b w:val="0"/>
                <w:sz w:val="16"/>
              </w:rPr>
              <w:t>Monto total tarjeta débito (mes actual)</w:t>
            </w:r>
          </w:p>
        </w:tc>
        <w:tc>
          <w:tcPr>
            <w:tcW w:type="dxa" w:w="3168"/>
            <w:vAlign w:val="center"/>
          </w:tcPr>
          <w:p>
            <w:r>
              <w:rPr>
                <w:b w:val="0"/>
                <w:sz w:val="16"/>
              </w:rPr>
              <w:t>Monto total operado con tarjeta de débito durante el mes.</w:t>
            </w:r>
          </w:p>
        </w:tc>
        <w:tc>
          <w:tcPr>
            <w:tcW w:type="dxa" w:w="2160"/>
            <w:vAlign w:val="center"/>
          </w:tcPr>
          <w:p>
            <w:r>
              <w:rPr>
                <w:b w:val="0"/>
                <w:sz w:val="16"/>
              </w:rPr>
              <w:t>Refleja intensidad de uso de tarjeta de débito.</w:t>
            </w:r>
          </w:p>
        </w:tc>
      </w:tr>
      <w:tr>
        <w:tc>
          <w:tcPr>
            <w:tcW w:type="dxa" w:w="2304"/>
            <w:vAlign w:val="center"/>
          </w:tcPr>
          <w:p>
            <w:r>
              <w:rPr>
                <w:b w:val="0"/>
                <w:sz w:val="16"/>
              </w:rPr>
              <w:t>monto_efectivo_soles</w:t>
            </w:r>
          </w:p>
        </w:tc>
        <w:tc>
          <w:tcPr>
            <w:tcW w:type="dxa" w:w="2304"/>
            <w:vAlign w:val="center"/>
          </w:tcPr>
          <w:p>
            <w:r>
              <w:rPr>
                <w:b w:val="0"/>
                <w:sz w:val="16"/>
              </w:rPr>
              <w:t>Monto total operaciones en efectivo en soles (mes actual)</w:t>
            </w:r>
          </w:p>
        </w:tc>
        <w:tc>
          <w:tcPr>
            <w:tcW w:type="dxa" w:w="3168"/>
            <w:vAlign w:val="center"/>
          </w:tcPr>
          <w:p>
            <w:r>
              <w:rPr>
                <w:b w:val="0"/>
                <w:sz w:val="16"/>
              </w:rPr>
              <w:t>Monto total operado en efectivo en soles.</w:t>
            </w:r>
          </w:p>
        </w:tc>
        <w:tc>
          <w:tcPr>
            <w:tcW w:type="dxa" w:w="2160"/>
            <w:vAlign w:val="center"/>
          </w:tcPr>
          <w:p>
            <w:r>
              <w:rPr>
                <w:b w:val="0"/>
                <w:sz w:val="16"/>
              </w:rPr>
              <w:t>El efectivo es relevante PLAFT por menor trazabilidad.</w:t>
            </w:r>
          </w:p>
        </w:tc>
      </w:tr>
      <w:tr>
        <w:tc>
          <w:tcPr>
            <w:tcW w:type="dxa" w:w="2304"/>
            <w:vAlign w:val="center"/>
          </w:tcPr>
          <w:p>
            <w:r>
              <w:rPr>
                <w:b w:val="0"/>
                <w:sz w:val="16"/>
              </w:rPr>
              <w:t>monto_promedio_dolares</w:t>
            </w:r>
          </w:p>
        </w:tc>
        <w:tc>
          <w:tcPr>
            <w:tcW w:type="dxa" w:w="2304"/>
            <w:vAlign w:val="center"/>
          </w:tcPr>
          <w:p>
            <w:r>
              <w:rPr>
                <w:b w:val="0"/>
                <w:sz w:val="16"/>
              </w:rPr>
              <w:t>Monto promedio por transacción en dólares (mes actual)</w:t>
            </w:r>
          </w:p>
        </w:tc>
        <w:tc>
          <w:tcPr>
            <w:tcW w:type="dxa" w:w="3168"/>
            <w:vAlign w:val="center"/>
          </w:tcPr>
          <w:p>
            <w:r>
              <w:rPr>
                <w:b w:val="0"/>
                <w:sz w:val="16"/>
              </w:rPr>
              <w:t>Promedio de las operaciones en dólares.</w:t>
            </w:r>
          </w:p>
        </w:tc>
        <w:tc>
          <w:tcPr>
            <w:tcW w:type="dxa" w:w="2160"/>
            <w:vAlign w:val="center"/>
          </w:tcPr>
          <w:p>
            <w:r>
              <w:rPr>
                <w:b w:val="0"/>
                <w:sz w:val="16"/>
              </w:rPr>
              <w:t>Permite identificar ticket promedio en moneda extranjera.</w:t>
            </w:r>
          </w:p>
        </w:tc>
      </w:tr>
      <w:tr>
        <w:tc>
          <w:tcPr>
            <w:tcW w:type="dxa" w:w="2304"/>
            <w:vAlign w:val="center"/>
          </w:tcPr>
          <w:p>
            <w:r>
              <w:rPr>
                <w:b w:val="0"/>
                <w:sz w:val="16"/>
              </w:rPr>
              <w:t>n_trx_efectivo</w:t>
            </w:r>
          </w:p>
        </w:tc>
        <w:tc>
          <w:tcPr>
            <w:tcW w:type="dxa" w:w="2304"/>
            <w:vAlign w:val="center"/>
          </w:tcPr>
          <w:p>
            <w:r>
              <w:rPr>
                <w:b w:val="0"/>
                <w:sz w:val="16"/>
              </w:rPr>
              <w:t>N° transacciones en efectivo (mes actual)</w:t>
            </w:r>
          </w:p>
        </w:tc>
        <w:tc>
          <w:tcPr>
            <w:tcW w:type="dxa" w:w="3168"/>
            <w:vAlign w:val="center"/>
          </w:tcPr>
          <w:p>
            <w:r>
              <w:rPr>
                <w:b w:val="0"/>
                <w:sz w:val="16"/>
              </w:rPr>
              <w:t>Cantidad de operaciones realizadas en efectivo.</w:t>
            </w:r>
          </w:p>
        </w:tc>
        <w:tc>
          <w:tcPr>
            <w:tcW w:type="dxa" w:w="2160"/>
            <w:vAlign w:val="center"/>
          </w:tcPr>
          <w:p>
            <w:r>
              <w:rPr>
                <w:b w:val="0"/>
                <w:sz w:val="16"/>
              </w:rPr>
              <w:t>Alta frecuencia en efectivo puede elevar el interés de monitoreo.</w:t>
            </w:r>
          </w:p>
        </w:tc>
      </w:tr>
    </w:tbl>
    <w:p/>
    <w:p>
      <w:pPr>
        <w:pStyle w:val="Heading1"/>
      </w:pPr>
      <w:r>
        <w:t>ANEXO B. MATRIZ DE CONTROL DE EVIDENCIA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1F4E78"/>
          </w:tcPr>
          <w:p>
            <w:r>
              <w:rPr>
                <w:b/>
                <w:color w:val="FFFFFF"/>
                <w:sz w:val="16"/>
              </w:rPr>
              <w:t>Artefacto</w:t>
            </w:r>
          </w:p>
        </w:tc>
        <w:tc>
          <w:tcPr>
            <w:tcW w:type="dxa" w:w="2592"/>
            <w:vAlign w:val="center"/>
            <w:shd w:fill="1F4E78"/>
          </w:tcPr>
          <w:p>
            <w:r>
              <w:rPr>
                <w:b/>
                <w:color w:val="FFFFFF"/>
                <w:sz w:val="16"/>
              </w:rPr>
              <w:t>Propósito</w:t>
            </w:r>
          </w:p>
        </w:tc>
        <w:tc>
          <w:tcPr>
            <w:tcW w:type="dxa" w:w="1728"/>
            <w:vAlign w:val="center"/>
            <w:shd w:fill="1F4E78"/>
          </w:tcPr>
          <w:p>
            <w:r>
              <w:rPr>
                <w:b/>
                <w:color w:val="FFFFFF"/>
                <w:sz w:val="16"/>
              </w:rPr>
              <w:t>Estado</w:t>
            </w:r>
          </w:p>
        </w:tc>
        <w:tc>
          <w:tcPr>
            <w:tcW w:type="dxa" w:w="2592"/>
            <w:vAlign w:val="center"/>
            <w:shd w:fill="1F4E78"/>
          </w:tcPr>
          <w:p>
            <w:r>
              <w:rPr>
                <w:b/>
                <w:color w:val="FFFFFF"/>
                <w:sz w:val="16"/>
              </w:rPr>
              <w:t>Acción</w:t>
            </w:r>
          </w:p>
        </w:tc>
      </w:tr>
      <w:tr>
        <w:tc>
          <w:tcPr>
            <w:tcW w:type="dxa" w:w="2880"/>
            <w:vAlign w:val="center"/>
          </w:tcPr>
          <w:p>
            <w:r>
              <w:rPr>
                <w:b w:val="0"/>
                <w:sz w:val="16"/>
              </w:rPr>
              <w:t>Documento patrón PJ Minorista v2</w:t>
            </w:r>
          </w:p>
        </w:tc>
        <w:tc>
          <w:tcPr>
            <w:tcW w:type="dxa" w:w="2592"/>
            <w:vAlign w:val="center"/>
          </w:tcPr>
          <w:p>
            <w:r>
              <w:rPr>
                <w:b w:val="0"/>
                <w:sz w:val="16"/>
              </w:rPr>
              <w:t>Estructura y secciones</w:t>
            </w:r>
          </w:p>
        </w:tc>
        <w:tc>
          <w:tcPr>
            <w:tcW w:type="dxa" w:w="1728"/>
            <w:vAlign w:val="center"/>
          </w:tcPr>
          <w:p>
            <w:r>
              <w:rPr>
                <w:b w:val="0"/>
                <w:sz w:val="16"/>
              </w:rPr>
              <w:t>Disponible</w:t>
            </w:r>
          </w:p>
        </w:tc>
        <w:tc>
          <w:tcPr>
            <w:tcW w:type="dxa" w:w="2592"/>
            <w:vAlign w:val="center"/>
          </w:tcPr>
          <w:p>
            <w:r>
              <w:rPr>
                <w:b w:val="0"/>
                <w:sz w:val="16"/>
              </w:rPr>
              <w:t>Usado como formato</w:t>
            </w:r>
          </w:p>
        </w:tc>
      </w:tr>
      <w:tr>
        <w:tc>
          <w:tcPr>
            <w:tcW w:type="dxa" w:w="2880"/>
            <w:vAlign w:val="center"/>
          </w:tcPr>
          <w:p>
            <w:r>
              <w:rPr>
                <w:b w:val="0"/>
                <w:sz w:val="16"/>
              </w:rPr>
              <w:t>informe_plaft_masivo.html</w:t>
            </w:r>
          </w:p>
        </w:tc>
        <w:tc>
          <w:tcPr>
            <w:tcW w:type="dxa" w:w="2592"/>
            <w:vAlign w:val="center"/>
          </w:tcPr>
          <w:p>
            <w:r>
              <w:rPr>
                <w:b w:val="0"/>
                <w:sz w:val="16"/>
              </w:rPr>
              <w:t>Resultados de perfilamiento y modelo</w:t>
            </w:r>
          </w:p>
        </w:tc>
        <w:tc>
          <w:tcPr>
            <w:tcW w:type="dxa" w:w="1728"/>
            <w:vAlign w:val="center"/>
          </w:tcPr>
          <w:p>
            <w:r>
              <w:rPr>
                <w:b w:val="0"/>
                <w:sz w:val="16"/>
              </w:rPr>
              <w:t>Disponible</w:t>
            </w:r>
          </w:p>
        </w:tc>
        <w:tc>
          <w:tcPr>
            <w:tcW w:type="dxa" w:w="2592"/>
            <w:vAlign w:val="center"/>
          </w:tcPr>
          <w:p>
            <w:r>
              <w:rPr>
                <w:b w:val="0"/>
                <w:sz w:val="16"/>
              </w:rPr>
              <w:t>Fuente principal de resultados</w:t>
            </w:r>
          </w:p>
        </w:tc>
      </w:tr>
      <w:tr>
        <w:tc>
          <w:tcPr>
            <w:tcW w:type="dxa" w:w="2880"/>
            <w:vAlign w:val="center"/>
          </w:tcPr>
          <w:p>
            <w:r>
              <w:rPr>
                <w:b w:val="0"/>
                <w:sz w:val="16"/>
              </w:rPr>
              <w:t>diccionario.xlsx</w:t>
            </w:r>
          </w:p>
        </w:tc>
        <w:tc>
          <w:tcPr>
            <w:tcW w:type="dxa" w:w="2592"/>
            <w:vAlign w:val="center"/>
          </w:tcPr>
          <w:p>
            <w:r>
              <w:rPr>
                <w:b w:val="0"/>
                <w:sz w:val="16"/>
              </w:rPr>
              <w:t>Definición e interpretación</w:t>
            </w:r>
          </w:p>
        </w:tc>
        <w:tc>
          <w:tcPr>
            <w:tcW w:type="dxa" w:w="1728"/>
            <w:vAlign w:val="center"/>
          </w:tcPr>
          <w:p>
            <w:r>
              <w:rPr>
                <w:b w:val="0"/>
                <w:sz w:val="16"/>
              </w:rPr>
              <w:t>Disponible</w:t>
            </w:r>
          </w:p>
        </w:tc>
        <w:tc>
          <w:tcPr>
            <w:tcW w:type="dxa" w:w="2592"/>
            <w:vAlign w:val="center"/>
          </w:tcPr>
          <w:p>
            <w:r>
              <w:rPr>
                <w:b w:val="0"/>
                <w:sz w:val="16"/>
              </w:rPr>
              <w:t>34 variables descritas</w:t>
            </w:r>
          </w:p>
        </w:tc>
      </w:tr>
      <w:tr>
        <w:tc>
          <w:tcPr>
            <w:tcW w:type="dxa" w:w="2880"/>
            <w:vAlign w:val="center"/>
          </w:tcPr>
          <w:p>
            <w:r>
              <w:rPr>
                <w:b w:val="0"/>
                <w:sz w:val="16"/>
              </w:rPr>
              <w:t>model.tar.gz</w:t>
            </w:r>
          </w:p>
        </w:tc>
        <w:tc>
          <w:tcPr>
            <w:tcW w:type="dxa" w:w="2592"/>
            <w:vAlign w:val="center"/>
          </w:tcPr>
          <w:p>
            <w:r>
              <w:rPr>
                <w:b w:val="0"/>
                <w:sz w:val="16"/>
              </w:rPr>
              <w:t>Artefacto productivo</w:t>
            </w:r>
          </w:p>
        </w:tc>
        <w:tc>
          <w:tcPr>
            <w:tcW w:type="dxa" w:w="1728"/>
            <w:vAlign w:val="center"/>
          </w:tcPr>
          <w:p>
            <w:r>
              <w:rPr>
                <w:b w:val="0"/>
                <w:sz w:val="16"/>
              </w:rPr>
              <w:t>Disponible</w:t>
            </w:r>
          </w:p>
        </w:tc>
        <w:tc>
          <w:tcPr>
            <w:tcW w:type="dxa" w:w="2592"/>
            <w:vAlign w:val="center"/>
          </w:tcPr>
          <w:p>
            <w:r>
              <w:rPr>
                <w:b w:val="0"/>
                <w:sz w:val="16"/>
              </w:rPr>
              <w:t>Contiene xgboost-model</w:t>
            </w:r>
          </w:p>
        </w:tc>
      </w:tr>
      <w:tr>
        <w:tc>
          <w:tcPr>
            <w:tcW w:type="dxa" w:w="2880"/>
            <w:vAlign w:val="center"/>
          </w:tcPr>
          <w:p>
            <w:r>
              <w:rPr>
                <w:b w:val="0"/>
                <w:sz w:val="16"/>
              </w:rPr>
              <w:t>selected_columns.csv</w:t>
            </w:r>
          </w:p>
        </w:tc>
        <w:tc>
          <w:tcPr>
            <w:tcW w:type="dxa" w:w="2592"/>
            <w:vAlign w:val="center"/>
          </w:tcPr>
          <w:p>
            <w:r>
              <w:rPr>
                <w:b w:val="0"/>
                <w:sz w:val="16"/>
              </w:rPr>
              <w:t>Lista de variables</w:t>
            </w:r>
          </w:p>
        </w:tc>
        <w:tc>
          <w:tcPr>
            <w:tcW w:type="dxa" w:w="1728"/>
            <w:vAlign w:val="center"/>
          </w:tcPr>
          <w:p>
            <w:r>
              <w:rPr>
                <w:b w:val="0"/>
                <w:sz w:val="16"/>
              </w:rPr>
              <w:t>Inconsistente</w:t>
            </w:r>
          </w:p>
        </w:tc>
        <w:tc>
          <w:tcPr>
            <w:tcW w:type="dxa" w:w="2592"/>
            <w:vAlign w:val="center"/>
          </w:tcPr>
          <w:p>
            <w:r>
              <w:rPr>
                <w:b w:val="0"/>
                <w:sz w:val="16"/>
              </w:rPr>
              <w:t>47 registros; reconciliar</w:t>
            </w:r>
          </w:p>
        </w:tc>
      </w:tr>
      <w:tr>
        <w:tc>
          <w:tcPr>
            <w:tcW w:type="dxa" w:w="2880"/>
            <w:vAlign w:val="center"/>
          </w:tcPr>
          <w:p>
            <w:r>
              <w:rPr>
                <w:b w:val="0"/>
                <w:sz w:val="16"/>
              </w:rPr>
              <w:t>importancia_variables.csv</w:t>
            </w:r>
          </w:p>
        </w:tc>
        <w:tc>
          <w:tcPr>
            <w:tcW w:type="dxa" w:w="2592"/>
            <w:vAlign w:val="center"/>
          </w:tcPr>
          <w:p>
            <w:r>
              <w:rPr>
                <w:b w:val="0"/>
                <w:sz w:val="16"/>
              </w:rPr>
              <w:t>Importancia/SHAP</w:t>
            </w:r>
          </w:p>
        </w:tc>
        <w:tc>
          <w:tcPr>
            <w:tcW w:type="dxa" w:w="1728"/>
            <w:vAlign w:val="center"/>
          </w:tcPr>
          <w:p>
            <w:r>
              <w:rPr>
                <w:b w:val="0"/>
                <w:sz w:val="16"/>
              </w:rPr>
              <w:t>Inconsistente</w:t>
            </w:r>
          </w:p>
        </w:tc>
        <w:tc>
          <w:tcPr>
            <w:tcW w:type="dxa" w:w="2592"/>
            <w:vAlign w:val="center"/>
          </w:tcPr>
          <w:p>
            <w:r>
              <w:rPr>
                <w:b w:val="0"/>
                <w:sz w:val="16"/>
              </w:rPr>
              <w:t>34 registros; reconciliar</w:t>
            </w:r>
          </w:p>
        </w:tc>
      </w:tr>
      <w:tr>
        <w:tc>
          <w:tcPr>
            <w:tcW w:type="dxa" w:w="2880"/>
            <w:vAlign w:val="center"/>
          </w:tcPr>
          <w:p>
            <w:r>
              <w:rPr>
                <w:b w:val="0"/>
                <w:sz w:val="16"/>
              </w:rPr>
              <w:t>variables_modelo.csv</w:t>
            </w:r>
          </w:p>
        </w:tc>
        <w:tc>
          <w:tcPr>
            <w:tcW w:type="dxa" w:w="2592"/>
            <w:vAlign w:val="center"/>
          </w:tcPr>
          <w:p>
            <w:r>
              <w:rPr>
                <w:b w:val="0"/>
                <w:sz w:val="16"/>
              </w:rPr>
              <w:t>Variables de EDA</w:t>
            </w:r>
          </w:p>
        </w:tc>
        <w:tc>
          <w:tcPr>
            <w:tcW w:type="dxa" w:w="1728"/>
            <w:vAlign w:val="center"/>
          </w:tcPr>
          <w:p>
            <w:r>
              <w:rPr>
                <w:b w:val="0"/>
                <w:sz w:val="16"/>
              </w:rPr>
              <w:t>Posible corrida anterior</w:t>
            </w:r>
          </w:p>
        </w:tc>
        <w:tc>
          <w:tcPr>
            <w:tcW w:type="dxa" w:w="2592"/>
            <w:vAlign w:val="center"/>
          </w:tcPr>
          <w:p>
            <w:r>
              <w:rPr>
                <w:b w:val="0"/>
                <w:sz w:val="16"/>
              </w:rPr>
              <w:t>27 registros; no usar como contrato</w:t>
            </w:r>
          </w:p>
        </w:tc>
      </w:tr>
      <w:tr>
        <w:tc>
          <w:tcPr>
            <w:tcW w:type="dxa" w:w="2880"/>
            <w:vAlign w:val="center"/>
          </w:tcPr>
          <w:p>
            <w:r>
              <w:rPr>
                <w:b w:val="0"/>
                <w:sz w:val="16"/>
              </w:rPr>
              <w:t>Métricas AUC/Gini/KS por mes</w:t>
            </w:r>
          </w:p>
        </w:tc>
        <w:tc>
          <w:tcPr>
            <w:tcW w:type="dxa" w:w="2592"/>
            <w:vAlign w:val="center"/>
          </w:tcPr>
          <w:p>
            <w:r>
              <w:rPr>
                <w:b w:val="0"/>
                <w:sz w:val="16"/>
              </w:rPr>
              <w:t>Validación cuantitativa</w:t>
            </w:r>
          </w:p>
        </w:tc>
        <w:tc>
          <w:tcPr>
            <w:tcW w:type="dxa" w:w="1728"/>
            <w:vAlign w:val="center"/>
          </w:tcPr>
          <w:p>
            <w:r>
              <w:rPr>
                <w:b w:val="0"/>
                <w:sz w:val="16"/>
              </w:rPr>
              <w:t>Faltante</w:t>
            </w:r>
          </w:p>
        </w:tc>
        <w:tc>
          <w:tcPr>
            <w:tcW w:type="dxa" w:w="2592"/>
            <w:vAlign w:val="center"/>
          </w:tcPr>
          <w:p>
            <w:r>
              <w:rPr>
                <w:b w:val="0"/>
                <w:sz w:val="16"/>
              </w:rPr>
              <w:t>Generar o anexar desde ejecución aprobada</w:t>
            </w:r>
          </w:p>
        </w:tc>
      </w:tr>
      <w:tr>
        <w:tc>
          <w:tcPr>
            <w:tcW w:type="dxa" w:w="2880"/>
            <w:vAlign w:val="center"/>
          </w:tcPr>
          <w:p>
            <w:r>
              <w:rPr>
                <w:b w:val="0"/>
                <w:sz w:val="16"/>
              </w:rPr>
              <w:t>Definición formal del target</w:t>
            </w:r>
          </w:p>
        </w:tc>
        <w:tc>
          <w:tcPr>
            <w:tcW w:type="dxa" w:w="2592"/>
            <w:vAlign w:val="center"/>
          </w:tcPr>
          <w:p>
            <w:r>
              <w:rPr>
                <w:b w:val="0"/>
                <w:sz w:val="16"/>
              </w:rPr>
              <w:t>Etiqueta y horizonte</w:t>
            </w:r>
          </w:p>
        </w:tc>
        <w:tc>
          <w:tcPr>
            <w:tcW w:type="dxa" w:w="1728"/>
            <w:vAlign w:val="center"/>
          </w:tcPr>
          <w:p>
            <w:r>
              <w:rPr>
                <w:b w:val="0"/>
                <w:sz w:val="16"/>
              </w:rPr>
              <w:t>Faltante</w:t>
            </w:r>
          </w:p>
        </w:tc>
        <w:tc>
          <w:tcPr>
            <w:tcW w:type="dxa" w:w="2592"/>
            <w:vAlign w:val="center"/>
          </w:tcPr>
          <w:p>
            <w:r>
              <w:rPr>
                <w:b w:val="0"/>
                <w:sz w:val="16"/>
              </w:rPr>
              <w:t>Ratificar con dueño PLAFT</w:t>
            </w:r>
          </w:p>
        </w:tc>
      </w:tr>
      <w:tr>
        <w:tc>
          <w:tcPr>
            <w:tcW w:type="dxa" w:w="2880"/>
            <w:vAlign w:val="center"/>
          </w:tcPr>
          <w:p>
            <w:r>
              <w:rPr>
                <w:b w:val="0"/>
                <w:sz w:val="16"/>
              </w:rPr>
              <w:t>Tabla de partición temporal</w:t>
            </w:r>
          </w:p>
        </w:tc>
        <w:tc>
          <w:tcPr>
            <w:tcW w:type="dxa" w:w="2592"/>
            <w:vAlign w:val="center"/>
          </w:tcPr>
          <w:p>
            <w:r>
              <w:rPr>
                <w:b w:val="0"/>
                <w:sz w:val="16"/>
              </w:rPr>
              <w:t>Train/validation/test</w:t>
            </w:r>
          </w:p>
        </w:tc>
        <w:tc>
          <w:tcPr>
            <w:tcW w:type="dxa" w:w="1728"/>
            <w:vAlign w:val="center"/>
          </w:tcPr>
          <w:p>
            <w:r>
              <w:rPr>
                <w:b w:val="0"/>
                <w:sz w:val="16"/>
              </w:rPr>
              <w:t>Faltante</w:t>
            </w:r>
          </w:p>
        </w:tc>
        <w:tc>
          <w:tcPr>
            <w:tcW w:type="dxa" w:w="2592"/>
            <w:vAlign w:val="center"/>
          </w:tcPr>
          <w:p>
            <w:r>
              <w:rPr>
                <w:b w:val="0"/>
                <w:sz w:val="16"/>
              </w:rPr>
              <w:t>Anexar meses, fechas y volúmenes</w:t>
            </w:r>
          </w:p>
        </w:tc>
      </w:tr>
    </w:tbl>
    <w:p/>
    <w:p>
      <w:pPr>
        <w:pStyle w:val="Heading1"/>
      </w:pPr>
      <w:r>
        <w:t>ANEXO C. FUENTES Y REPRODUCIBILIDAD</w:t>
      </w:r>
    </w:p>
    <w:p>
      <w:r>
        <w:t>0.genera_base_train-LAC0054004.ipynb</w:t>
      </w:r>
    </w:p>
    <w:p>
      <w:r>
        <w:t>0.genera_base_train.ipynb</w:t>
      </w:r>
    </w:p>
    <w:p>
      <w:r>
        <w:t>01.bivariados+EDA_test.ipynb</w:t>
      </w:r>
    </w:p>
    <w:p>
      <w:r>
        <w:t>01.bivariados+EDA_train.ipynb</w:t>
      </w:r>
    </w:p>
    <w:p>
      <w:r>
        <w:t>02.Validacion_final-LAC0054004.ipynb</w:t>
      </w:r>
    </w:p>
    <w:p>
      <w:r>
        <w:t>02.Validacion_final.ipynb</w:t>
      </w:r>
    </w:p>
    <w:p>
      <w:r>
        <w:t>3.VALIDACION_TOTA_alerta_nuevas.ipynb</w:t>
      </w:r>
    </w:p>
    <w:p>
      <w:r>
        <w:t>3.VALIDACION_TOTAL-LAC0054004 2.ipynb</w:t>
      </w:r>
    </w:p>
    <w:p>
      <w:r>
        <w:t>3.VALIDACION_TOTAL-LAC0054004.ipynb</w:t>
      </w:r>
    </w:p>
    <w:p>
      <w:r>
        <w:t>Fuentes complementarias: preprocessing_1.py, query_trrain.sql, query_test.sql, query_inferencia.sql, model.tar.gz, informe_plaft_masivo.html, diccionario.xlsx, importancia_variables.csv, selected_columns.csv y los directorios eda_graficos_train, eda_graficos_test, bivariados_graficos_train y bivariados_graficos_test.</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Documento metodológico - PN Masivo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INTERBANK | DATA SCIENCE | PLAFT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riptosClassAi">
    <vt:lpwstr>1-Uso Interno</vt:lpwstr>
  </property>
  <property fmtid="{D5CDD505-2E9C-101B-9397-08002B2CF9AE}" pid="3" name="MSIP_Label_a700de85-0e06-400f-8fdd-8b7ef4ecce44_Enabled">
    <vt:lpwstr>True</vt:lpwstr>
  </property>
  <property fmtid="{D5CDD505-2E9C-101B-9397-08002B2CF9AE}" pid="4" name="MSIP_Label_a700de85-0e06-400f-8fdd-8b7ef4ecce44_SiteId">
    <vt:lpwstr>360bc517-7aac-4c17-9907-4c5f13a12289</vt:lpwstr>
  </property>
  <property fmtid="{D5CDD505-2E9C-101B-9397-08002B2CF9AE}" pid="5" name="MSIP_Label_a700de85-0e06-400f-8fdd-8b7ef4ecce44_SetDate">
    <vt:lpwstr>2026-09-10T07:44:02Z</vt:lpwstr>
  </property>
  <property fmtid="{D5CDD505-2E9C-101B-9397-08002B2CF9AE}" pid="6" name="MSIP_Label_a700de85-0e06-400f-8fdd-8b7ef4ecce44_Name">
    <vt:lpwstr>Uso Interno</vt:lpwstr>
  </property>
  <property fmtid="{D5CDD505-2E9C-101B-9397-08002B2CF9AE}" pid="7" name="MSIP_Label_a700de85-0e06-400f-8fdd-8b7ef4ecce44_ActionId">
    <vt:lpwstr>dac8e764-d6e5-4828-8f56-7623fb635232</vt:lpwstr>
  </property>
  <property fmtid="{D5CDD505-2E9C-101B-9397-08002B2CF9AE}" pid="8" name="MSIP_Label_a700de85-0e06-400f-8fdd-8b7ef4ecce44_Removed">
    <vt:lpwstr>False</vt:lpwstr>
  </property>
  <property fmtid="{D5CDD505-2E9C-101B-9397-08002B2CF9AE}" pid="9" name="MSIP_Label_a700de85-0e06-400f-8fdd-8b7ef4ecce44_Parent">
    <vt:lpwstr/>
  </property>
  <property fmtid="{D5CDD505-2E9C-101B-9397-08002B2CF9AE}" pid="10" name="MSIP_Label_a700de85-0e06-400f-8fdd-8b7ef4ecce44_Extended_MSFT_Method">
    <vt:lpwstr>Standard</vt:lpwstr>
  </property>
  <property fmtid="{D5CDD505-2E9C-101B-9397-08002B2CF9AE}" pid="11" name="Sensitivity">
    <vt:lpwstr>Uso Interno</vt:lpwstr>
  </property>
</Properties>
</file>