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b51992f990e6459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8997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35"/>
        <w:gridCol w:w="1983"/>
        <w:gridCol w:w="1259"/>
        <w:gridCol w:w="5620"/>
      </w:tblGrid>
      <w:tr w:rsidR="3CDA304F" w:rsidTr="60478E62" w14:paraId="6EABDC3B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32B81EEE" w14:textId="633D985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#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4BA6737D" w14:textId="55AFA5F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Observación de Ubimia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21BAAA29" w14:textId="29F9044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Estado V3.1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527E684E" w14:textId="4A03B03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Mi evaluación</w:t>
            </w:r>
          </w:p>
        </w:tc>
      </w:tr>
      <w:tr w:rsidR="3CDA304F" w:rsidTr="60478E62" w14:paraId="3884A9FA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057B6E80" w14:textId="0536271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004544B1" w14:textId="47CCC039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Población objetivo ambigua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63DEC9CE" w14:textId="68566090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141D6B65" w14:textId="2D7FB63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La V3.1 define explícitamente Persona Jurídica Minorista,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BPE</w:t>
            </w:r>
            <w:r w:rsidRPr="60478E62" w:rsidR="1684DC86">
              <w:rPr>
                <w:sz w:val="16"/>
                <w:szCs w:val="16"/>
              </w:rPr>
              <w:t>, y aclara que la población incorpora clientes con alertas más una muestra controlada sin alertas.</w:t>
            </w:r>
          </w:p>
        </w:tc>
      </w:tr>
      <w:tr w:rsidR="3CDA304F" w:rsidTr="60478E62" w14:paraId="27544927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76AC1B8E" w14:textId="68BA273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2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0E4543ED" w14:textId="6A98C4C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Inconsistencia en la definición de la clase negativa</w:t>
            </w:r>
            <w:r w:rsidRPr="60478E62" w:rsidR="1684DC86">
              <w:rPr>
                <w:sz w:val="16"/>
                <w:szCs w:val="16"/>
              </w:rPr>
              <w:t>: FP vs. clientes sin alerta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25D46C0A" w14:textId="29A5EFF5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17E3ABC6" w14:textId="4850B30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Se define técnicamente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target=0</w:t>
            </w:r>
            <w:r w:rsidRPr="60478E62" w:rsidR="1684DC86">
              <w:rPr>
                <w:sz w:val="16"/>
                <w:szCs w:val="16"/>
              </w:rPr>
              <w:t xml:space="preserve"> tanto para falso positivo como para cliente sin alerta de la muestra controlada.</w:t>
            </w:r>
          </w:p>
        </w:tc>
      </w:tr>
      <w:tr w:rsidR="3CDA304F" w:rsidTr="60478E62" w14:paraId="71CD2DF5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4360D730" w14:textId="112E2F1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3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20BA483C" w14:textId="1C8D90D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explica el horizonte de evaluación de 30 días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007E592" w14:textId="77BD8F2C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4BC682B9" w14:textId="3A9F98A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Ahora hay una sección 4.3 específica: generación en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t</w:t>
            </w:r>
            <w:r w:rsidRPr="60478E62" w:rsidR="1684DC86">
              <w:rPr>
                <w:sz w:val="16"/>
                <w:szCs w:val="16"/>
              </w:rPr>
              <w:t xml:space="preserve">, evaluación hasta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t+30 días</w:t>
            </w:r>
            <w:r w:rsidRPr="60478E62" w:rsidR="1684DC86">
              <w:rPr>
                <w:sz w:val="16"/>
                <w:szCs w:val="16"/>
              </w:rPr>
              <w:t xml:space="preserve"> y clasificación por el analista dentro de ese período.</w:t>
            </w:r>
          </w:p>
        </w:tc>
      </w:tr>
      <w:tr w:rsidR="3CDA304F" w:rsidTr="60478E62" w14:paraId="12B91AE5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34F81B5D" w14:textId="6957FAB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4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2CF57BB1" w14:textId="0CC8532E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existe diccionario formal de variables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75A9C670" w14:textId="263E2337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 documentalmente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664D289" w14:textId="032B556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La V3.1 declara la inclusión del diccionario formal. Conviene entregar el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diccionario_variables.xlsx</w:t>
            </w:r>
            <w:r w:rsidRPr="60478E62" w:rsidR="1684DC86">
              <w:rPr>
                <w:sz w:val="16"/>
                <w:szCs w:val="16"/>
              </w:rPr>
              <w:t xml:space="preserve"> junto con el documento para cerrar la evidencia.</w:t>
            </w:r>
          </w:p>
        </w:tc>
      </w:tr>
      <w:tr w:rsidR="3CDA304F" w:rsidTr="60478E62" w14:paraId="1FA09A62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33CA639C" w14:textId="58C055A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5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3D1F51C7" w14:textId="5D23E9F9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documentan tamaños de muestras y tasas de positivos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44C75B09" w14:textId="5AB2A83D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385FC9C3" w14:textId="1AD17FB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nueva documentación incorpora volumetrías por período y clase; por ejemplo, Train ene-jul 2025 y Validation ago-sep 2025.</w:t>
            </w:r>
          </w:p>
        </w:tc>
      </w:tr>
      <w:tr w:rsidR="3CDA304F" w:rsidTr="60478E62" w14:paraId="1A3615A1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66DE2C7C" w14:textId="76F5BE1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6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04F6A3A5" w14:textId="6239C449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Inconsistencia en períodos Train/Test/Validation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1A1C2144" w14:textId="73A98B46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3BE52A97" w14:textId="1DA2736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Ahora se explicita Train ene-jul 2025, Validation ago-sep 2025 y Test oct-2025/abr-2026. Esto corrige la ambigüedad señalada por Ubimia.</w:t>
            </w:r>
          </w:p>
        </w:tc>
      </w:tr>
      <w:tr w:rsidR="3CDA304F" w:rsidTr="60478E62" w14:paraId="2944543A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4BBB0375" w14:textId="13194678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7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1CE64DA9" w14:textId="102EB72F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indicaba que la población era BPE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337CB31" w14:textId="36A3423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39848DDE" w14:textId="726C674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Aparece desde portada, objetivo y alcance: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Persona Jurídica – Minorista (BPE)</w:t>
            </w:r>
            <w:r w:rsidRPr="60478E62" w:rsidR="1684DC86">
              <w:rPr>
                <w:sz w:val="16"/>
                <w:szCs w:val="16"/>
              </w:rPr>
              <w:t>.</w:t>
            </w:r>
          </w:p>
        </w:tc>
      </w:tr>
      <w:tr w:rsidR="3CDA304F" w:rsidTr="60478E62" w14:paraId="7FA0C97E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4CF8C149" w14:textId="6ABE993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8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068336BA" w14:textId="280AFA31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documentaba creación/procesamiento de variables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0F589D26" w14:textId="085B78A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6F5B0B2B" w14:textId="457DCDEA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nueva arquitectura describe fuentes, consolidación, preprocesamiento, selección y flujo End-to-End. Además referencia notebooks/scripts.</w:t>
            </w:r>
          </w:p>
        </w:tc>
      </w:tr>
      <w:tr w:rsidR="3CDA304F" w:rsidTr="60478E62" w14:paraId="3AABADDD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101DBED8" w14:textId="6D7B921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9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02BE2B39" w14:textId="586A0C11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documentaba el proceso de selección de variables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2527219B" w14:textId="085B78A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5E1135D5">
              <w:rPr>
                <w:sz w:val="16"/>
                <w:szCs w:val="16"/>
              </w:rPr>
              <w:t xml:space="preserve">🟢 </w:t>
            </w:r>
            <w:r w:rsidRPr="60478E62" w:rsidR="5E1135D5">
              <w:rPr>
                <w:b w:val="1"/>
                <w:bCs w:val="1"/>
                <w:sz w:val="16"/>
                <w:szCs w:val="16"/>
              </w:rPr>
              <w:t>Resuelta</w:t>
            </w:r>
          </w:p>
          <w:p w:rsidR="3CDA304F" w:rsidP="60478E62" w:rsidRDefault="3CDA304F" w14:paraId="41FBD432" w14:textId="40E4512A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6DAF4182" w14:textId="0D71093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Ahora existe el proceso y criterios. </w:t>
            </w:r>
            <w:r w:rsidRPr="60478E62" w:rsidR="1684DC86">
              <w:rPr>
                <w:sz w:val="16"/>
                <w:szCs w:val="16"/>
              </w:rPr>
              <w:t xml:space="preserve">asección interna menciona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32 variables finales vs. 36 anteriores</w:t>
            </w:r>
            <w:r w:rsidRPr="60478E62" w:rsidR="1684DC86">
              <w:rPr>
                <w:sz w:val="16"/>
                <w:szCs w:val="16"/>
              </w:rPr>
              <w:t>.</w:t>
            </w:r>
          </w:p>
        </w:tc>
      </w:tr>
      <w:tr w:rsidR="3CDA304F" w:rsidTr="60478E62" w14:paraId="77C47F82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7D3105DB" w14:textId="21BB9D6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10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745B7E2A" w14:textId="6C1BE08A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se justificaban umbrales de missing/correlación en selección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16A5CC2" w14:textId="31633B62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🟢/🟡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Documentado, revisar evidencia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AF78F74" w14:textId="61B82C7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declara que se incorporó justificación de parámetros/umbrales. Ubimia había pedido explícitamente justificar 20% de missing y 90% de correlación.</w:t>
            </w:r>
          </w:p>
        </w:tc>
      </w:tr>
      <w:tr w:rsidR="3CDA304F" w:rsidTr="60478E62" w14:paraId="4F51161C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77721A70" w14:textId="28B921E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11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43D6DCEC" w14:textId="422D4CDD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Calibración insuficientemente documentada y realizada sobre Validation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4AAA5BBE" w14:textId="31BB08F8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 por cambio metodológico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5AB6E986" w14:textId="49AA09F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La solución fue mejor: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la calibración ya no se implementa en producción</w:t>
            </w:r>
            <w:r w:rsidRPr="60478E62" w:rsidR="1684DC86">
              <w:rPr>
                <w:sz w:val="16"/>
                <w:szCs w:val="16"/>
              </w:rPr>
              <w:t>. Por lo tanto, deja de corresponder buscar otro conjunto para calibrar. La V3.1 lo declara expresamente.</w:t>
            </w:r>
          </w:p>
        </w:tc>
      </w:tr>
      <w:tr w:rsidR="3CDA304F" w:rsidTr="60478E62" w14:paraId="164A6529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24DD7E9D" w14:textId="089E5B1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12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6EB14584" w14:textId="1024018F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Balanceo: faltaban tamaños antes/después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068338E7" w14:textId="3831224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🟢/🟡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Mejorado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6654AD6F" w14:textId="3D4BDA5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documenta el balanceo y las volumetrías. Yo verificaría que exista una tabla inequívoca “antes vs. después” porque esa fue exactamente la petición de Ubimia.</w:t>
            </w:r>
          </w:p>
        </w:tc>
      </w:tr>
      <w:tr w:rsidR="3CDA304F" w:rsidTr="60478E62" w14:paraId="4CDEBFDA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413D106F" w14:textId="2789D99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13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1F9625F0" w14:textId="0284EAB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No estaban Precision Top K / Recall Top K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47FD91ED" w14:textId="2BB2ABFE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481A8095" w14:textId="0FE328D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incorpora explícitamente Precision Top K y Recall Top K como métricas operativas.</w:t>
            </w:r>
          </w:p>
        </w:tc>
      </w:tr>
      <w:tr w:rsidR="3CDA304F" w:rsidTr="60478E62" w14:paraId="4A2BDC96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4A9E4FB7" w14:textId="16ED5688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14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5DA9D7D1" w14:textId="7D817342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Lift aparecía experimentalmente pero debía formalizarse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B7096E7" w14:textId="5934F1D5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57011B32" w14:textId="2D27F740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nueva documentación incluye Lift dentro de las métricas y lo define formalmente.</w:t>
            </w:r>
          </w:p>
        </w:tc>
      </w:tr>
      <w:tr w:rsidR="3CDA304F" w:rsidTr="60478E62" w14:paraId="2C3E2770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575A48D7" w14:textId="543E0AE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15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33AF5A9F" w14:textId="0D5217DD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Posible data leakage: variables y target podrían superponerse temporalmente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6E54D8D7" w14:textId="577252D2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 documentalmente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ACAF54E" w14:textId="36446C3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Ahora se establece explícitamente que las variables nunca contienen información futura y que esto se verifica en SQL.</w:t>
            </w:r>
          </w:p>
        </w:tc>
      </w:tr>
      <w:tr w:rsidR="3CDA304F" w:rsidTr="60478E62" w14:paraId="2F667344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2888E8EC" w14:textId="53723D8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16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7289637C" w14:textId="3D3CAE2A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Clientes repetidos entre Train/Test/Validation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184F766F" w14:textId="143AD21F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🟢/🟡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Documentado, requiere evidencia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6528D34B" w14:textId="2CF5932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declara “verificación de separación de clientes entre conjuntos”. Eso responde documentalmente, pero para auditoría yo adjuntaría el script/resultado que demuestra que la intersección es cero.</w:t>
            </w:r>
          </w:p>
        </w:tc>
      </w:tr>
      <w:tr w:rsidR="3CDA304F" w:rsidTr="60478E62" w14:paraId="2B70DF65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7B30C2A8" w14:textId="486F0AFA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17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56AEEA06" w14:textId="37AA0770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Unicidad: faltaban IDs de clientes en Train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77D9AE3D" w14:textId="7E724D8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🟡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1D48C55" w14:textId="7D249B2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Ubimia</w:t>
            </w:r>
            <w:r w:rsidRPr="60478E62" w:rsidR="1684DC86">
              <w:rPr>
                <w:sz w:val="16"/>
                <w:szCs w:val="16"/>
              </w:rPr>
              <w:t xml:space="preserve"> pidió poder comprobar la unicidad y disponer de </w:t>
            </w:r>
            <w:r w:rsidRPr="60478E62" w:rsidR="1684DC86">
              <w:rPr>
                <w:sz w:val="16"/>
                <w:szCs w:val="16"/>
              </w:rPr>
              <w:t>IDs</w:t>
            </w:r>
            <w:r w:rsidRPr="60478E62" w:rsidR="1684DC86">
              <w:rPr>
                <w:sz w:val="16"/>
                <w:szCs w:val="16"/>
              </w:rPr>
              <w:t xml:space="preserve"> de Train. Esto es principalmente una observación de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 xml:space="preserve">evidencia/data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quality</w:t>
            </w:r>
          </w:p>
        </w:tc>
      </w:tr>
      <w:tr w:rsidR="3CDA304F" w:rsidTr="60478E62" w14:paraId="40060EE2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06172CF8" w14:textId="3E9CBE4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0F0CAC66">
              <w:rPr>
                <w:sz w:val="16"/>
                <w:szCs w:val="16"/>
              </w:rPr>
              <w:t>18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3E18A875" w14:textId="3C13BEAC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Imputar todas las variables numéricas con cero era inadecuado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8D591EC" w14:textId="3C2A83D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 documentalmente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17F5A1E" w14:textId="2982BE9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declara estrategias diferenciadas de imputación numérica/categórica y cuantificación de missing.</w:t>
            </w:r>
          </w:p>
        </w:tc>
      </w:tr>
      <w:tr w:rsidR="3CDA304F" w:rsidTr="60478E62" w14:paraId="6C4C834B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3577EC0E" w14:textId="3867FC8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584581FB">
              <w:rPr>
                <w:sz w:val="16"/>
                <w:szCs w:val="16"/>
              </w:rPr>
              <w:t>19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7C492BCC" w14:textId="0BB4DCC1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rFonts w:ascii="Consolas" w:hAnsi="Consolas" w:eastAsia="Consolas" w:cs="Consolas"/>
                <w:b w:val="1"/>
                <w:bCs w:val="1"/>
                <w:sz w:val="16"/>
                <w:szCs w:val="16"/>
              </w:rPr>
              <w:t>scale_pos_weight=494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 xml:space="preserve"> necesitaba justificación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0E442E29" w14:textId="2A2C4C90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Resuelta documentalmente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1704491A" w14:textId="5DB22A78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La V3.1 indica expresamente que se agregó justificación de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scale_pos_weight</w:t>
            </w:r>
            <w:r w:rsidRPr="60478E62" w:rsidR="1684DC86">
              <w:rPr>
                <w:sz w:val="16"/>
                <w:szCs w:val="16"/>
              </w:rPr>
              <w:t>. Ubimia había observado la posible doble compensación por balanceo + ponderación.</w:t>
            </w:r>
          </w:p>
        </w:tc>
      </w:tr>
      <w:tr w:rsidR="3CDA304F" w:rsidTr="60478E62" w14:paraId="1B2BE485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20F9B4A2" w14:textId="6C069DD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5A0FA582">
              <w:rPr>
                <w:sz w:val="16"/>
                <w:szCs w:val="16"/>
              </w:rPr>
              <w:t>20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3F94BC43" w14:textId="682DAC2F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 xml:space="preserve">No usar </w:t>
            </w:r>
            <w:r w:rsidRPr="60478E62" w:rsidR="1684DC86">
              <w:rPr>
                <w:rFonts w:ascii="Consolas" w:hAnsi="Consolas" w:eastAsia="Consolas" w:cs="Consolas"/>
                <w:b w:val="1"/>
                <w:bCs w:val="1"/>
                <w:sz w:val="16"/>
                <w:szCs w:val="16"/>
              </w:rPr>
              <w:t>lambda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/</w:t>
            </w:r>
            <w:r w:rsidRPr="60478E62" w:rsidR="1684DC86">
              <w:rPr>
                <w:rFonts w:ascii="Consolas" w:hAnsi="Consolas" w:eastAsia="Consolas" w:cs="Consolas"/>
                <w:b w:val="1"/>
                <w:bCs w:val="1"/>
                <w:sz w:val="16"/>
                <w:szCs w:val="16"/>
              </w:rPr>
              <w:t>alpha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 xml:space="preserve"> requería justificación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68513900" w14:textId="008AF20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Revisaría el texto final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3E4E7435" w14:textId="5FCCF0C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Ubimia pidió justificar por qué no se incorporaron mecanismos de regularización. Antes de cerrarlo verificaría que la V3.1 explique explícitamente esa decisión, no solo que describa el HPO.</w:t>
            </w:r>
          </w:p>
        </w:tc>
      </w:tr>
      <w:tr w:rsidR="3CDA304F" w:rsidTr="60478E62" w14:paraId="44487217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2E8CD919" w14:textId="5D218A8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3671441B">
              <w:rPr>
                <w:sz w:val="16"/>
                <w:szCs w:val="16"/>
              </w:rPr>
              <w:t>21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289D0B3C" w14:textId="5DD342D3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Objeto del modelo entrenado no coincidía con documentación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54A9DE0F" w14:textId="229B86C6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Punto importante a verificar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22A84DFB" w14:textId="684C2598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Ubimia lo calificó como hallazgo crítico. La V3.1 actualiza la descripción, pero cerrar esto requiere comprobar que el artefacto </w:t>
            </w:r>
            <w:r w:rsidRPr="60478E62" w:rsidR="1684DC86">
              <w:rPr>
                <w:rFonts w:ascii="Consolas" w:hAnsi="Consolas" w:eastAsia="Consolas" w:cs="Consolas"/>
                <w:sz w:val="16"/>
                <w:szCs w:val="16"/>
              </w:rPr>
              <w:t>model.tar.gz</w:t>
            </w:r>
            <w:r w:rsidRPr="60478E62" w:rsidR="1684DC86">
              <w:rPr>
                <w:sz w:val="16"/>
                <w:szCs w:val="16"/>
              </w:rPr>
              <w:t xml:space="preserve"> efectivamente coincide con lo documentado.</w:t>
            </w:r>
          </w:p>
        </w:tc>
      </w:tr>
      <w:tr w:rsidR="3CDA304F" w:rsidTr="60478E62" w14:paraId="668FBF86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67B8703C" w14:textId="4090018A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3FCA75">
              <w:rPr>
                <w:sz w:val="16"/>
                <w:szCs w:val="16"/>
              </w:rPr>
              <w:t>22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48E446A6" w14:textId="2245D61C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Diferencias AUC/Gini en alertas automáticas, especialmente dic-2025/ene-2026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17B39A37" w14:textId="3D74307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0398BCA9">
              <w:rPr>
                <w:sz w:val="16"/>
                <w:szCs w:val="16"/>
              </w:rPr>
              <w:t xml:space="preserve">🟢 </w:t>
            </w:r>
            <w:r w:rsidRPr="60478E62" w:rsidR="0398BCA9">
              <w:rPr>
                <w:b w:val="1"/>
                <w:bCs w:val="1"/>
                <w:sz w:val="16"/>
                <w:szCs w:val="16"/>
              </w:rPr>
              <w:t>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762E5940" w14:textId="0713F38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Ubimia</w:t>
            </w:r>
            <w:r w:rsidRPr="60478E62" w:rsidR="1684DC86">
              <w:rPr>
                <w:sz w:val="16"/>
                <w:szCs w:val="16"/>
              </w:rPr>
              <w:t xml:space="preserve"> pidió analizar las diferencias observadas en el universo productivo. </w:t>
            </w:r>
          </w:p>
        </w:tc>
      </w:tr>
      <w:tr w:rsidR="3CDA304F" w:rsidTr="60478E62" w14:paraId="65C8A6FC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27F812AB" w14:textId="300E053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312C11D2">
              <w:rPr>
                <w:sz w:val="16"/>
                <w:szCs w:val="16"/>
              </w:rPr>
              <w:t>23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619A4430" w14:textId="0FB85994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Performance debía medirse sobre alertas automáticas con Precision/Recall Top K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21DB5085" w14:textId="67E65FCC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🟡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Parcial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52A6A980" w14:textId="112E4B7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Las métricas ya están incorporadas, pero Ubimia pidió específicamente resultados de Precision/Recall Top K para Train/Validation y universo de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alertas automáticas</w:t>
            </w:r>
            <w:r w:rsidRPr="60478E62" w:rsidR="1684DC86">
              <w:rPr>
                <w:sz w:val="16"/>
                <w:szCs w:val="16"/>
              </w:rPr>
              <w:t>. Hay que comprobar que las tablas finales cubran exactamente esos cortes.</w:t>
            </w:r>
          </w:p>
        </w:tc>
      </w:tr>
      <w:tr w:rsidR="3CDA304F" w:rsidTr="60478E62" w14:paraId="3C9DA417">
        <w:trPr>
          <w:trHeight w:val="300"/>
        </w:trPr>
        <w:tc>
          <w:tcPr>
            <w:tcW w:w="135" w:type="dxa"/>
            <w:tcMar/>
            <w:vAlign w:val="center"/>
          </w:tcPr>
          <w:p w:rsidR="3CDA304F" w:rsidP="60478E62" w:rsidRDefault="3CDA304F" w14:paraId="30E48F37" w14:textId="368DEA2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2</w:t>
            </w:r>
            <w:r w:rsidRPr="60478E62" w:rsidR="50401DF9">
              <w:rPr>
                <w:sz w:val="16"/>
                <w:szCs w:val="16"/>
              </w:rPr>
              <w:t>4</w:t>
            </w:r>
          </w:p>
        </w:tc>
        <w:tc>
          <w:tcPr>
            <w:tcW w:w="1983" w:type="dxa"/>
            <w:tcMar/>
            <w:vAlign w:val="center"/>
          </w:tcPr>
          <w:p w:rsidR="3CDA304F" w:rsidP="60478E62" w:rsidRDefault="3CDA304F" w14:paraId="6A0CEDAC" w14:textId="7C1EBE97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b w:val="1"/>
                <w:bCs w:val="1"/>
                <w:sz w:val="16"/>
                <w:szCs w:val="16"/>
              </w:rPr>
              <w:t>Documentación no alineada al estándar Interbank</w:t>
            </w:r>
          </w:p>
        </w:tc>
        <w:tc>
          <w:tcPr>
            <w:tcW w:w="1259" w:type="dxa"/>
            <w:tcMar/>
            <w:vAlign w:val="center"/>
          </w:tcPr>
          <w:p w:rsidR="3CDA304F" w:rsidP="60478E62" w:rsidRDefault="3CDA304F" w14:paraId="7BABBDC3" w14:textId="73815A99">
            <w:pPr>
              <w:spacing w:before="0" w:beforeAutospacing="off" w:after="0" w:afterAutospacing="off"/>
              <w:rPr>
                <w:b w:val="1"/>
                <w:bCs w:val="1"/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 xml:space="preserve">🟢 </w:t>
            </w:r>
            <w:r w:rsidRPr="60478E62" w:rsidR="1684DC86">
              <w:rPr>
                <w:b w:val="1"/>
                <w:bCs w:val="1"/>
                <w:sz w:val="16"/>
                <w:szCs w:val="16"/>
              </w:rPr>
              <w:t>Prácticamente resuelta</w:t>
            </w:r>
          </w:p>
        </w:tc>
        <w:tc>
          <w:tcPr>
            <w:tcW w:w="5620" w:type="dxa"/>
            <w:tcMar/>
            <w:vAlign w:val="center"/>
          </w:tcPr>
          <w:p w:rsidR="3CDA304F" w:rsidP="60478E62" w:rsidRDefault="3CDA304F" w14:paraId="427716F4" w14:textId="3ECC49B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60478E62" w:rsidR="1684DC86">
              <w:rPr>
                <w:sz w:val="16"/>
                <w:szCs w:val="16"/>
              </w:rPr>
              <w:t>La V3.1 tiene formato corporativo, estructura formal, referencias, secciones metodológicas y anexos/evidencias. La propia V3.1 declara la alineación realizada.</w:t>
            </w:r>
          </w:p>
        </w:tc>
      </w:tr>
    </w:tbl>
    <w:p xmlns:wp14="http://schemas.microsoft.com/office/word/2010/wordml" wp14:paraId="5C1A07E2" wp14:textId="02A524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E9A7D4"/>
    <w:rsid w:val="007E811E"/>
    <w:rsid w:val="0398BCA9"/>
    <w:rsid w:val="0F0CAC66"/>
    <w:rsid w:val="13E9A7D4"/>
    <w:rsid w:val="163FCA75"/>
    <w:rsid w:val="1684DC86"/>
    <w:rsid w:val="312C11D2"/>
    <w:rsid w:val="3671441B"/>
    <w:rsid w:val="3B2434ED"/>
    <w:rsid w:val="3C1EB85B"/>
    <w:rsid w:val="3CDA304F"/>
    <w:rsid w:val="459ABEFD"/>
    <w:rsid w:val="47635CC3"/>
    <w:rsid w:val="50401DF9"/>
    <w:rsid w:val="584581FB"/>
    <w:rsid w:val="5A0FA582"/>
    <w:rsid w:val="5E1135D5"/>
    <w:rsid w:val="60478E62"/>
    <w:rsid w:val="6B51DC5D"/>
    <w:rsid w:val="7017C722"/>
    <w:rsid w:val="75649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5CF5"/>
  <w15:chartTrackingRefBased/>
  <w15:docId w15:val="{62BBB244-9D9D-489D-BD4A-3EEC833347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2026-08-14T14:56:45.2166650Z</dcterms:created>
  <dcterms:modified xsi:type="dcterms:W3CDTF">2026-08-14T15:18:16.6892982Z</dcterms:modified>
  <dc:creator>Hernandez, Santiago Andres</dc:creator>
  <lastModifiedBy>Hernandez, Santiago Andres</lastModifiedBy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riptosClassAi">
    <vt:lpwstr>1-Uso Interno</vt:lpwstr>
  </property>
  <property fmtid="{D5CDD505-2E9C-101B-9397-08002B2CF9AE}" pid="3" name="MSIP_Label_a700de85-0e06-400f-8fdd-8b7ef4ecce44_Enabled">
    <vt:lpwstr>True</vt:lpwstr>
  </property>
  <property fmtid="{D5CDD505-2E9C-101B-9397-08002B2CF9AE}" pid="4" name="MSIP_Label_a700de85-0e06-400f-8fdd-8b7ef4ecce44_SiteId">
    <vt:lpwstr>360bc517-7aac-4c17-9907-4c5f13a12289</vt:lpwstr>
  </property>
  <property fmtid="{D5CDD505-2E9C-101B-9397-08002B2CF9AE}" pid="5" name="MSIP_Label_a700de85-0e06-400f-8fdd-8b7ef4ecce44_SetDate">
    <vt:lpwstr>2026-08-15T13:13:36Z</vt:lpwstr>
  </property>
  <property fmtid="{D5CDD505-2E9C-101B-9397-08002B2CF9AE}" pid="6" name="MSIP_Label_a700de85-0e06-400f-8fdd-8b7ef4ecce44_Name">
    <vt:lpwstr>Uso Interno</vt:lpwstr>
  </property>
  <property fmtid="{D5CDD505-2E9C-101B-9397-08002B2CF9AE}" pid="7" name="MSIP_Label_a700de85-0e06-400f-8fdd-8b7ef4ecce44_ActionId">
    <vt:lpwstr>327bd00a-1e0f-4f30-a584-0a01ff81d20c</vt:lpwstr>
  </property>
  <property fmtid="{D5CDD505-2E9C-101B-9397-08002B2CF9AE}" pid="8" name="MSIP_Label_a700de85-0e06-400f-8fdd-8b7ef4ecce44_Removed">
    <vt:lpwstr>False</vt:lpwstr>
  </property>
  <property fmtid="{D5CDD505-2E9C-101B-9397-08002B2CF9AE}" pid="9" name="MSIP_Label_a700de85-0e06-400f-8fdd-8b7ef4ecce44_Parent">
    <vt:lpwstr/>
  </property>
  <property fmtid="{D5CDD505-2E9C-101B-9397-08002B2CF9AE}" pid="10" name="MSIP_Label_a700de85-0e06-400f-8fdd-8b7ef4ecce44_Extended_MSFT_Method">
    <vt:lpwstr>Standard</vt:lpwstr>
  </property>
  <property fmtid="{D5CDD505-2E9C-101B-9397-08002B2CF9AE}" pid="11" name="Sensitivity">
    <vt:lpwstr>Uso Interno</vt:lpwstr>
  </property>
</Properties>
</file>