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jc w:val="left"/>
        <w:rPr/>
      </w:pPr>
      <w:r>
        <w:rPr/>
        <w:t>Revisión preenvío a Ubimia — Modelo PLAFT PJ Minorista</w:t>
      </w:r>
    </w:p>
    <w:p>
      <w:pPr>
        <w:pStyle w:val="BodyText"/>
        <w:bidi w:val="0"/>
        <w:jc w:val="left"/>
        <w:rPr/>
      </w:pPr>
      <w:r>
        <w:rPr>
          <w:b/>
        </w:rPr>
        <w:t>Fecha de revisión:</w:t>
      </w:r>
      <w:r>
        <w:rPr/>
        <w:t xml:space="preserve"> 31 de julio de 2026</w:t>
        <w:br/>
      </w:r>
      <w:r>
        <w:rPr>
          <w:b/>
        </w:rPr>
        <w:t>Alcance:</w:t>
      </w:r>
      <w:r>
        <w:rPr/>
        <w:t xml:space="preserve"> documento metodológico v3.1, consultas SQL, notebooks, preprocesamiento, artefacto de modelo y los dos informes de Ubimia disponibles en la carpeta del proyecto.</w:t>
      </w:r>
    </w:p>
    <w:p>
      <w:pPr>
        <w:pStyle w:val="BodyText"/>
        <w:bidi w:val="0"/>
        <w:jc w:val="left"/>
        <w:rPr/>
      </w:pPr>
      <w:r>
        <w:rPr/>
        <w:t>DICTAMEN: NO APTO PARA REMISIÓN COMO DOCUMENTO METODOLÓGICO FINAL NI PARA DECLARAR EL MODELO LISTO PARA PRODUCCIÓN.</w:t>
      </w:r>
    </w:p>
    <w:p>
      <w:pPr>
        <w:pStyle w:val="Heading2"/>
        <w:bidi w:val="0"/>
        <w:jc w:val="left"/>
        <w:rPr/>
      </w:pPr>
      <w:r>
        <w:rPr/>
        <w:t>Motivo del dictamen</w:t>
      </w:r>
    </w:p>
    <w:p>
      <w:pPr>
        <w:pStyle w:val="BodyText"/>
        <w:bidi w:val="0"/>
        <w:jc w:val="left"/>
        <w:rPr/>
      </w:pPr>
      <w:r>
        <w:rPr/>
        <w:t>La versión 3.1 declara correcciones y evidencia que no están respaldadas por los artefactos entregados. Las consultas y el código disponible contradicen afirmaciones sobre separación temporal, independencia de los conjuntos y tratamiento de faltantes. Enviar el documento como final expondría a Interbank a una observación por inconsistencia documental y cierre indebido de hallazgos de Ubimia.</w:t>
      </w:r>
    </w:p>
    <w:p>
      <w:pPr>
        <w:pStyle w:val="Heading2"/>
        <w:bidi w:val="0"/>
        <w:jc w:val="left"/>
        <w:rPr/>
      </w:pPr>
      <w:r>
        <w:rPr/>
        <w:t>Hallazgos que impiden el envío final</w:t>
      </w:r>
    </w:p>
    <w:tbl>
      <w:tblPr>
        <w:tblW w:w="10205" w:type="dxa"/>
        <w:jc w:val="left"/>
        <w:tblInd w:w="0" w:type="dxa"/>
        <w:tblLayout w:type="fixed"/>
        <w:tblCellMar>
          <w:top w:w="28" w:type="dxa"/>
          <w:left w:w="28" w:type="dxa"/>
          <w:bottom w:w="28" w:type="dxa"/>
          <w:right w:w="28" w:type="dxa"/>
        </w:tblCellMar>
      </w:tblPr>
      <w:tblGrid>
        <w:gridCol w:w="2170"/>
        <w:gridCol w:w="4579"/>
        <w:gridCol w:w="3456"/>
      </w:tblGrid>
      <w:tr>
        <w:trPr/>
        <w:tc>
          <w:tcPr>
            <w:tcW w:w="2170" w:type="dxa"/>
            <w:tcBorders/>
            <w:vAlign w:val="center"/>
          </w:tcPr>
          <w:p>
            <w:pPr>
              <w:pStyle w:val="Ttulodelatabla"/>
              <w:suppressLineNumbers/>
              <w:shd w:fill="07568A" w:val="clear"/>
              <w:bidi w:val="0"/>
              <w:spacing w:before="1134" w:after="1134"/>
              <w:jc w:val="center"/>
              <w:rPr/>
            </w:pPr>
            <w:r>
              <w:rPr/>
              <w:t>Prioridad</w:t>
            </w:r>
          </w:p>
        </w:tc>
        <w:tc>
          <w:tcPr>
            <w:tcW w:w="4579" w:type="dxa"/>
            <w:tcBorders/>
            <w:vAlign w:val="center"/>
          </w:tcPr>
          <w:p>
            <w:pPr>
              <w:pStyle w:val="Ttulodelatabla"/>
              <w:suppressLineNumbers/>
              <w:shd w:fill="07568A" w:val="clear"/>
              <w:bidi w:val="0"/>
              <w:spacing w:before="1134" w:after="1134"/>
              <w:jc w:val="center"/>
              <w:rPr/>
            </w:pPr>
            <w:r>
              <w:rPr/>
              <w:t>Hallazgo verificable y evidencia</w:t>
            </w:r>
          </w:p>
        </w:tc>
        <w:tc>
          <w:tcPr>
            <w:tcW w:w="3456" w:type="dxa"/>
            <w:tcBorders/>
            <w:vAlign w:val="center"/>
          </w:tcPr>
          <w:p>
            <w:pPr>
              <w:pStyle w:val="Ttulodelatabla"/>
              <w:suppressLineNumbers/>
              <w:shd w:fill="07568A" w:val="clear"/>
              <w:bidi w:val="0"/>
              <w:spacing w:before="1134" w:after="1134"/>
              <w:jc w:val="center"/>
              <w:rPr/>
            </w:pPr>
            <w:r>
              <w:rPr/>
              <w:t>Acción mínima para cierre</w:t>
            </w:r>
          </w:p>
        </w:tc>
      </w:tr>
      <w:tr>
        <w:trPr/>
        <w:tc>
          <w:tcPr>
            <w:tcW w:w="2170" w:type="dxa"/>
            <w:tcBorders/>
            <w:vAlign w:val="center"/>
          </w:tcPr>
          <w:p>
            <w:pPr>
              <w:pStyle w:val="Contenidodelatabla"/>
              <w:widowControl w:val="false"/>
              <w:suppressLineNumbers/>
              <w:bidi w:val="0"/>
              <w:spacing w:before="1134" w:after="1134"/>
              <w:jc w:val="left"/>
              <w:rPr/>
            </w:pPr>
            <w:r>
              <w:rPr/>
              <w:t>Crítica</w:t>
            </w:r>
          </w:p>
        </w:tc>
        <w:tc>
          <w:tcPr>
            <w:tcW w:w="4579" w:type="dxa"/>
            <w:tcBorders/>
            <w:vAlign w:val="center"/>
          </w:tcPr>
          <w:p>
            <w:pPr>
              <w:pStyle w:val="Contenidodelatabla"/>
              <w:widowControl w:val="false"/>
              <w:suppressLineNumbers/>
              <w:bidi w:val="0"/>
              <w:spacing w:before="1134" w:after="1134"/>
              <w:jc w:val="left"/>
              <w:rPr/>
            </w:pPr>
            <w:r>
              <w:rPr/>
              <w:t xml:space="preserve">No se demuestra una ventana de target de 30 días ni precedencia de variables. </w:t>
            </w:r>
            <w:r>
              <w:rPr>
                <w:rStyle w:val="Textooriginal"/>
              </w:rPr>
              <w:t>model_target.sql</w:t>
            </w:r>
            <w:r>
              <w:rPr/>
              <w:t xml:space="preserve"> une </w:t>
            </w:r>
            <w:r>
              <w:rPr>
                <w:rStyle w:val="Textooriginal"/>
              </w:rPr>
              <w:t>a.cod_mes = b.periodo_alerta</w:t>
            </w:r>
            <w:r>
              <w:rPr/>
              <w:t>; no usa fechas de generación/clasificación ni un corte temporal.</w:t>
            </w:r>
          </w:p>
        </w:tc>
        <w:tc>
          <w:tcPr>
            <w:tcW w:w="3456" w:type="dxa"/>
            <w:tcBorders/>
            <w:vAlign w:val="center"/>
          </w:tcPr>
          <w:p>
            <w:pPr>
              <w:pStyle w:val="Contenidodelatabla"/>
              <w:widowControl w:val="false"/>
              <w:suppressLineNumbers/>
              <w:bidi w:val="0"/>
              <w:spacing w:before="1134" w:after="1134"/>
              <w:jc w:val="left"/>
              <w:rPr/>
            </w:pPr>
            <w:r>
              <w:rPr/>
              <w:t>Corregir extracción con fechas de corte, conservar evidencia y reentrenar/reevaluar.</w:t>
            </w:r>
          </w:p>
        </w:tc>
      </w:tr>
      <w:tr>
        <w:trPr/>
        <w:tc>
          <w:tcPr>
            <w:tcW w:w="2170" w:type="dxa"/>
            <w:tcBorders/>
            <w:vAlign w:val="center"/>
          </w:tcPr>
          <w:p>
            <w:pPr>
              <w:pStyle w:val="Contenidodelatabla"/>
              <w:widowControl w:val="false"/>
              <w:suppressLineNumbers/>
              <w:bidi w:val="0"/>
              <w:spacing w:before="1134" w:after="1134"/>
              <w:jc w:val="left"/>
              <w:rPr/>
            </w:pPr>
            <w:r>
              <w:rPr/>
              <w:t>Crítica</w:t>
            </w:r>
          </w:p>
        </w:tc>
        <w:tc>
          <w:tcPr>
            <w:tcW w:w="4579" w:type="dxa"/>
            <w:tcBorders/>
            <w:vAlign w:val="center"/>
          </w:tcPr>
          <w:p>
            <w:pPr>
              <w:pStyle w:val="Contenidodelatabla"/>
              <w:widowControl w:val="false"/>
              <w:suppressLineNumbers/>
              <w:bidi w:val="0"/>
              <w:spacing w:before="1134" w:after="1134"/>
              <w:jc w:val="left"/>
              <w:rPr/>
            </w:pPr>
            <w:r>
              <w:rPr/>
              <w:t xml:space="preserve">Validación y test se solapan: en </w:t>
            </w:r>
            <w:r>
              <w:rPr>
                <w:rStyle w:val="Textooriginal"/>
              </w:rPr>
              <w:t>Train/preprocessing_1.py</w:t>
            </w:r>
            <w:r>
              <w:rPr/>
              <w:t>, validación = 202508–202509 y test = 202508–202604.</w:t>
            </w:r>
          </w:p>
        </w:tc>
        <w:tc>
          <w:tcPr>
            <w:tcW w:w="3456" w:type="dxa"/>
            <w:tcBorders/>
            <w:vAlign w:val="center"/>
          </w:tcPr>
          <w:p>
            <w:pPr>
              <w:pStyle w:val="Contenidodelatabla"/>
              <w:widowControl w:val="false"/>
              <w:suppressLineNumbers/>
              <w:bidi w:val="0"/>
              <w:spacing w:before="1134" w:after="1134"/>
              <w:jc w:val="left"/>
              <w:rPr/>
            </w:pPr>
            <w:r>
              <w:rPr/>
              <w:t>Definir particiones disjuntas; regenerar bases, modelo y métricas.</w:t>
            </w:r>
          </w:p>
        </w:tc>
      </w:tr>
      <w:tr>
        <w:trPr/>
        <w:tc>
          <w:tcPr>
            <w:tcW w:w="2170" w:type="dxa"/>
            <w:tcBorders/>
            <w:vAlign w:val="center"/>
          </w:tcPr>
          <w:p>
            <w:pPr>
              <w:pStyle w:val="Contenidodelatabla"/>
              <w:widowControl w:val="false"/>
              <w:suppressLineNumbers/>
              <w:bidi w:val="0"/>
              <w:spacing w:before="1134" w:after="1134"/>
              <w:jc w:val="left"/>
              <w:rPr/>
            </w:pPr>
            <w:r>
              <w:rPr/>
              <w:t>Alta</w:t>
            </w:r>
          </w:p>
        </w:tc>
        <w:tc>
          <w:tcPr>
            <w:tcW w:w="4579" w:type="dxa"/>
            <w:tcBorders/>
            <w:vAlign w:val="center"/>
          </w:tcPr>
          <w:p>
            <w:pPr>
              <w:pStyle w:val="Contenidodelatabla"/>
              <w:widowControl w:val="false"/>
              <w:suppressLineNumbers/>
              <w:bidi w:val="0"/>
              <w:spacing w:before="1134" w:after="1134"/>
              <w:jc w:val="left"/>
              <w:rPr/>
            </w:pPr>
            <w:r>
              <w:rPr/>
              <w:t xml:space="preserve">Faltantes no se tratan de forma diferenciada: </w:t>
            </w:r>
            <w:r>
              <w:rPr>
                <w:rStyle w:val="Textooriginal"/>
              </w:rPr>
              <w:t>TratamientoDF</w:t>
            </w:r>
            <w:r>
              <w:rPr/>
              <w:t xml:space="preserve"> aplica </w:t>
            </w:r>
            <w:r>
              <w:rPr>
                <w:rStyle w:val="Textooriginal"/>
              </w:rPr>
              <w:t>df.fillna(0)</w:t>
            </w:r>
            <w:r>
              <w:rPr/>
              <w:t>.</w:t>
            </w:r>
          </w:p>
        </w:tc>
        <w:tc>
          <w:tcPr>
            <w:tcW w:w="3456" w:type="dxa"/>
            <w:tcBorders/>
            <w:vAlign w:val="center"/>
          </w:tcPr>
          <w:p>
            <w:pPr>
              <w:pStyle w:val="Contenidodelatabla"/>
              <w:widowControl w:val="false"/>
              <w:suppressLineNumbers/>
              <w:bidi w:val="0"/>
              <w:spacing w:before="1134" w:after="1134"/>
              <w:jc w:val="left"/>
              <w:rPr/>
            </w:pPr>
            <w:r>
              <w:rPr/>
              <w:t>Implementar reglas por variable y documentar el resultado por variable.</w:t>
            </w:r>
          </w:p>
        </w:tc>
      </w:tr>
      <w:tr>
        <w:trPr/>
        <w:tc>
          <w:tcPr>
            <w:tcW w:w="2170" w:type="dxa"/>
            <w:tcBorders/>
            <w:vAlign w:val="center"/>
          </w:tcPr>
          <w:p>
            <w:pPr>
              <w:pStyle w:val="Contenidodelatabla"/>
              <w:widowControl w:val="false"/>
              <w:suppressLineNumbers/>
              <w:bidi w:val="0"/>
              <w:spacing w:before="1134" w:after="1134"/>
              <w:jc w:val="left"/>
              <w:rPr/>
            </w:pPr>
            <w:r>
              <w:rPr/>
              <w:t>Alta</w:t>
            </w:r>
          </w:p>
        </w:tc>
        <w:tc>
          <w:tcPr>
            <w:tcW w:w="4579" w:type="dxa"/>
            <w:tcBorders/>
            <w:vAlign w:val="center"/>
          </w:tcPr>
          <w:p>
            <w:pPr>
              <w:pStyle w:val="Contenidodelatabla"/>
              <w:widowControl w:val="false"/>
              <w:suppressLineNumbers/>
              <w:bidi w:val="0"/>
              <w:spacing w:before="1134" w:after="1134"/>
              <w:jc w:val="left"/>
              <w:rPr/>
            </w:pPr>
            <w:r>
              <w:rPr/>
              <w:t>No hay trazabilidad cerrada entre variables y objeto oficial. El documento alterna 36, 37 y 32 variables; el artefacto no tiene manifiesto ni anexo de columnas.</w:t>
            </w:r>
          </w:p>
        </w:tc>
        <w:tc>
          <w:tcPr>
            <w:tcW w:w="3456" w:type="dxa"/>
            <w:tcBorders/>
            <w:vAlign w:val="center"/>
          </w:tcPr>
          <w:p>
            <w:pPr>
              <w:pStyle w:val="Contenidodelatabla"/>
              <w:widowControl w:val="false"/>
              <w:suppressLineNumbers/>
              <w:bidi w:val="0"/>
              <w:spacing w:before="1134" w:after="1134"/>
              <w:jc w:val="left"/>
              <w:rPr/>
            </w:pPr>
            <w:r>
              <w:rPr/>
              <w:t>Emitir manifiesto con hash, lista ordenada de variables, tipos, transformaciones y parámetros.</w:t>
            </w:r>
          </w:p>
        </w:tc>
      </w:tr>
      <w:tr>
        <w:trPr/>
        <w:tc>
          <w:tcPr>
            <w:tcW w:w="2170" w:type="dxa"/>
            <w:tcBorders/>
            <w:vAlign w:val="center"/>
          </w:tcPr>
          <w:p>
            <w:pPr>
              <w:pStyle w:val="Contenidodelatabla"/>
              <w:widowControl w:val="false"/>
              <w:suppressLineNumbers/>
              <w:bidi w:val="0"/>
              <w:spacing w:before="1134" w:after="1134"/>
              <w:jc w:val="left"/>
              <w:rPr/>
            </w:pPr>
            <w:r>
              <w:rPr/>
              <w:t>Alta</w:t>
            </w:r>
          </w:p>
        </w:tc>
        <w:tc>
          <w:tcPr>
            <w:tcW w:w="4579" w:type="dxa"/>
            <w:tcBorders/>
            <w:vAlign w:val="center"/>
          </w:tcPr>
          <w:p>
            <w:pPr>
              <w:pStyle w:val="Contenidodelatabla"/>
              <w:widowControl w:val="false"/>
              <w:suppressLineNumbers/>
              <w:bidi w:val="0"/>
              <w:spacing w:before="1134" w:after="1134"/>
              <w:jc w:val="left"/>
              <w:rPr/>
            </w:pPr>
            <w:r>
              <w:rPr/>
              <w:t>Las discrepancias de alertas automáticas de 202512 y 202601 no tienen análisis reproducible que confirme su causa.</w:t>
            </w:r>
          </w:p>
        </w:tc>
        <w:tc>
          <w:tcPr>
            <w:tcW w:w="3456" w:type="dxa"/>
            <w:tcBorders/>
            <w:vAlign w:val="center"/>
          </w:tcPr>
          <w:p>
            <w:pPr>
              <w:pStyle w:val="Contenidodelatabla"/>
              <w:widowControl w:val="false"/>
              <w:suppressLineNumbers/>
              <w:bidi w:val="0"/>
              <w:spacing w:before="1134" w:after="1134"/>
              <w:jc w:val="left"/>
              <w:rPr/>
            </w:pPr>
            <w:r>
              <w:rPr/>
              <w:t>Conciliar sobre base congelada, con filtro productivo y resultados por mes.</w:t>
            </w:r>
          </w:p>
        </w:tc>
      </w:tr>
      <w:tr>
        <w:trPr/>
        <w:tc>
          <w:tcPr>
            <w:tcW w:w="2170" w:type="dxa"/>
            <w:tcBorders/>
            <w:vAlign w:val="center"/>
          </w:tcPr>
          <w:p>
            <w:pPr>
              <w:pStyle w:val="Contenidodelatabla"/>
              <w:widowControl w:val="false"/>
              <w:suppressLineNumbers/>
              <w:bidi w:val="0"/>
              <w:spacing w:before="1134" w:after="1134"/>
              <w:jc w:val="left"/>
              <w:rPr/>
            </w:pPr>
            <w:r>
              <w:rPr/>
              <w:t>Media</w:t>
            </w:r>
          </w:p>
        </w:tc>
        <w:tc>
          <w:tcPr>
            <w:tcW w:w="4579" w:type="dxa"/>
            <w:tcBorders/>
            <w:vAlign w:val="center"/>
          </w:tcPr>
          <w:p>
            <w:pPr>
              <w:pStyle w:val="Contenidodelatabla"/>
              <w:widowControl w:val="false"/>
              <w:suppressLineNumbers/>
              <w:bidi w:val="0"/>
              <w:spacing w:before="1134" w:after="1134"/>
              <w:jc w:val="left"/>
              <w:rPr/>
            </w:pPr>
            <w:r>
              <w:rPr/>
              <w:t>La proporción de clientes sin alerta es 0.05% en alcance/población y 0.5% en metodología; se informan conteos aproximados y faltan soportes citados.</w:t>
            </w:r>
          </w:p>
        </w:tc>
        <w:tc>
          <w:tcPr>
            <w:tcW w:w="3456" w:type="dxa"/>
            <w:tcBorders/>
            <w:vAlign w:val="center"/>
          </w:tcPr>
          <w:p>
            <w:pPr>
              <w:pStyle w:val="Contenidodelatabla"/>
              <w:widowControl w:val="false"/>
              <w:suppressLineNumbers/>
              <w:bidi w:val="0"/>
              <w:spacing w:before="1134" w:after="1134"/>
              <w:jc w:val="left"/>
              <w:rPr/>
            </w:pPr>
            <w:r>
              <w:rPr/>
              <w:t>Publicar tabla única con conteos exactos, tasa positiva, periodos y criterios.</w:t>
            </w:r>
          </w:p>
        </w:tc>
      </w:tr>
      <w:tr>
        <w:trPr/>
        <w:tc>
          <w:tcPr>
            <w:tcW w:w="2170" w:type="dxa"/>
            <w:tcBorders/>
            <w:vAlign w:val="center"/>
          </w:tcPr>
          <w:p>
            <w:pPr>
              <w:pStyle w:val="Contenidodelatabla"/>
              <w:widowControl w:val="false"/>
              <w:suppressLineNumbers/>
              <w:bidi w:val="0"/>
              <w:spacing w:before="1134" w:after="1134"/>
              <w:jc w:val="left"/>
              <w:rPr/>
            </w:pPr>
            <w:r>
              <w:rPr/>
              <w:t>Media</w:t>
            </w:r>
          </w:p>
        </w:tc>
        <w:tc>
          <w:tcPr>
            <w:tcW w:w="4579" w:type="dxa"/>
            <w:tcBorders/>
            <w:vAlign w:val="center"/>
          </w:tcPr>
          <w:p>
            <w:pPr>
              <w:pStyle w:val="Contenidodelatabla"/>
              <w:widowControl w:val="false"/>
              <w:suppressLineNumbers/>
              <w:bidi w:val="0"/>
              <w:spacing w:before="1134" w:after="1134"/>
              <w:jc w:val="left"/>
              <w:rPr/>
            </w:pPr>
            <w:r>
              <w:rPr/>
              <w:t>Se afirma calibración corregida/independiente, pero también no implementada; los scripts citados no están en el paquete.</w:t>
            </w:r>
          </w:p>
        </w:tc>
        <w:tc>
          <w:tcPr>
            <w:tcW w:w="3456" w:type="dxa"/>
            <w:tcBorders/>
            <w:vAlign w:val="center"/>
          </w:tcPr>
          <w:p>
            <w:pPr>
              <w:pStyle w:val="Contenidodelatabla"/>
              <w:widowControl w:val="false"/>
              <w:suppressLineNumbers/>
              <w:bidi w:val="0"/>
              <w:spacing w:before="1134" w:after="1134"/>
              <w:jc w:val="left"/>
              <w:rPr/>
            </w:pPr>
            <w:r>
              <w:rPr/>
              <w:t>Declarar que no se aplicó/no se evaluó o aportar los artefactos y resultados reproducibles.</w:t>
            </w:r>
          </w:p>
        </w:tc>
      </w:tr>
    </w:tbl>
    <w:p>
      <w:pPr>
        <w:pStyle w:val="Heading2"/>
        <w:bidi w:val="0"/>
        <w:jc w:val="left"/>
        <w:rPr/>
      </w:pPr>
      <w:r>
        <w:rPr/>
        <w:t>Correcciones editoriales obligatorias en v3.1</w:t>
      </w:r>
    </w:p>
    <w:p>
      <w:pPr>
        <w:pStyle w:val="BodyText"/>
        <w:numPr>
          <w:ilvl w:val="0"/>
          <w:numId w:val="1"/>
        </w:numPr>
        <w:tabs>
          <w:tab w:val="clear" w:pos="709"/>
          <w:tab w:val="left" w:pos="1843" w:leader="none"/>
        </w:tabs>
        <w:bidi w:val="0"/>
        <w:spacing w:before="0" w:after="0"/>
        <w:ind w:hanging="283" w:left="1843"/>
        <w:jc w:val="left"/>
        <w:rPr/>
      </w:pPr>
      <w:r>
        <w:rPr/>
        <w:t>Eliminar “Listo para implementación en producción” y las marcas de cierre/aprobación.</w:t>
      </w:r>
    </w:p>
    <w:p>
      <w:pPr>
        <w:pStyle w:val="BodyText"/>
        <w:numPr>
          <w:ilvl w:val="0"/>
          <w:numId w:val="1"/>
        </w:numPr>
        <w:tabs>
          <w:tab w:val="clear" w:pos="709"/>
          <w:tab w:val="left" w:pos="1843" w:leader="none"/>
        </w:tabs>
        <w:bidi w:val="0"/>
        <w:spacing w:before="0" w:after="0"/>
        <w:ind w:hanging="283" w:left="1843"/>
        <w:jc w:val="left"/>
        <w:rPr/>
      </w:pPr>
      <w:r>
        <w:rPr/>
        <w:t>Eliminar afirmaciones de no traslape y separación a nivel cliente sin reporte respaldatorio.</w:t>
      </w:r>
    </w:p>
    <w:p>
      <w:pPr>
        <w:pStyle w:val="BodyText"/>
        <w:numPr>
          <w:ilvl w:val="0"/>
          <w:numId w:val="1"/>
        </w:numPr>
        <w:tabs>
          <w:tab w:val="clear" w:pos="709"/>
          <w:tab w:val="left" w:pos="1843" w:leader="none"/>
        </w:tabs>
        <w:bidi w:val="0"/>
        <w:spacing w:before="0" w:after="0"/>
        <w:ind w:hanging="283" w:left="1843"/>
        <w:jc w:val="left"/>
        <w:rPr/>
      </w:pPr>
      <w:r>
        <w:rPr/>
        <w:t>Eliminar “mitigaciones implementadas” y “se verifica” sobre integridad temporal.</w:t>
      </w:r>
    </w:p>
    <w:p>
      <w:pPr>
        <w:pStyle w:val="BodyText"/>
        <w:numPr>
          <w:ilvl w:val="0"/>
          <w:numId w:val="1"/>
        </w:numPr>
        <w:tabs>
          <w:tab w:val="clear" w:pos="709"/>
          <w:tab w:val="left" w:pos="1843" w:leader="none"/>
        </w:tabs>
        <w:bidi w:val="0"/>
        <w:spacing w:before="0" w:after="0"/>
        <w:ind w:hanging="283" w:left="1843"/>
        <w:jc w:val="left"/>
        <w:rPr/>
      </w:pPr>
      <w:r>
        <w:rPr/>
        <w:t>Reemplazar la estrategia de imputación diferenciada por el comportamiento realmente implementado o implementar el cambio.</w:t>
      </w:r>
    </w:p>
    <w:p>
      <w:pPr>
        <w:pStyle w:val="BodyText"/>
        <w:numPr>
          <w:ilvl w:val="0"/>
          <w:numId w:val="1"/>
        </w:numPr>
        <w:tabs>
          <w:tab w:val="clear" w:pos="709"/>
          <w:tab w:val="left" w:pos="1843" w:leader="none"/>
        </w:tabs>
        <w:bidi w:val="0"/>
        <w:spacing w:before="0" w:after="0"/>
        <w:ind w:hanging="283" w:left="1843"/>
        <w:jc w:val="left"/>
        <w:rPr/>
      </w:pPr>
      <w:r>
        <w:rPr/>
        <w:t>Eliminar calibración ejecutada/corregida y sus métricas teóricas sin evidencia.</w:t>
      </w:r>
    </w:p>
    <w:p>
      <w:pPr>
        <w:pStyle w:val="BodyText"/>
        <w:numPr>
          <w:ilvl w:val="0"/>
          <w:numId w:val="1"/>
        </w:numPr>
        <w:tabs>
          <w:tab w:val="clear" w:pos="709"/>
          <w:tab w:val="left" w:pos="1843" w:leader="none"/>
        </w:tabs>
        <w:bidi w:val="0"/>
        <w:spacing w:before="0" w:after="0"/>
        <w:ind w:hanging="283" w:left="1843"/>
        <w:jc w:val="left"/>
        <w:rPr/>
      </w:pPr>
      <w:r>
        <w:rPr/>
        <w:t>Retirar explicaciones causales no probadas para diciembre 2025 y enero 2026.</w:t>
      </w:r>
    </w:p>
    <w:p>
      <w:pPr>
        <w:pStyle w:val="BodyText"/>
        <w:numPr>
          <w:ilvl w:val="0"/>
          <w:numId w:val="1"/>
        </w:numPr>
        <w:tabs>
          <w:tab w:val="clear" w:pos="709"/>
          <w:tab w:val="left" w:pos="1843" w:leader="none"/>
        </w:tabs>
        <w:bidi w:val="0"/>
        <w:ind w:hanging="283" w:left="1843"/>
        <w:jc w:val="left"/>
        <w:rPr/>
      </w:pPr>
      <w:r>
        <w:rPr/>
        <w:t>Unificar población, unidad de análisis, porcentaje sin alerta, periodos, variables finales, universo productivo y versión/hash del modelo.</w:t>
      </w:r>
    </w:p>
    <w:p>
      <w:pPr>
        <w:pStyle w:val="Heading2"/>
        <w:bidi w:val="0"/>
        <w:jc w:val="left"/>
        <w:rPr/>
      </w:pPr>
      <w:r>
        <w:rPr/>
        <w:t>Paquete requerido para el envío final</w:t>
      </w:r>
    </w:p>
    <w:p>
      <w:pPr>
        <w:pStyle w:val="BodyText"/>
        <w:numPr>
          <w:ilvl w:val="0"/>
          <w:numId w:val="2"/>
        </w:numPr>
        <w:tabs>
          <w:tab w:val="clear" w:pos="709"/>
          <w:tab w:val="left" w:pos="1843" w:leader="none"/>
        </w:tabs>
        <w:bidi w:val="0"/>
        <w:spacing w:before="0" w:after="0"/>
        <w:ind w:hanging="283" w:left="1843"/>
        <w:jc w:val="left"/>
        <w:rPr/>
      </w:pPr>
      <w:r>
        <w:rPr/>
        <w:t>Documento metodológico corregido con control de versiones, responsables y aprobaciones.</w:t>
      </w:r>
    </w:p>
    <w:p>
      <w:pPr>
        <w:pStyle w:val="BodyText"/>
        <w:numPr>
          <w:ilvl w:val="0"/>
          <w:numId w:val="2"/>
        </w:numPr>
        <w:tabs>
          <w:tab w:val="clear" w:pos="709"/>
          <w:tab w:val="left" w:pos="1843" w:leader="none"/>
        </w:tabs>
        <w:bidi w:val="0"/>
        <w:spacing w:before="0" w:after="0"/>
        <w:ind w:hanging="283" w:left="1843"/>
        <w:jc w:val="left"/>
        <w:rPr/>
      </w:pPr>
      <w:r>
        <w:rPr/>
        <w:t>Matriz de respuesta a cada hallazgo de Ubimia con evidencia/anexo exacto.</w:t>
      </w:r>
    </w:p>
    <w:p>
      <w:pPr>
        <w:pStyle w:val="BodyText"/>
        <w:numPr>
          <w:ilvl w:val="0"/>
          <w:numId w:val="2"/>
        </w:numPr>
        <w:tabs>
          <w:tab w:val="clear" w:pos="709"/>
          <w:tab w:val="left" w:pos="1843" w:leader="none"/>
        </w:tabs>
        <w:bidi w:val="0"/>
        <w:spacing w:before="0" w:after="0"/>
        <w:ind w:hanging="283" w:left="1843"/>
        <w:jc w:val="left"/>
        <w:rPr/>
      </w:pPr>
      <w:r>
        <w:rPr/>
        <w:t>Diccionario formal: nombre, definición, tipo, fuente, dominio, ventana, transformación y faltantes.</w:t>
      </w:r>
    </w:p>
    <w:p>
      <w:pPr>
        <w:pStyle w:val="BodyText"/>
        <w:numPr>
          <w:ilvl w:val="0"/>
          <w:numId w:val="2"/>
        </w:numPr>
        <w:tabs>
          <w:tab w:val="clear" w:pos="709"/>
          <w:tab w:val="left" w:pos="1843" w:leader="none"/>
        </w:tabs>
        <w:bidi w:val="0"/>
        <w:spacing w:before="0" w:after="0"/>
        <w:ind w:hanging="283" w:left="1843"/>
        <w:jc w:val="left"/>
        <w:rPr/>
      </w:pPr>
      <w:r>
        <w:rPr/>
        <w:t>Consultas SQL parametrizadas y salidas congeladas para población, target, train, validación y test.</w:t>
      </w:r>
    </w:p>
    <w:p>
      <w:pPr>
        <w:pStyle w:val="BodyText"/>
        <w:numPr>
          <w:ilvl w:val="0"/>
          <w:numId w:val="2"/>
        </w:numPr>
        <w:tabs>
          <w:tab w:val="clear" w:pos="709"/>
          <w:tab w:val="left" w:pos="1843" w:leader="none"/>
        </w:tabs>
        <w:bidi w:val="0"/>
        <w:spacing w:before="0" w:after="0"/>
        <w:ind w:hanging="283" w:left="1843"/>
        <w:jc w:val="left"/>
        <w:rPr/>
      </w:pPr>
      <w:r>
        <w:rPr/>
        <w:t>Pruebas de no leakage y exclusividad de clientes; código versionado del pipeline.</w:t>
      </w:r>
    </w:p>
    <w:p>
      <w:pPr>
        <w:pStyle w:val="BodyText"/>
        <w:numPr>
          <w:ilvl w:val="0"/>
          <w:numId w:val="2"/>
        </w:numPr>
        <w:tabs>
          <w:tab w:val="clear" w:pos="709"/>
          <w:tab w:val="left" w:pos="1843" w:leader="none"/>
        </w:tabs>
        <w:bidi w:val="0"/>
        <w:spacing w:before="0" w:after="0"/>
        <w:ind w:hanging="283" w:left="1843"/>
        <w:jc w:val="left"/>
        <w:rPr/>
      </w:pPr>
      <w:r>
        <w:rPr/>
        <w:t>Artefacto oficial con SHA-256 y manifiesto de variables/parámetros.</w:t>
      </w:r>
    </w:p>
    <w:p>
      <w:pPr>
        <w:pStyle w:val="BodyText"/>
        <w:numPr>
          <w:ilvl w:val="0"/>
          <w:numId w:val="2"/>
        </w:numPr>
        <w:tabs>
          <w:tab w:val="clear" w:pos="709"/>
          <w:tab w:val="left" w:pos="1843" w:leader="none"/>
        </w:tabs>
        <w:bidi w:val="0"/>
        <w:ind w:hanging="283" w:left="1843"/>
        <w:jc w:val="left"/>
        <w:rPr/>
      </w:pPr>
      <w:r>
        <w:rPr/>
        <w:t>Métricas reproducibles globales y del universo productivo: precisión, recall y lift Top-K.</w:t>
      </w:r>
    </w:p>
    <w:p>
      <w:pPr>
        <w:pStyle w:val="Heading2"/>
        <w:bidi w:val="0"/>
        <w:jc w:val="left"/>
        <w:rPr/>
      </w:pPr>
      <w:r>
        <w:rPr/>
        <w:t>Texto sugerido para responsables internos</w:t>
      </w:r>
    </w:p>
    <w:p>
      <w:pPr>
        <w:pStyle w:val="BodyText"/>
        <w:bidi w:val="0"/>
        <w:jc w:val="left"/>
        <w:rPr>
          <w:i/>
        </w:rPr>
      </w:pPr>
      <w:r>
        <w:rPr>
          <w:i/>
        </w:rPr>
        <w:t>La revisión de la versión 3.1 identificó que varios hallazgos de Ubimia figuran como corregidos en el documento, pero no están soportados por los artefactos de desarrollo disponibles. Para preservar la trazabilidad y no emitir declaraciones no verificables, el documento no debe remitirse como versión final hasta completar las acciones indicadas. Una vez generados los anexos y reejecutadas las validaciones, se emitirá una versión metodológica final con matriz de cierre y control de versiones.</w:t>
      </w:r>
    </w:p>
    <w:p>
      <w:pPr>
        <w:pStyle w:val="Heading2"/>
        <w:bidi w:val="0"/>
        <w:jc w:val="left"/>
        <w:rPr/>
      </w:pPr>
      <w:r>
        <w:rPr/>
        <w:t>Fuentes revisadas</w:t>
      </w:r>
    </w:p>
    <w:p>
      <w:pPr>
        <w:pStyle w:val="BodyText"/>
        <w:bidi w:val="0"/>
        <w:spacing w:before="0" w:after="140"/>
        <w:jc w:val="left"/>
        <w:rPr/>
      </w:pPr>
      <w:r>
        <w:rPr>
          <w:rStyle w:val="Textooriginal"/>
        </w:rPr>
        <w:t>Ubimia - Interbank - Réplica - Resultados validación modelo PLAFT (v2.0).pdf</w:t>
      </w:r>
      <w:r>
        <w:rPr/>
        <w:br/>
      </w:r>
      <w:r>
        <w:rPr>
          <w:rStyle w:val="Textooriginal"/>
        </w:rPr>
        <w:t>Ubimia - Interbank - Réplica - Informe de validación modelo PLAFT (v1.0).seguro.pdf</w:t>
      </w:r>
      <w:r>
        <w:rPr/>
        <w:br/>
      </w:r>
      <w:r>
        <w:rPr>
          <w:rStyle w:val="Textooriginal"/>
        </w:rPr>
        <w:t>DOCUMENTO_METODOLOGICO_PLAFT_PJ_MINORISTA_v3.txt</w:t>
      </w:r>
      <w:r>
        <w:rPr/>
        <w:t xml:space="preserve"> y su DOCX v3.1</w:t>
        <w:br/>
      </w:r>
      <w:r>
        <w:rPr>
          <w:rStyle w:val="Textooriginal"/>
        </w:rPr>
        <w:t>Bases/Querys/model_target.sql</w:t>
      </w:r>
      <w:r>
        <w:rPr/>
        <w:t xml:space="preserve">, </w:t>
      </w:r>
      <w:r>
        <w:rPr>
          <w:rStyle w:val="Textooriginal"/>
        </w:rPr>
        <w:t>Bases/Querys/model_variables.sql</w:t>
      </w:r>
      <w:r>
        <w:rPr/>
        <w:t xml:space="preserve">, </w:t>
      </w:r>
      <w:r>
        <w:rPr>
          <w:rStyle w:val="Textooriginal"/>
        </w:rPr>
        <w:t>01.genera_base_train.ipynb</w:t>
      </w:r>
      <w:r>
        <w:rPr/>
        <w:t xml:space="preserve">, </w:t>
      </w:r>
      <w:r>
        <w:rPr>
          <w:rStyle w:val="Textooriginal"/>
        </w:rPr>
        <w:t>Train/preprocessing_1.py</w:t>
      </w:r>
      <w:r>
        <w:rPr/>
        <w:t xml:space="preserve">, </w:t>
      </w:r>
      <w:r>
        <w:rPr>
          <w:rStyle w:val="Textooriginal"/>
        </w:rPr>
        <w:t>Train/hpo.txt</w:t>
      </w:r>
      <w:r>
        <w:rPr/>
        <w:t xml:space="preserve">, </w:t>
      </w:r>
      <w:r>
        <w:rPr>
          <w:rStyle w:val="Textooriginal"/>
        </w:rPr>
        <w:t>Train/metricas_train.txt</w:t>
      </w:r>
      <w:r>
        <w:rPr/>
        <w:t xml:space="preserve"> y </w:t>
      </w:r>
      <w:r>
        <w:rPr>
          <w:rStyle w:val="Textooriginal"/>
        </w:rPr>
        <w:t>Train/model.tar.gz</w:t>
      </w:r>
    </w:p>
    <w:sectPr>
      <w:type w:val="nextPage"/>
      <w:pgSz w:w="11906" w:h="16838"/>
      <w:pgMar w:left="1134" w:right="567" w:gutter="0" w:header="0" w:top="567" w:footer="0" w:bottom="567"/>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altName w:val="sans-serif"/>
    <w:charset w:val="01"/>
    <w:family w:val="auto"/>
    <w:pitch w:val="default"/>
  </w:font>
  <w:font w:name="Consolas">
    <w:altName w:val="monospace"/>
    <w:charset w:val="01"/>
    <w:family w:val="auto"/>
    <w:pitch w:val="default"/>
  </w:font>
  <w:font w:name="Liberation Sans">
    <w:altName w:val="Arial"/>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80"/>
  <w:defaultTabStop w:val="709"/>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s-AR" w:eastAsia="zh-CN" w:bidi="hi-IN"/>
      </w:rPr>
    </w:rPrDefault>
    <w:pPrDefault>
      <w:pPr>
        <w:suppressAutoHyphens w:val="true"/>
      </w:pPr>
    </w:pPrDefault>
  </w:docDefaults>
  <w:style w:type="paragraph" w:styleId="Normal">
    <w:name w:val="Normal"/>
    <w:qFormat/>
    <w:pPr>
      <w:widowControl w:val="false"/>
      <w:bidi w:val="0"/>
      <w:spacing w:lineRule="auto" w:line="324" w:before="1134" w:after="1134"/>
      <w:ind w:left="1134" w:right="1134"/>
    </w:pPr>
    <w:rPr>
      <w:rFonts w:ascii="Arial;sans-serif" w:hAnsi="Arial;sans-serif" w:eastAsia="Arial;sans-serif" w:cs="Arial;sans-serif"/>
      <w:color w:val="202020"/>
      <w:sz w:val="21"/>
      <w:szCs w:val="21"/>
      <w:lang w:val="es-AR" w:eastAsia="zh-CN" w:bidi="hi-IN"/>
    </w:rPr>
  </w:style>
  <w:style w:type="paragraph" w:styleId="Heading1">
    <w:name w:val="Heading 1"/>
    <w:basedOn w:val="Ttulo"/>
    <w:next w:val="BodyText"/>
    <w:qFormat/>
    <w:pPr>
      <w:spacing w:before="240" w:after="120"/>
      <w:outlineLvl w:val="0"/>
    </w:pPr>
    <w:rPr>
      <w:rFonts w:ascii="Liberation Serif" w:hAnsi="Liberation Serif" w:eastAsia="Noto Serif CJK SC" w:cs="Noto Sans Devanagari"/>
      <w:b/>
      <w:bCs/>
      <w:color w:val="07568A"/>
      <w:sz w:val="38"/>
      <w:szCs w:val="38"/>
    </w:rPr>
  </w:style>
  <w:style w:type="paragraph" w:styleId="Heading2">
    <w:name w:val="Heading 2"/>
    <w:basedOn w:val="Ttulo"/>
    <w:next w:val="BodyText"/>
    <w:qFormat/>
    <w:pPr>
      <w:spacing w:before="360" w:after="120"/>
      <w:outlineLvl w:val="1"/>
    </w:pPr>
    <w:rPr>
      <w:rFonts w:ascii="Liberation Serif" w:hAnsi="Liberation Serif" w:eastAsia="Noto Serif CJK SC" w:cs="Noto Sans Devanagari"/>
      <w:b/>
      <w:bCs/>
      <w:color w:val="07568A"/>
      <w:sz w:val="26"/>
      <w:szCs w:val="26"/>
    </w:rPr>
  </w:style>
  <w:style w:type="character" w:styleId="Textooriginal">
    <w:name w:val="Texto original"/>
    <w:qFormat/>
    <w:rPr>
      <w:rFonts w:ascii="Consolas;monospace" w:hAnsi="Consolas;monospace" w:eastAsia="Consolas;monospace" w:cs="Consolas;monospace"/>
      <w:sz w:val="16"/>
      <w:szCs w:val="16"/>
    </w:rPr>
  </w:style>
  <w:style w:type="character" w:styleId="Smbolosdenumeracin">
    <w:name w:val="Símbolos de numeración"/>
    <w:qFormat/>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Contenidodelatabla">
    <w:name w:val="Contenido de la tabla"/>
    <w:basedOn w:val="Normal"/>
    <w:qFormat/>
    <w:pPr>
      <w:widowControl w:val="false"/>
      <w:suppressLineNumbers/>
    </w:pPr>
    <w:rPr/>
  </w:style>
  <w:style w:type="paragraph" w:styleId="Ttulodelatabla">
    <w:name w:val="Título de la tabla"/>
    <w:basedOn w:val="Contenidodelatabla"/>
    <w:qFormat/>
    <w:pPr>
      <w:suppressLineNumbers/>
      <w:shd w:fill="07568A" w:val="clear"/>
      <w:jc w:val="center"/>
    </w:pPr>
    <w:rPr>
      <w:b/>
      <w:bCs/>
      <w:color w:val="FFFFFF"/>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es-AR</dc:language>
  <cp:lastModifiedBy/>
  <cp:revision>0</cp:revision>
  <dc:subject/>
  <dc:title>Revisión preenvío a Ubimia</dc:title>
</cp:coreProperties>
</file>

<file path=docProps/custom.xml><?xml version="1.0" encoding="utf-8"?>
<Properties xmlns:vt="http://schemas.openxmlformats.org/officeDocument/2006/docPropsVTypes" xmlns="http://schemas.openxmlformats.org/officeDocument/2006/custom-properties">
  <property fmtid="{D5CDD505-2E9C-101B-9397-08002B2CF9AE}" pid="2" name="KriptosClassAi">
    <vt:lpwstr>1-Uso Interno</vt:lpwstr>
  </property>
  <property fmtid="{D5CDD505-2E9C-101B-9397-08002B2CF9AE}" pid="3" name="MSIP_Label_a700de85-0e06-400f-8fdd-8b7ef4ecce44_Enabled">
    <vt:lpwstr>True</vt:lpwstr>
  </property>
  <property fmtid="{D5CDD505-2E9C-101B-9397-08002B2CF9AE}" pid="4" name="MSIP_Label_a700de85-0e06-400f-8fdd-8b7ef4ecce44_SiteId">
    <vt:lpwstr>360bc517-7aac-4c17-9907-4c5f13a12289</vt:lpwstr>
  </property>
  <property fmtid="{D5CDD505-2E9C-101B-9397-08002B2CF9AE}" pid="5" name="MSIP_Label_a700de85-0e06-400f-8fdd-8b7ef4ecce44_SetDate">
    <vt:lpwstr>2026-08-01T13:23:51Z</vt:lpwstr>
  </property>
  <property fmtid="{D5CDD505-2E9C-101B-9397-08002B2CF9AE}" pid="6" name="MSIP_Label_a700de85-0e06-400f-8fdd-8b7ef4ecce44_Name">
    <vt:lpwstr>Uso Interno</vt:lpwstr>
  </property>
  <property fmtid="{D5CDD505-2E9C-101B-9397-08002B2CF9AE}" pid="7" name="MSIP_Label_a700de85-0e06-400f-8fdd-8b7ef4ecce44_ActionId">
    <vt:lpwstr>80371c9b-eabd-4166-bb49-7cf794ea6ae3</vt:lpwstr>
  </property>
  <property fmtid="{D5CDD505-2E9C-101B-9397-08002B2CF9AE}" pid="8" name="MSIP_Label_a700de85-0e06-400f-8fdd-8b7ef4ecce44_Removed">
    <vt:lpwstr>False</vt:lpwstr>
  </property>
  <property fmtid="{D5CDD505-2E9C-101B-9397-08002B2CF9AE}" pid="9" name="MSIP_Label_a700de85-0e06-400f-8fdd-8b7ef4ecce44_Parent">
    <vt:lpwstr/>
  </property>
  <property fmtid="{D5CDD505-2E9C-101B-9397-08002B2CF9AE}" pid="10" name="MSIP_Label_a700de85-0e06-400f-8fdd-8b7ef4ecce44_Extended_MSFT_Method">
    <vt:lpwstr>Standard</vt:lpwstr>
  </property>
  <property fmtid="{D5CDD505-2E9C-101B-9397-08002B2CF9AE}" pid="11" name="Sensitivity">
    <vt:lpwstr>Uso Interno</vt:lpwstr>
  </property>
</Properties>
</file>