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1DAF" w14:textId="570F427F" w:rsidR="00203AE7" w:rsidRPr="00380511" w:rsidRDefault="00203AE7" w:rsidP="00203AE7">
      <w:pPr>
        <w:rPr>
          <w:b/>
          <w:bCs/>
          <w:sz w:val="28"/>
          <w:szCs w:val="28"/>
        </w:rPr>
      </w:pPr>
      <w:r w:rsidRPr="00380511">
        <w:rPr>
          <w:b/>
          <w:bCs/>
          <w:sz w:val="28"/>
          <w:szCs w:val="28"/>
        </w:rPr>
        <w:t>Crowdfunding Campaigns Analysis Report</w:t>
      </w:r>
    </w:p>
    <w:p w14:paraId="633B7A65" w14:textId="77777777" w:rsidR="00203AE7" w:rsidRDefault="00203AE7" w:rsidP="00203AE7"/>
    <w:p w14:paraId="7BD35AE4" w14:textId="7305324A" w:rsidR="00203AE7" w:rsidRPr="00203AE7" w:rsidRDefault="00203AE7" w:rsidP="00203AE7">
      <w:pPr>
        <w:rPr>
          <w:b/>
          <w:bCs/>
          <w:sz w:val="28"/>
          <w:szCs w:val="28"/>
        </w:rPr>
      </w:pPr>
      <w:r w:rsidRPr="00203AE7">
        <w:rPr>
          <w:b/>
          <w:bCs/>
          <w:sz w:val="28"/>
          <w:szCs w:val="28"/>
        </w:rPr>
        <w:t>Summary:</w:t>
      </w:r>
    </w:p>
    <w:p w14:paraId="7652D3BD" w14:textId="77777777" w:rsidR="00203AE7" w:rsidRPr="00203AE7" w:rsidRDefault="00203AE7" w:rsidP="00203AE7">
      <w:pPr>
        <w:rPr>
          <w:sz w:val="24"/>
          <w:szCs w:val="24"/>
        </w:rPr>
      </w:pPr>
      <w:r w:rsidRPr="00203AE7">
        <w:rPr>
          <w:sz w:val="24"/>
          <w:szCs w:val="24"/>
        </w:rPr>
        <w:t>In this analysis of the Crowdfunding Platforms Dataset, we have uncovered several key insights about the performance of crowdfunding campaigns.</w:t>
      </w:r>
    </w:p>
    <w:p w14:paraId="6291DDB0" w14:textId="77777777" w:rsidR="00203AE7" w:rsidRDefault="00203AE7" w:rsidP="00203AE7"/>
    <w:p w14:paraId="10F295A9" w14:textId="72C5FE53" w:rsidR="00203AE7" w:rsidRPr="00203AE7" w:rsidRDefault="00203AE7" w:rsidP="00203AE7">
      <w:pPr>
        <w:rPr>
          <w:b/>
          <w:bCs/>
          <w:sz w:val="28"/>
          <w:szCs w:val="28"/>
        </w:rPr>
      </w:pPr>
      <w:r w:rsidRPr="00203AE7">
        <w:rPr>
          <w:b/>
          <w:bCs/>
          <w:sz w:val="28"/>
          <w:szCs w:val="28"/>
        </w:rPr>
        <w:t>Key Conclusions:</w:t>
      </w:r>
    </w:p>
    <w:p w14:paraId="45643D60" w14:textId="77777777" w:rsidR="00203AE7" w:rsidRDefault="00203AE7" w:rsidP="00203AE7"/>
    <w:p w14:paraId="31936291" w14:textId="6FB7C5C2" w:rsidR="00203AE7" w:rsidRPr="00203AE7" w:rsidRDefault="00203AE7" w:rsidP="00203AE7">
      <w:pPr>
        <w:rPr>
          <w:b/>
          <w:bCs/>
          <w:sz w:val="24"/>
          <w:szCs w:val="24"/>
        </w:rPr>
      </w:pPr>
      <w:r w:rsidRPr="00203AE7">
        <w:rPr>
          <w:b/>
          <w:bCs/>
          <w:sz w:val="24"/>
          <w:szCs w:val="24"/>
        </w:rPr>
        <w:t>1. Campaign Success Rates:</w:t>
      </w:r>
    </w:p>
    <w:p w14:paraId="7E393495" w14:textId="1CC8F96A" w:rsidR="00203AE7" w:rsidRPr="00203AE7" w:rsidRDefault="00203AE7" w:rsidP="00203AE7">
      <w:pPr>
        <w:pStyle w:val="ListParagraph"/>
        <w:numPr>
          <w:ilvl w:val="0"/>
          <w:numId w:val="12"/>
        </w:numPr>
        <w:ind w:left="720"/>
        <w:rPr>
          <w:sz w:val="24"/>
          <w:szCs w:val="24"/>
        </w:rPr>
      </w:pPr>
      <w:r w:rsidRPr="00203AE7">
        <w:rPr>
          <w:sz w:val="24"/>
          <w:szCs w:val="24"/>
        </w:rPr>
        <w:t>Notably, not all crowdfunding campaigns achieve their funding goals. In fact, a significant percentage of campaigns fail to reach their target funding.</w:t>
      </w:r>
    </w:p>
    <w:p w14:paraId="73A32526" w14:textId="77777777" w:rsidR="00203AE7" w:rsidRPr="00203AE7" w:rsidRDefault="00203AE7" w:rsidP="00203AE7">
      <w:pPr>
        <w:rPr>
          <w:sz w:val="24"/>
          <w:szCs w:val="24"/>
        </w:rPr>
      </w:pPr>
      <w:r w:rsidRPr="00203AE7">
        <w:rPr>
          <w:sz w:val="24"/>
          <w:szCs w:val="24"/>
        </w:rPr>
        <w:t xml:space="preserve">   </w:t>
      </w:r>
    </w:p>
    <w:p w14:paraId="54D507BB" w14:textId="15DFF911" w:rsidR="00203AE7" w:rsidRPr="00203AE7" w:rsidRDefault="00203AE7" w:rsidP="00203AE7">
      <w:pPr>
        <w:rPr>
          <w:b/>
          <w:bCs/>
          <w:sz w:val="24"/>
          <w:szCs w:val="24"/>
        </w:rPr>
      </w:pPr>
      <w:r w:rsidRPr="00203AE7">
        <w:rPr>
          <w:b/>
          <w:bCs/>
          <w:sz w:val="24"/>
          <w:szCs w:val="24"/>
        </w:rPr>
        <w:t>2. Category Performance:</w:t>
      </w:r>
    </w:p>
    <w:p w14:paraId="0B96848D" w14:textId="7DFF55DD" w:rsidR="00203AE7" w:rsidRPr="00203AE7" w:rsidRDefault="00203AE7" w:rsidP="00203AE7">
      <w:pPr>
        <w:pStyle w:val="ListParagraph"/>
        <w:numPr>
          <w:ilvl w:val="0"/>
          <w:numId w:val="4"/>
        </w:numPr>
        <w:rPr>
          <w:sz w:val="24"/>
          <w:szCs w:val="24"/>
        </w:rPr>
      </w:pPr>
      <w:r w:rsidRPr="00203AE7">
        <w:rPr>
          <w:sz w:val="24"/>
          <w:szCs w:val="24"/>
        </w:rPr>
        <w:t>Certain categories or niches consistently outperform others in terms of funding and backer support.</w:t>
      </w:r>
    </w:p>
    <w:p w14:paraId="2867D31D" w14:textId="39605DB9" w:rsidR="00203AE7" w:rsidRPr="00203AE7" w:rsidRDefault="00203AE7" w:rsidP="00203AE7">
      <w:pPr>
        <w:pStyle w:val="ListParagraph"/>
        <w:numPr>
          <w:ilvl w:val="0"/>
          <w:numId w:val="4"/>
        </w:numPr>
        <w:rPr>
          <w:sz w:val="24"/>
          <w:szCs w:val="24"/>
        </w:rPr>
      </w:pPr>
      <w:r w:rsidRPr="00203AE7">
        <w:rPr>
          <w:sz w:val="24"/>
          <w:szCs w:val="24"/>
        </w:rPr>
        <w:t>The top-performing category is "Theater," which generated an impressive $15 million in funding, with a remarkable 264,269 backers supporting projects in this category.</w:t>
      </w:r>
    </w:p>
    <w:p w14:paraId="321ADAB9" w14:textId="398A910D" w:rsidR="00203AE7" w:rsidRPr="00203AE7" w:rsidRDefault="00203AE7" w:rsidP="00203AE7">
      <w:pPr>
        <w:pStyle w:val="ListParagraph"/>
        <w:numPr>
          <w:ilvl w:val="0"/>
          <w:numId w:val="4"/>
        </w:numPr>
        <w:rPr>
          <w:sz w:val="24"/>
          <w:szCs w:val="24"/>
        </w:rPr>
      </w:pPr>
      <w:r w:rsidRPr="00203AE7">
        <w:rPr>
          <w:sz w:val="24"/>
          <w:szCs w:val="24"/>
        </w:rPr>
        <w:t>Following closely is the "Music" category, amassing $7.5 million in funding, with 129,002 backers. Notably, within this category, "Rock" and "Indie Rock" are the most favored sub-genres.</w:t>
      </w:r>
    </w:p>
    <w:p w14:paraId="4B45C738" w14:textId="77777777" w:rsidR="00203AE7" w:rsidRPr="00203AE7" w:rsidRDefault="00203AE7" w:rsidP="00203AE7">
      <w:pPr>
        <w:rPr>
          <w:sz w:val="24"/>
          <w:szCs w:val="24"/>
        </w:rPr>
      </w:pPr>
      <w:r w:rsidRPr="00203AE7">
        <w:rPr>
          <w:sz w:val="24"/>
          <w:szCs w:val="24"/>
        </w:rPr>
        <w:t xml:space="preserve">   </w:t>
      </w:r>
    </w:p>
    <w:p w14:paraId="4EF88B48" w14:textId="6CAD4640" w:rsidR="00203AE7" w:rsidRPr="00203AE7" w:rsidRDefault="00203AE7" w:rsidP="00203AE7">
      <w:pPr>
        <w:rPr>
          <w:b/>
          <w:bCs/>
          <w:sz w:val="24"/>
          <w:szCs w:val="24"/>
        </w:rPr>
      </w:pPr>
      <w:r w:rsidRPr="00203AE7">
        <w:rPr>
          <w:b/>
          <w:bCs/>
          <w:sz w:val="24"/>
          <w:szCs w:val="24"/>
        </w:rPr>
        <w:t>3. Success Rate:</w:t>
      </w:r>
    </w:p>
    <w:p w14:paraId="30041E20" w14:textId="36CF5BBE" w:rsidR="00203AE7" w:rsidRPr="00203AE7" w:rsidRDefault="00203AE7" w:rsidP="00203AE7">
      <w:pPr>
        <w:pStyle w:val="ListParagraph"/>
        <w:numPr>
          <w:ilvl w:val="0"/>
          <w:numId w:val="11"/>
        </w:numPr>
        <w:ind w:left="720"/>
        <w:rPr>
          <w:sz w:val="24"/>
          <w:szCs w:val="24"/>
        </w:rPr>
      </w:pPr>
      <w:r w:rsidRPr="00203AE7">
        <w:rPr>
          <w:sz w:val="24"/>
          <w:szCs w:val="24"/>
        </w:rPr>
        <w:t>The overall success rate for crowdfunding campaigns in this dataset is approximately 56.5%. This gives us an idea of the likelihood of a campaign meeting its funding goal.</w:t>
      </w:r>
    </w:p>
    <w:p w14:paraId="29048AB7" w14:textId="77777777" w:rsidR="00203AE7" w:rsidRPr="00203AE7" w:rsidRDefault="00203AE7" w:rsidP="00203AE7">
      <w:pPr>
        <w:rPr>
          <w:sz w:val="24"/>
          <w:szCs w:val="24"/>
        </w:rPr>
      </w:pPr>
    </w:p>
    <w:p w14:paraId="2E4A6732" w14:textId="4278380F" w:rsidR="00203AE7" w:rsidRPr="00203AE7" w:rsidRDefault="00203AE7" w:rsidP="00203AE7">
      <w:pPr>
        <w:rPr>
          <w:b/>
          <w:bCs/>
          <w:sz w:val="28"/>
          <w:szCs w:val="28"/>
        </w:rPr>
      </w:pPr>
      <w:r w:rsidRPr="00203AE7">
        <w:rPr>
          <w:b/>
          <w:bCs/>
          <w:sz w:val="28"/>
          <w:szCs w:val="28"/>
        </w:rPr>
        <w:t>Limitations of the Dataset:</w:t>
      </w:r>
    </w:p>
    <w:p w14:paraId="7765C566" w14:textId="77777777" w:rsidR="00203AE7" w:rsidRPr="00203AE7" w:rsidRDefault="00203AE7" w:rsidP="00203AE7">
      <w:pPr>
        <w:rPr>
          <w:sz w:val="24"/>
          <w:szCs w:val="24"/>
        </w:rPr>
      </w:pPr>
    </w:p>
    <w:p w14:paraId="1652CAE6" w14:textId="4F369860" w:rsidR="00203AE7" w:rsidRPr="00203AE7" w:rsidRDefault="00203AE7" w:rsidP="00203AE7">
      <w:pPr>
        <w:rPr>
          <w:b/>
          <w:bCs/>
          <w:sz w:val="24"/>
          <w:szCs w:val="24"/>
        </w:rPr>
      </w:pPr>
      <w:r w:rsidRPr="00203AE7">
        <w:rPr>
          <w:b/>
          <w:bCs/>
          <w:sz w:val="24"/>
          <w:szCs w:val="24"/>
        </w:rPr>
        <w:t>1. Missing Data:</w:t>
      </w:r>
    </w:p>
    <w:p w14:paraId="013EA250" w14:textId="5403C4BB" w:rsidR="00203AE7" w:rsidRPr="00203AE7" w:rsidRDefault="00203AE7" w:rsidP="00203AE7">
      <w:pPr>
        <w:pStyle w:val="ListParagraph"/>
        <w:numPr>
          <w:ilvl w:val="0"/>
          <w:numId w:val="9"/>
        </w:numPr>
        <w:ind w:left="720"/>
        <w:rPr>
          <w:sz w:val="24"/>
          <w:szCs w:val="24"/>
        </w:rPr>
      </w:pPr>
      <w:r w:rsidRPr="00203AE7">
        <w:rPr>
          <w:sz w:val="24"/>
          <w:szCs w:val="24"/>
        </w:rPr>
        <w:t>The dataset lacks crucial information, such as how campaigns engaged with backers or attracted their interest.</w:t>
      </w:r>
    </w:p>
    <w:p w14:paraId="5AE598D9" w14:textId="77777777" w:rsidR="00203AE7" w:rsidRPr="00203AE7" w:rsidRDefault="00203AE7" w:rsidP="00203AE7">
      <w:pPr>
        <w:rPr>
          <w:sz w:val="24"/>
          <w:szCs w:val="24"/>
        </w:rPr>
      </w:pPr>
      <w:r w:rsidRPr="00203AE7">
        <w:rPr>
          <w:sz w:val="24"/>
          <w:szCs w:val="24"/>
        </w:rPr>
        <w:lastRenderedPageBreak/>
        <w:t xml:space="preserve">   </w:t>
      </w:r>
    </w:p>
    <w:p w14:paraId="3525A91B" w14:textId="1494C359" w:rsidR="00203AE7" w:rsidRPr="00203AE7" w:rsidRDefault="00203AE7" w:rsidP="00203AE7">
      <w:pPr>
        <w:rPr>
          <w:b/>
          <w:bCs/>
          <w:sz w:val="24"/>
          <w:szCs w:val="24"/>
        </w:rPr>
      </w:pPr>
      <w:r w:rsidRPr="00203AE7">
        <w:rPr>
          <w:b/>
          <w:bCs/>
          <w:sz w:val="24"/>
          <w:szCs w:val="24"/>
        </w:rPr>
        <w:t>2. Bias in Project Selection:</w:t>
      </w:r>
    </w:p>
    <w:p w14:paraId="00D541CF" w14:textId="417D7E78" w:rsidR="00203AE7" w:rsidRPr="00203AE7" w:rsidRDefault="00203AE7" w:rsidP="00203AE7">
      <w:pPr>
        <w:pStyle w:val="ListParagraph"/>
        <w:numPr>
          <w:ilvl w:val="1"/>
          <w:numId w:val="14"/>
        </w:numPr>
        <w:rPr>
          <w:sz w:val="24"/>
          <w:szCs w:val="24"/>
        </w:rPr>
      </w:pPr>
      <w:r w:rsidRPr="00203AE7">
        <w:rPr>
          <w:sz w:val="24"/>
          <w:szCs w:val="24"/>
        </w:rPr>
        <w:t>We are unaware of the criteria for including projects in this dataset, which could introduce bias into the analysis.</w:t>
      </w:r>
    </w:p>
    <w:p w14:paraId="104A633D" w14:textId="77777777" w:rsidR="00203AE7" w:rsidRPr="00203AE7" w:rsidRDefault="00203AE7" w:rsidP="00203AE7">
      <w:pPr>
        <w:rPr>
          <w:sz w:val="24"/>
          <w:szCs w:val="24"/>
        </w:rPr>
      </w:pPr>
      <w:r w:rsidRPr="00203AE7">
        <w:rPr>
          <w:sz w:val="24"/>
          <w:szCs w:val="24"/>
        </w:rPr>
        <w:t xml:space="preserve">   </w:t>
      </w:r>
    </w:p>
    <w:p w14:paraId="10CDE81E" w14:textId="0CBB89EE" w:rsidR="00203AE7" w:rsidRPr="00203AE7" w:rsidRDefault="00203AE7" w:rsidP="00203AE7">
      <w:pPr>
        <w:rPr>
          <w:b/>
          <w:bCs/>
          <w:sz w:val="24"/>
          <w:szCs w:val="24"/>
        </w:rPr>
      </w:pPr>
      <w:r w:rsidRPr="00203AE7">
        <w:rPr>
          <w:b/>
          <w:bCs/>
          <w:sz w:val="24"/>
          <w:szCs w:val="24"/>
        </w:rPr>
        <w:t>3. External Factors:</w:t>
      </w:r>
    </w:p>
    <w:p w14:paraId="464E746B" w14:textId="77777777" w:rsidR="00203AE7" w:rsidRPr="00203AE7" w:rsidRDefault="00203AE7" w:rsidP="00203AE7">
      <w:pPr>
        <w:rPr>
          <w:sz w:val="24"/>
          <w:szCs w:val="24"/>
        </w:rPr>
      </w:pPr>
      <w:r w:rsidRPr="00203AE7">
        <w:rPr>
          <w:sz w:val="24"/>
          <w:szCs w:val="24"/>
        </w:rPr>
        <w:t xml:space="preserve">   - The dataset doesn't consider external factors like economic conditions, which could influence backers' interest and pledge behavior.</w:t>
      </w:r>
    </w:p>
    <w:p w14:paraId="4AD500D4" w14:textId="77777777" w:rsidR="00203AE7" w:rsidRPr="00203AE7" w:rsidRDefault="00203AE7" w:rsidP="00203AE7">
      <w:pPr>
        <w:rPr>
          <w:sz w:val="24"/>
          <w:szCs w:val="24"/>
        </w:rPr>
      </w:pPr>
    </w:p>
    <w:p w14:paraId="688D9FFA" w14:textId="44F8F4B1" w:rsidR="00203AE7" w:rsidRPr="00203AE7" w:rsidRDefault="00203AE7" w:rsidP="00203AE7">
      <w:pPr>
        <w:rPr>
          <w:b/>
          <w:bCs/>
          <w:sz w:val="28"/>
          <w:szCs w:val="28"/>
        </w:rPr>
      </w:pPr>
      <w:r w:rsidRPr="00203AE7">
        <w:rPr>
          <w:b/>
          <w:bCs/>
          <w:sz w:val="28"/>
          <w:szCs w:val="28"/>
        </w:rPr>
        <w:t>Additional Analysis</w:t>
      </w:r>
      <w:r>
        <w:rPr>
          <w:b/>
          <w:bCs/>
          <w:sz w:val="28"/>
          <w:szCs w:val="28"/>
        </w:rPr>
        <w:t xml:space="preserve"> Suggestion</w:t>
      </w:r>
      <w:r w:rsidRPr="00203AE7">
        <w:rPr>
          <w:b/>
          <w:bCs/>
          <w:sz w:val="28"/>
          <w:szCs w:val="28"/>
        </w:rPr>
        <w:t>:</w:t>
      </w:r>
    </w:p>
    <w:p w14:paraId="1C3F274B" w14:textId="77777777" w:rsidR="00203AE7" w:rsidRPr="00203AE7" w:rsidRDefault="00203AE7" w:rsidP="00203AE7">
      <w:pPr>
        <w:rPr>
          <w:sz w:val="24"/>
          <w:szCs w:val="24"/>
        </w:rPr>
      </w:pPr>
    </w:p>
    <w:p w14:paraId="690620EB" w14:textId="29CCABCA" w:rsidR="00203AE7" w:rsidRPr="00203AE7" w:rsidRDefault="00203AE7" w:rsidP="00203AE7">
      <w:pPr>
        <w:rPr>
          <w:sz w:val="24"/>
          <w:szCs w:val="24"/>
        </w:rPr>
      </w:pPr>
      <w:r w:rsidRPr="00203AE7">
        <w:rPr>
          <w:sz w:val="24"/>
          <w:szCs w:val="24"/>
        </w:rPr>
        <w:t xml:space="preserve"> To gain further insights, we recommend creating a</w:t>
      </w:r>
      <w:r w:rsidR="00380511">
        <w:rPr>
          <w:sz w:val="24"/>
          <w:szCs w:val="24"/>
        </w:rPr>
        <w:t>dditional</w:t>
      </w:r>
      <w:r w:rsidRPr="00203AE7">
        <w:rPr>
          <w:sz w:val="24"/>
          <w:szCs w:val="24"/>
        </w:rPr>
        <w:t xml:space="preserve"> pivot table and corresponding pie chart. This analysis should focus on the total pledged funds received from both parent categories and sub-categories. It will provide a clear picture of which project types are most popular among backers and the average funding per backer. This information can guide future campaign strategies and target goals effectively.</w:t>
      </w:r>
    </w:p>
    <w:p w14:paraId="2B29BB07" w14:textId="77777777" w:rsidR="00203AE7" w:rsidRPr="00203AE7" w:rsidRDefault="00203AE7" w:rsidP="00203AE7">
      <w:pPr>
        <w:rPr>
          <w:sz w:val="24"/>
          <w:szCs w:val="24"/>
        </w:rPr>
      </w:pPr>
    </w:p>
    <w:p w14:paraId="0EC83FDF" w14:textId="7AF8C558" w:rsidR="00203AE7" w:rsidRDefault="00203AE7" w:rsidP="00203AE7">
      <w:pPr>
        <w:rPr>
          <w:sz w:val="24"/>
          <w:szCs w:val="24"/>
        </w:rPr>
      </w:pPr>
      <w:r w:rsidRPr="00203AE7">
        <w:rPr>
          <w:sz w:val="24"/>
          <w:szCs w:val="24"/>
        </w:rPr>
        <w:t>This revised report maintains clarity and offers additional details about the top-performing categories and potential areas for further analysis.</w:t>
      </w:r>
    </w:p>
    <w:p w14:paraId="09662E8D" w14:textId="77777777" w:rsidR="00380511" w:rsidRDefault="00380511" w:rsidP="00203AE7">
      <w:pPr>
        <w:rPr>
          <w:sz w:val="24"/>
          <w:szCs w:val="24"/>
        </w:rPr>
      </w:pPr>
    </w:p>
    <w:p w14:paraId="1FE8BD64" w14:textId="4406F272" w:rsidR="000978B7" w:rsidRDefault="000978B7" w:rsidP="00203AE7">
      <w:pPr>
        <w:rPr>
          <w:sz w:val="24"/>
          <w:szCs w:val="24"/>
        </w:rPr>
      </w:pPr>
    </w:p>
    <w:p w14:paraId="598FE65E" w14:textId="77777777" w:rsidR="000978B7" w:rsidRDefault="000978B7">
      <w:pPr>
        <w:rPr>
          <w:sz w:val="24"/>
          <w:szCs w:val="24"/>
        </w:rPr>
      </w:pPr>
      <w:r>
        <w:rPr>
          <w:sz w:val="24"/>
          <w:szCs w:val="24"/>
        </w:rPr>
        <w:br w:type="page"/>
      </w:r>
    </w:p>
    <w:p w14:paraId="7FEF0D32" w14:textId="77777777" w:rsidR="000978B7" w:rsidRDefault="000978B7" w:rsidP="000978B7">
      <w:pPr>
        <w:rPr>
          <w:b/>
          <w:bCs/>
          <w:sz w:val="28"/>
          <w:szCs w:val="28"/>
        </w:rPr>
      </w:pPr>
      <w:r w:rsidRPr="001C5C14">
        <w:rPr>
          <w:b/>
          <w:bCs/>
          <w:sz w:val="28"/>
          <w:szCs w:val="28"/>
        </w:rPr>
        <w:lastRenderedPageBreak/>
        <w:t>Determining the Appropriate Summary Statistics</w:t>
      </w:r>
    </w:p>
    <w:p w14:paraId="10DA3532" w14:textId="77777777" w:rsidR="000978B7" w:rsidRPr="001C5C14" w:rsidRDefault="000978B7" w:rsidP="000978B7">
      <w:pPr>
        <w:rPr>
          <w:b/>
          <w:bCs/>
          <w:sz w:val="28"/>
          <w:szCs w:val="28"/>
        </w:rPr>
      </w:pPr>
    </w:p>
    <w:p w14:paraId="1E3786B9" w14:textId="77777777" w:rsidR="000978B7" w:rsidRPr="001C5C14" w:rsidRDefault="000978B7" w:rsidP="000978B7">
      <w:pPr>
        <w:rPr>
          <w:sz w:val="24"/>
          <w:szCs w:val="24"/>
        </w:rPr>
      </w:pPr>
      <w:r w:rsidRPr="001C5C14">
        <w:rPr>
          <w:sz w:val="24"/>
          <w:szCs w:val="24"/>
        </w:rPr>
        <w:t>In response to the question of whether the mean or the median is a better summary statistic for this dataset, I recommend using both measures, along with other key statistics. Here's why this approach is beneficial:</w:t>
      </w:r>
    </w:p>
    <w:p w14:paraId="53382C97" w14:textId="77777777" w:rsidR="000978B7" w:rsidRPr="001C5C14" w:rsidRDefault="000978B7" w:rsidP="000978B7">
      <w:pPr>
        <w:rPr>
          <w:b/>
          <w:bCs/>
          <w:sz w:val="24"/>
          <w:szCs w:val="24"/>
        </w:rPr>
      </w:pPr>
      <w:r w:rsidRPr="001C5C14">
        <w:rPr>
          <w:b/>
          <w:bCs/>
          <w:sz w:val="24"/>
          <w:szCs w:val="24"/>
        </w:rPr>
        <w:t>Mean (Average):</w:t>
      </w:r>
    </w:p>
    <w:p w14:paraId="2D137E57" w14:textId="77777777" w:rsidR="000978B7" w:rsidRDefault="000978B7" w:rsidP="000978B7">
      <w:pPr>
        <w:pStyle w:val="ListParagraph"/>
        <w:numPr>
          <w:ilvl w:val="0"/>
          <w:numId w:val="17"/>
        </w:numPr>
        <w:rPr>
          <w:sz w:val="24"/>
          <w:szCs w:val="24"/>
        </w:rPr>
      </w:pPr>
      <w:r w:rsidRPr="001C5C14">
        <w:rPr>
          <w:sz w:val="24"/>
          <w:szCs w:val="24"/>
        </w:rPr>
        <w:t>The mean provides us with the overall central tendency or average of the data. In the context of crowdfunding campaigns, the mean successful backing is 851, while unsuccessful backing is 586.</w:t>
      </w:r>
    </w:p>
    <w:p w14:paraId="5FE28F25" w14:textId="77777777" w:rsidR="000978B7" w:rsidRPr="001C5C14" w:rsidRDefault="000978B7" w:rsidP="000978B7">
      <w:pPr>
        <w:pStyle w:val="ListParagraph"/>
        <w:rPr>
          <w:sz w:val="24"/>
          <w:szCs w:val="24"/>
        </w:rPr>
      </w:pPr>
    </w:p>
    <w:p w14:paraId="119A597C" w14:textId="77777777" w:rsidR="000978B7" w:rsidRPr="001C5C14" w:rsidRDefault="000978B7" w:rsidP="000978B7">
      <w:pPr>
        <w:rPr>
          <w:b/>
          <w:bCs/>
          <w:sz w:val="24"/>
          <w:szCs w:val="24"/>
        </w:rPr>
      </w:pPr>
      <w:r w:rsidRPr="001C5C14">
        <w:rPr>
          <w:b/>
          <w:bCs/>
          <w:sz w:val="24"/>
          <w:szCs w:val="24"/>
        </w:rPr>
        <w:t>Median:</w:t>
      </w:r>
    </w:p>
    <w:p w14:paraId="696791C2" w14:textId="77777777" w:rsidR="000978B7" w:rsidRDefault="000978B7" w:rsidP="000978B7">
      <w:pPr>
        <w:pStyle w:val="ListParagraph"/>
        <w:numPr>
          <w:ilvl w:val="0"/>
          <w:numId w:val="16"/>
        </w:numPr>
        <w:rPr>
          <w:sz w:val="24"/>
          <w:szCs w:val="24"/>
        </w:rPr>
      </w:pPr>
      <w:r w:rsidRPr="001C5C14">
        <w:rPr>
          <w:sz w:val="24"/>
          <w:szCs w:val="24"/>
        </w:rPr>
        <w:t>The median reveals the middle value of the dataset. Notably, the median values for both successful and unsuccessful cases are lower than the respective means. This discrepancy suggests the presence of some exceptionally high values in the successful category that have a pronounced effect on the mean.</w:t>
      </w:r>
    </w:p>
    <w:p w14:paraId="454FA3A8" w14:textId="77777777" w:rsidR="000978B7" w:rsidRPr="001C5C14" w:rsidRDefault="000978B7" w:rsidP="000978B7">
      <w:pPr>
        <w:pStyle w:val="ListParagraph"/>
        <w:rPr>
          <w:sz w:val="24"/>
          <w:szCs w:val="24"/>
        </w:rPr>
      </w:pPr>
    </w:p>
    <w:p w14:paraId="1B463841" w14:textId="77777777" w:rsidR="000978B7" w:rsidRPr="001C5C14" w:rsidRDefault="000978B7" w:rsidP="000978B7">
      <w:pPr>
        <w:rPr>
          <w:b/>
          <w:bCs/>
          <w:sz w:val="24"/>
          <w:szCs w:val="24"/>
        </w:rPr>
      </w:pPr>
      <w:r w:rsidRPr="001C5C14">
        <w:rPr>
          <w:b/>
          <w:bCs/>
          <w:sz w:val="24"/>
          <w:szCs w:val="24"/>
        </w:rPr>
        <w:t>Combined Analysis:</w:t>
      </w:r>
    </w:p>
    <w:p w14:paraId="6FE8CF61" w14:textId="77777777" w:rsidR="000978B7" w:rsidRDefault="000978B7" w:rsidP="000978B7">
      <w:pPr>
        <w:pStyle w:val="ListParagraph"/>
        <w:numPr>
          <w:ilvl w:val="0"/>
          <w:numId w:val="15"/>
        </w:numPr>
        <w:rPr>
          <w:sz w:val="24"/>
          <w:szCs w:val="24"/>
        </w:rPr>
      </w:pPr>
      <w:r w:rsidRPr="001C5C14">
        <w:rPr>
          <w:sz w:val="24"/>
          <w:szCs w:val="24"/>
        </w:rPr>
        <w:t>By considering both the mean and median, we gain a more comprehensive understanding of the data. This approach allows us to identify significant disparities between average and typical values, offering insights into the data's distribution.</w:t>
      </w:r>
    </w:p>
    <w:p w14:paraId="5168BE2A" w14:textId="77777777" w:rsidR="000978B7" w:rsidRPr="001C5C14" w:rsidRDefault="000978B7" w:rsidP="000978B7">
      <w:pPr>
        <w:pStyle w:val="ListParagraph"/>
        <w:rPr>
          <w:sz w:val="24"/>
          <w:szCs w:val="24"/>
        </w:rPr>
      </w:pPr>
    </w:p>
    <w:p w14:paraId="3A5429E6" w14:textId="77777777" w:rsidR="000978B7" w:rsidRDefault="000978B7" w:rsidP="000978B7">
      <w:pPr>
        <w:pStyle w:val="ListParagraph"/>
        <w:numPr>
          <w:ilvl w:val="0"/>
          <w:numId w:val="15"/>
        </w:numPr>
        <w:rPr>
          <w:sz w:val="24"/>
          <w:szCs w:val="24"/>
        </w:rPr>
      </w:pPr>
      <w:r w:rsidRPr="001C5C14">
        <w:rPr>
          <w:sz w:val="24"/>
          <w:szCs w:val="24"/>
        </w:rPr>
        <w:t>Furthermore, incorporating additional statistics such as the minimum, maximum, variance, and standard deviation contributes to a more holistic comprehension of the dataset's characteristics. This comprehensive analysis provides a robust understanding of the outcomes of crowdfunding campaigns.</w:t>
      </w:r>
    </w:p>
    <w:p w14:paraId="49D831D3" w14:textId="77777777" w:rsidR="000978B7" w:rsidRPr="001C5C14" w:rsidRDefault="000978B7" w:rsidP="000978B7">
      <w:pPr>
        <w:pStyle w:val="ListParagraph"/>
        <w:rPr>
          <w:sz w:val="24"/>
          <w:szCs w:val="24"/>
        </w:rPr>
      </w:pPr>
    </w:p>
    <w:p w14:paraId="05FC3A42" w14:textId="77777777" w:rsidR="000978B7" w:rsidRPr="001C5C14" w:rsidRDefault="000978B7" w:rsidP="000978B7">
      <w:pPr>
        <w:pStyle w:val="ListParagraph"/>
        <w:rPr>
          <w:sz w:val="24"/>
          <w:szCs w:val="24"/>
        </w:rPr>
      </w:pPr>
    </w:p>
    <w:p w14:paraId="385397D8" w14:textId="77777777" w:rsidR="000978B7" w:rsidRPr="001C5C14" w:rsidRDefault="000978B7" w:rsidP="000978B7">
      <w:pPr>
        <w:rPr>
          <w:sz w:val="24"/>
          <w:szCs w:val="24"/>
        </w:rPr>
      </w:pPr>
      <w:r w:rsidRPr="001C5C14">
        <w:rPr>
          <w:sz w:val="24"/>
          <w:szCs w:val="24"/>
        </w:rPr>
        <w:t>Incorporating both the mean and median, alongside other essential statistics, enhances our ability to interpret the dataset effectively and draw meaningful conclusions about crowdfunding campaign outcomes.</w:t>
      </w:r>
    </w:p>
    <w:p w14:paraId="0259A476" w14:textId="77777777" w:rsidR="00380511" w:rsidRPr="00203AE7" w:rsidRDefault="00380511" w:rsidP="00203AE7">
      <w:pPr>
        <w:rPr>
          <w:sz w:val="24"/>
          <w:szCs w:val="24"/>
        </w:rPr>
      </w:pPr>
    </w:p>
    <w:sectPr w:rsidR="00380511" w:rsidRPr="0020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2B1A"/>
    <w:multiLevelType w:val="hybridMultilevel"/>
    <w:tmpl w:val="801E7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F838C1"/>
    <w:multiLevelType w:val="hybridMultilevel"/>
    <w:tmpl w:val="F438A7BA"/>
    <w:lvl w:ilvl="0" w:tplc="04090001">
      <w:start w:val="1"/>
      <w:numFmt w:val="bullet"/>
      <w:lvlText w:val=""/>
      <w:lvlJc w:val="left"/>
      <w:pPr>
        <w:ind w:left="888" w:hanging="360"/>
      </w:pPr>
      <w:rPr>
        <w:rFonts w:ascii="Symbol" w:hAnsi="Symbol"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15:restartNumberingAfterBreak="0">
    <w:nsid w:val="24AC017A"/>
    <w:multiLevelType w:val="hybridMultilevel"/>
    <w:tmpl w:val="3BE40CB2"/>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3" w15:restartNumberingAfterBreak="0">
    <w:nsid w:val="265C53A8"/>
    <w:multiLevelType w:val="hybridMultilevel"/>
    <w:tmpl w:val="511C0AB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 w15:restartNumberingAfterBreak="0">
    <w:nsid w:val="2CC95CA6"/>
    <w:multiLevelType w:val="hybridMultilevel"/>
    <w:tmpl w:val="C4A231C8"/>
    <w:lvl w:ilvl="0" w:tplc="3D50A7C6">
      <w:numFmt w:val="bullet"/>
      <w:lvlText w:val="-"/>
      <w:lvlJc w:val="left"/>
      <w:pPr>
        <w:ind w:left="528" w:hanging="360"/>
      </w:pPr>
      <w:rPr>
        <w:rFonts w:ascii="Calibri" w:eastAsiaTheme="minorEastAsia"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 w15:restartNumberingAfterBreak="0">
    <w:nsid w:val="349618EC"/>
    <w:multiLevelType w:val="hybridMultilevel"/>
    <w:tmpl w:val="D27ED43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6F33A7E"/>
    <w:multiLevelType w:val="hybridMultilevel"/>
    <w:tmpl w:val="AF1C76EA"/>
    <w:lvl w:ilvl="0" w:tplc="FFFFFFFF">
      <w:start w:val="1"/>
      <w:numFmt w:val="bullet"/>
      <w:lvlText w:val=""/>
      <w:lvlJc w:val="left"/>
      <w:pPr>
        <w:ind w:left="88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7" w15:restartNumberingAfterBreak="0">
    <w:nsid w:val="3BB5562A"/>
    <w:multiLevelType w:val="hybridMultilevel"/>
    <w:tmpl w:val="96A0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646A"/>
    <w:multiLevelType w:val="hybridMultilevel"/>
    <w:tmpl w:val="256C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1A1B23"/>
    <w:multiLevelType w:val="hybridMultilevel"/>
    <w:tmpl w:val="6596C2A2"/>
    <w:lvl w:ilvl="0" w:tplc="04090001">
      <w:start w:val="1"/>
      <w:numFmt w:val="bullet"/>
      <w:lvlText w:val=""/>
      <w:lvlJc w:val="left"/>
      <w:pPr>
        <w:ind w:left="888" w:hanging="360"/>
      </w:pPr>
      <w:rPr>
        <w:rFonts w:ascii="Symbol" w:hAnsi="Symbol"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 w15:restartNumberingAfterBreak="0">
    <w:nsid w:val="4FD15CFE"/>
    <w:multiLevelType w:val="hybridMultilevel"/>
    <w:tmpl w:val="0BECC8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A1C2100"/>
    <w:multiLevelType w:val="hybridMultilevel"/>
    <w:tmpl w:val="A2DC4546"/>
    <w:lvl w:ilvl="0" w:tplc="4BD45454">
      <w:numFmt w:val="bullet"/>
      <w:lvlText w:val="-"/>
      <w:lvlJc w:val="left"/>
      <w:pPr>
        <w:ind w:left="528" w:hanging="360"/>
      </w:pPr>
      <w:rPr>
        <w:rFonts w:ascii="Calibri" w:eastAsiaTheme="minorEastAsia"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647A74EF"/>
    <w:multiLevelType w:val="hybridMultilevel"/>
    <w:tmpl w:val="85407FA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 w15:restartNumberingAfterBreak="0">
    <w:nsid w:val="6D0B041B"/>
    <w:multiLevelType w:val="hybridMultilevel"/>
    <w:tmpl w:val="3CECB036"/>
    <w:lvl w:ilvl="0" w:tplc="04090001">
      <w:start w:val="1"/>
      <w:numFmt w:val="bullet"/>
      <w:lvlText w:val=""/>
      <w:lvlJc w:val="left"/>
      <w:pPr>
        <w:ind w:left="720" w:hanging="360"/>
      </w:pPr>
      <w:rPr>
        <w:rFonts w:ascii="Symbol" w:hAnsi="Symbol" w:hint="default"/>
      </w:rPr>
    </w:lvl>
    <w:lvl w:ilvl="1" w:tplc="9BF801E2">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70EBA"/>
    <w:multiLevelType w:val="hybridMultilevel"/>
    <w:tmpl w:val="6E74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2730F"/>
    <w:multiLevelType w:val="hybridMultilevel"/>
    <w:tmpl w:val="D1C6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619D0"/>
    <w:multiLevelType w:val="hybridMultilevel"/>
    <w:tmpl w:val="EA962690"/>
    <w:lvl w:ilvl="0" w:tplc="11CE8BC8">
      <w:numFmt w:val="bullet"/>
      <w:lvlText w:val="-"/>
      <w:lvlJc w:val="left"/>
      <w:pPr>
        <w:ind w:left="528" w:hanging="360"/>
      </w:pPr>
      <w:rPr>
        <w:rFonts w:ascii="Calibri" w:eastAsiaTheme="minorEastAsia"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num w:numId="1" w16cid:durableId="1315719013">
    <w:abstractNumId w:val="3"/>
  </w:num>
  <w:num w:numId="2" w16cid:durableId="1770465790">
    <w:abstractNumId w:val="11"/>
  </w:num>
  <w:num w:numId="3" w16cid:durableId="971714085">
    <w:abstractNumId w:val="10"/>
  </w:num>
  <w:num w:numId="4" w16cid:durableId="1800800141">
    <w:abstractNumId w:val="13"/>
  </w:num>
  <w:num w:numId="5" w16cid:durableId="1743721196">
    <w:abstractNumId w:val="16"/>
  </w:num>
  <w:num w:numId="6" w16cid:durableId="1305351888">
    <w:abstractNumId w:val="9"/>
  </w:num>
  <w:num w:numId="7" w16cid:durableId="2022857382">
    <w:abstractNumId w:val="12"/>
  </w:num>
  <w:num w:numId="8" w16cid:durableId="434982944">
    <w:abstractNumId w:val="4"/>
  </w:num>
  <w:num w:numId="9" w16cid:durableId="1726297148">
    <w:abstractNumId w:val="2"/>
  </w:num>
  <w:num w:numId="10" w16cid:durableId="319165057">
    <w:abstractNumId w:val="0"/>
  </w:num>
  <w:num w:numId="11" w16cid:durableId="1462724130">
    <w:abstractNumId w:val="5"/>
  </w:num>
  <w:num w:numId="12" w16cid:durableId="1153721965">
    <w:abstractNumId w:val="8"/>
  </w:num>
  <w:num w:numId="13" w16cid:durableId="1532915292">
    <w:abstractNumId w:val="1"/>
  </w:num>
  <w:num w:numId="14" w16cid:durableId="582766332">
    <w:abstractNumId w:val="6"/>
  </w:num>
  <w:num w:numId="15" w16cid:durableId="1597135275">
    <w:abstractNumId w:val="15"/>
  </w:num>
  <w:num w:numId="16" w16cid:durableId="787434714">
    <w:abstractNumId w:val="14"/>
  </w:num>
  <w:num w:numId="17" w16cid:durableId="363871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E7"/>
    <w:rsid w:val="000978B7"/>
    <w:rsid w:val="00203AE7"/>
    <w:rsid w:val="00380511"/>
    <w:rsid w:val="00DA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F059"/>
  <w15:chartTrackingRefBased/>
  <w15:docId w15:val="{A3B5099B-0D21-473E-B0BD-3415E666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Vivian Liu</cp:lastModifiedBy>
  <cp:revision>3</cp:revision>
  <dcterms:created xsi:type="dcterms:W3CDTF">2023-09-03T21:29:00Z</dcterms:created>
  <dcterms:modified xsi:type="dcterms:W3CDTF">2023-09-08T06:43:00Z</dcterms:modified>
</cp:coreProperties>
</file>