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FB675" w14:textId="3105B0CA" w:rsidR="00345CCA" w:rsidRDefault="00345CCA" w:rsidP="00DE6F60">
      <w:pPr>
        <w:spacing w:before="100" w:beforeAutospacing="1" w:after="100" w:afterAutospacing="1" w:line="240" w:lineRule="auto"/>
        <w:jc w:val="center"/>
        <w:outlineLvl w:val="2"/>
        <w:rPr>
          <w:rFonts w:ascii="Calibri" w:eastAsia="Times New Roman" w:hAnsi="Calibri" w:cs="Calibri"/>
          <w:b/>
          <w:bCs/>
          <w:color w:val="000000"/>
          <w:kern w:val="0"/>
          <w:lang w:eastAsia="en-GB"/>
          <w14:ligatures w14:val="none"/>
        </w:rPr>
      </w:pPr>
      <w:r>
        <w:rPr>
          <w:rFonts w:ascii="Calibri" w:eastAsia="Times New Roman" w:hAnsi="Calibri" w:cs="Calibri"/>
          <w:b/>
          <w:bCs/>
          <w:color w:val="000000"/>
          <w:kern w:val="0"/>
          <w:lang w:eastAsia="en-GB"/>
          <w14:ligatures w14:val="none"/>
        </w:rPr>
        <w:t>MODERN DATA SCIENCE – SIT742 – Group 12</w:t>
      </w:r>
    </w:p>
    <w:p w14:paraId="7EC4F286" w14:textId="77777777" w:rsidR="00345CCA" w:rsidRDefault="00345CCA" w:rsidP="0018702D">
      <w:pPr>
        <w:spacing w:before="100" w:beforeAutospacing="1" w:after="100" w:afterAutospacing="1" w:line="240" w:lineRule="auto"/>
        <w:outlineLvl w:val="2"/>
        <w:rPr>
          <w:rFonts w:ascii="Calibri" w:eastAsia="Times New Roman" w:hAnsi="Calibri" w:cs="Calibri"/>
          <w:b/>
          <w:bCs/>
          <w:color w:val="000000"/>
          <w:kern w:val="0"/>
          <w:lang w:eastAsia="en-GB"/>
          <w14:ligatures w14:val="none"/>
        </w:rPr>
      </w:pPr>
    </w:p>
    <w:p w14:paraId="44D58B38" w14:textId="05F76406" w:rsidR="0018702D" w:rsidRPr="0018702D" w:rsidRDefault="0018702D" w:rsidP="0018702D">
      <w:pPr>
        <w:spacing w:before="100" w:beforeAutospacing="1" w:after="100" w:afterAutospacing="1" w:line="240" w:lineRule="auto"/>
        <w:outlineLvl w:val="2"/>
        <w:rPr>
          <w:rFonts w:ascii="Calibri" w:eastAsia="Times New Roman" w:hAnsi="Calibri" w:cs="Calibri"/>
          <w:b/>
          <w:bCs/>
          <w:color w:val="000000"/>
          <w:kern w:val="0"/>
          <w:lang w:eastAsia="en-GB"/>
          <w14:ligatures w14:val="none"/>
        </w:rPr>
      </w:pPr>
      <w:r w:rsidRPr="0018702D">
        <w:rPr>
          <w:rFonts w:ascii="Calibri" w:eastAsia="Times New Roman" w:hAnsi="Calibri" w:cs="Calibri"/>
          <w:b/>
          <w:bCs/>
          <w:color w:val="000000"/>
          <w:kern w:val="0"/>
          <w:lang w:eastAsia="en-GB"/>
          <w14:ligatures w14:val="none"/>
        </w:rPr>
        <w:t xml:space="preserve">Question 1.1 Explanation </w:t>
      </w:r>
    </w:p>
    <w:p w14:paraId="4F4AB970" w14:textId="77777777" w:rsidR="0018702D" w:rsidRPr="0018702D" w:rsidRDefault="0018702D" w:rsidP="0018702D">
      <w:pPr>
        <w:spacing w:before="100" w:beforeAutospacing="1" w:after="100" w:afterAutospacing="1" w:line="240" w:lineRule="auto"/>
        <w:rPr>
          <w:rFonts w:ascii="Calibri" w:eastAsia="Times New Roman" w:hAnsi="Calibri" w:cs="Calibri"/>
          <w:color w:val="000000"/>
          <w:kern w:val="0"/>
          <w:lang w:eastAsia="en-GB"/>
          <w14:ligatures w14:val="none"/>
        </w:rPr>
      </w:pPr>
      <w:r w:rsidRPr="0018702D">
        <w:rPr>
          <w:rFonts w:ascii="Calibri" w:eastAsia="Times New Roman" w:hAnsi="Calibri" w:cs="Calibri"/>
          <w:color w:val="000000"/>
          <w:kern w:val="0"/>
          <w:lang w:eastAsia="en-GB"/>
          <w14:ligatures w14:val="none"/>
        </w:rPr>
        <w:t>We chose to replace null text entries with “no review” and convert Unix timestamps into </w:t>
      </w:r>
      <w:proofErr w:type="spellStart"/>
      <w:r w:rsidRPr="0018702D">
        <w:rPr>
          <w:rFonts w:ascii="Calibri" w:eastAsia="Times New Roman" w:hAnsi="Calibri" w:cs="Calibri"/>
          <w:color w:val="000000"/>
          <w:kern w:val="0"/>
          <w:lang w:eastAsia="en-GB"/>
          <w14:ligatures w14:val="none"/>
        </w:rPr>
        <w:t>yyyy</w:t>
      </w:r>
      <w:proofErr w:type="spellEnd"/>
      <w:r w:rsidRPr="0018702D">
        <w:rPr>
          <w:rFonts w:ascii="Calibri" w:eastAsia="Times New Roman" w:hAnsi="Calibri" w:cs="Calibri"/>
          <w:color w:val="000000"/>
          <w:kern w:val="0"/>
          <w:lang w:eastAsia="en-GB"/>
          <w14:ligatures w14:val="none"/>
        </w:rPr>
        <w:t>-mm-dd dates because this ensures data completeness and readability. Missing values can cause issues in aggregations, while human-readable dates are essential for time-based grouping. Alternative solutions include dropping null reviews or leaving timestamps as raw integers, but those approaches either reduce data richness or limit interpretability. Our method keeps all records intact while still distinguishing between actual text and missing input. It is the most optimal approach here because it is both simple and effective, providing a clean, standardized dataset. This step also prepares the data for downstream tasks like visualization, time series analysis, and categorical exploration without introducing unnecessary preprocessing complexity.</w:t>
      </w:r>
    </w:p>
    <w:p w14:paraId="00B8CC37" w14:textId="631AF087" w:rsidR="0018702D" w:rsidRPr="0018702D" w:rsidRDefault="0018702D" w:rsidP="0018702D">
      <w:pPr>
        <w:spacing w:after="0" w:line="240" w:lineRule="auto"/>
        <w:rPr>
          <w:rFonts w:ascii="Calibri" w:eastAsia="Times New Roman" w:hAnsi="Calibri" w:cs="Calibri"/>
          <w:color w:val="000000"/>
          <w:kern w:val="0"/>
          <w:lang w:eastAsia="en-GB"/>
          <w14:ligatures w14:val="none"/>
        </w:rPr>
      </w:pPr>
    </w:p>
    <w:p w14:paraId="4C7F1B3E" w14:textId="7C523E0A" w:rsidR="0018702D" w:rsidRPr="0018702D" w:rsidRDefault="0018702D" w:rsidP="0018702D">
      <w:pPr>
        <w:spacing w:before="100" w:beforeAutospacing="1" w:after="100" w:afterAutospacing="1" w:line="240" w:lineRule="auto"/>
        <w:outlineLvl w:val="2"/>
        <w:rPr>
          <w:rFonts w:ascii="Calibri" w:eastAsia="Times New Roman" w:hAnsi="Calibri" w:cs="Calibri"/>
          <w:b/>
          <w:bCs/>
          <w:color w:val="000000"/>
          <w:kern w:val="0"/>
          <w:lang w:eastAsia="en-GB"/>
          <w14:ligatures w14:val="none"/>
        </w:rPr>
      </w:pPr>
      <w:r w:rsidRPr="0018702D">
        <w:rPr>
          <w:rFonts w:ascii="Calibri" w:eastAsia="Times New Roman" w:hAnsi="Calibri" w:cs="Calibri"/>
          <w:b/>
          <w:bCs/>
          <w:color w:val="000000"/>
          <w:kern w:val="0"/>
          <w:lang w:eastAsia="en-GB"/>
          <w14:ligatures w14:val="none"/>
        </w:rPr>
        <w:t xml:space="preserve">Question 1.2 Explanation </w:t>
      </w:r>
    </w:p>
    <w:p w14:paraId="486CA615" w14:textId="28500F4C" w:rsidR="0018702D" w:rsidRDefault="0018702D" w:rsidP="002B6B4E">
      <w:pPr>
        <w:spacing w:before="100" w:beforeAutospacing="1" w:after="100" w:afterAutospacing="1" w:line="240" w:lineRule="auto"/>
        <w:rPr>
          <w:rFonts w:ascii="Calibri" w:eastAsia="Times New Roman" w:hAnsi="Calibri" w:cs="Calibri"/>
          <w:color w:val="000000"/>
          <w:kern w:val="0"/>
          <w:lang w:eastAsia="en-GB"/>
          <w14:ligatures w14:val="none"/>
        </w:rPr>
      </w:pPr>
      <w:r w:rsidRPr="0018702D">
        <w:rPr>
          <w:rFonts w:ascii="Calibri" w:eastAsia="Times New Roman" w:hAnsi="Calibri" w:cs="Calibri"/>
          <w:color w:val="000000"/>
          <w:kern w:val="0"/>
          <w:lang w:eastAsia="en-GB"/>
          <w14:ligatures w14:val="none"/>
        </w:rPr>
        <w:t>We chose to compute the number of reviews per </w:t>
      </w:r>
      <w:proofErr w:type="spellStart"/>
      <w:r w:rsidRPr="0018702D">
        <w:rPr>
          <w:rFonts w:ascii="Calibri" w:eastAsia="Times New Roman" w:hAnsi="Calibri" w:cs="Calibri"/>
          <w:color w:val="000000"/>
          <w:kern w:val="0"/>
          <w:lang w:eastAsia="en-GB"/>
          <w14:ligatures w14:val="none"/>
        </w:rPr>
        <w:t>gmap_id</w:t>
      </w:r>
      <w:proofErr w:type="spellEnd"/>
      <w:r w:rsidRPr="0018702D">
        <w:rPr>
          <w:rFonts w:ascii="Calibri" w:eastAsia="Times New Roman" w:hAnsi="Calibri" w:cs="Calibri"/>
          <w:color w:val="000000"/>
          <w:kern w:val="0"/>
          <w:lang w:eastAsia="en-GB"/>
          <w14:ligatures w14:val="none"/>
        </w:rPr>
        <w:t xml:space="preserve"> and explore hourly review patterns using </w:t>
      </w:r>
      <w:proofErr w:type="spellStart"/>
      <w:r w:rsidRPr="0018702D">
        <w:rPr>
          <w:rFonts w:ascii="Calibri" w:eastAsia="Times New Roman" w:hAnsi="Calibri" w:cs="Calibri"/>
          <w:color w:val="000000"/>
          <w:kern w:val="0"/>
          <w:lang w:eastAsia="en-GB"/>
          <w14:ligatures w14:val="none"/>
        </w:rPr>
        <w:t>PySpark</w:t>
      </w:r>
      <w:proofErr w:type="spellEnd"/>
      <w:r w:rsidRPr="0018702D">
        <w:rPr>
          <w:rFonts w:ascii="Calibri" w:eastAsia="Times New Roman" w:hAnsi="Calibri" w:cs="Calibri"/>
          <w:color w:val="000000"/>
          <w:kern w:val="0"/>
          <w:lang w:eastAsia="en-GB"/>
          <w14:ligatures w14:val="none"/>
        </w:rPr>
        <w:t xml:space="preserve"> and Pandas because this approach directly answers the question of when and where reviews are most frequent. It highlights activity at both the business and temporal level. Alternative solutions might include normalizing reviews by business size, weighting by star rating, or </w:t>
      </w:r>
      <w:proofErr w:type="spellStart"/>
      <w:r w:rsidRPr="0018702D">
        <w:rPr>
          <w:rFonts w:ascii="Calibri" w:eastAsia="Times New Roman" w:hAnsi="Calibri" w:cs="Calibri"/>
          <w:color w:val="000000"/>
          <w:kern w:val="0"/>
          <w:lang w:eastAsia="en-GB"/>
          <w14:ligatures w14:val="none"/>
        </w:rPr>
        <w:t>analyzing</w:t>
      </w:r>
      <w:proofErr w:type="spellEnd"/>
      <w:r w:rsidRPr="0018702D">
        <w:rPr>
          <w:rFonts w:ascii="Calibri" w:eastAsia="Times New Roman" w:hAnsi="Calibri" w:cs="Calibri"/>
          <w:color w:val="000000"/>
          <w:kern w:val="0"/>
          <w:lang w:eastAsia="en-GB"/>
          <w14:ligatures w14:val="none"/>
        </w:rPr>
        <w:t xml:space="preserve"> sentiment for deeper context. Another option is clustering review times into broader windows (morning, afternoon, evening) to simplify patterns. Our solution is optimal because it focuses precisely on review frequency and timing without overcomplicating analysis. It balances efficiency and interpretability, giving clear visual evidence of customer behavior trends while maintaining computational scalability across large review datasets.</w:t>
      </w:r>
    </w:p>
    <w:p w14:paraId="58A8F293" w14:textId="77777777" w:rsidR="0078257E" w:rsidRDefault="0078257E" w:rsidP="002B6B4E">
      <w:pPr>
        <w:spacing w:before="100" w:beforeAutospacing="1" w:after="100" w:afterAutospacing="1" w:line="240" w:lineRule="auto"/>
        <w:rPr>
          <w:rFonts w:ascii="Calibri" w:eastAsia="Times New Roman" w:hAnsi="Calibri" w:cs="Calibri"/>
          <w:color w:val="000000"/>
          <w:kern w:val="0"/>
          <w:lang w:eastAsia="en-GB"/>
          <w14:ligatures w14:val="none"/>
        </w:rPr>
      </w:pPr>
    </w:p>
    <w:p w14:paraId="2D220062" w14:textId="77777777" w:rsidR="0078257E" w:rsidRDefault="0078257E" w:rsidP="0078257E">
      <w:pPr>
        <w:spacing w:before="100" w:beforeAutospacing="1" w:after="100" w:afterAutospacing="1" w:line="240" w:lineRule="auto"/>
        <w:outlineLvl w:val="2"/>
        <w:rPr>
          <w:rFonts w:ascii="Calibri" w:eastAsia="Times New Roman" w:hAnsi="Calibri" w:cs="Calibri"/>
          <w:b/>
          <w:bCs/>
          <w:color w:val="000000"/>
          <w:kern w:val="0"/>
          <w:lang w:eastAsia="en-GB"/>
          <w14:ligatures w14:val="none"/>
        </w:rPr>
      </w:pPr>
      <w:r w:rsidRPr="0018702D">
        <w:rPr>
          <w:rFonts w:ascii="Calibri" w:eastAsia="Times New Roman" w:hAnsi="Calibri" w:cs="Calibri"/>
          <w:b/>
          <w:bCs/>
          <w:color w:val="000000"/>
          <w:kern w:val="0"/>
          <w:lang w:eastAsia="en-GB"/>
          <w14:ligatures w14:val="none"/>
        </w:rPr>
        <w:t>Question 1.</w:t>
      </w:r>
      <w:r>
        <w:rPr>
          <w:rFonts w:ascii="Calibri" w:eastAsia="Times New Roman" w:hAnsi="Calibri" w:cs="Calibri"/>
          <w:b/>
          <w:bCs/>
          <w:color w:val="000000"/>
          <w:kern w:val="0"/>
          <w:lang w:eastAsia="en-GB"/>
          <w14:ligatures w14:val="none"/>
        </w:rPr>
        <w:t>5</w:t>
      </w:r>
      <w:r w:rsidRPr="0018702D">
        <w:rPr>
          <w:rFonts w:ascii="Calibri" w:eastAsia="Times New Roman" w:hAnsi="Calibri" w:cs="Calibri"/>
          <w:b/>
          <w:bCs/>
          <w:color w:val="000000"/>
          <w:kern w:val="0"/>
          <w:lang w:eastAsia="en-GB"/>
          <w14:ligatures w14:val="none"/>
        </w:rPr>
        <w:t xml:space="preserve"> </w:t>
      </w:r>
      <w:r>
        <w:rPr>
          <w:rFonts w:ascii="Calibri" w:eastAsia="Times New Roman" w:hAnsi="Calibri" w:cs="Calibri"/>
          <w:b/>
          <w:bCs/>
          <w:color w:val="000000"/>
          <w:kern w:val="0"/>
          <w:lang w:eastAsia="en-GB"/>
          <w14:ligatures w14:val="none"/>
        </w:rPr>
        <w:t>Findings and Insights</w:t>
      </w:r>
    </w:p>
    <w:p w14:paraId="24BDA119" w14:textId="498481E7" w:rsidR="0078257E" w:rsidRPr="0078257E" w:rsidRDefault="0078257E" w:rsidP="0078257E">
      <w:pPr>
        <w:spacing w:before="100" w:beforeAutospacing="1" w:after="100" w:afterAutospacing="1" w:line="240" w:lineRule="auto"/>
        <w:outlineLvl w:val="2"/>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Unique reviewers per business</w:t>
      </w:r>
    </w:p>
    <w:p w14:paraId="585FBE09" w14:textId="55DD456F" w:rsidR="0078257E" w:rsidRDefault="0078257E" w:rsidP="0078257E">
      <w:pPr>
        <w:spacing w:before="100" w:beforeAutospacing="1" w:after="100" w:afterAutospacing="1" w:line="240" w:lineRule="auto"/>
        <w:outlineLvl w:val="2"/>
        <w:rPr>
          <w:rFonts w:ascii="Calibri" w:eastAsia="Times New Roman" w:hAnsi="Calibri" w:cs="Calibri"/>
          <w:b/>
          <w:bCs/>
          <w:color w:val="000000"/>
          <w:kern w:val="0"/>
          <w:lang w:eastAsia="en-GB"/>
          <w14:ligatures w14:val="none"/>
        </w:rPr>
      </w:pPr>
      <w:r w:rsidRPr="0078257E">
        <w:rPr>
          <w:rFonts w:ascii="Calibri" w:eastAsia="Times New Roman" w:hAnsi="Calibri" w:cs="Calibri"/>
          <w:b/>
          <w:bCs/>
          <w:noProof/>
          <w:color w:val="000000"/>
          <w:kern w:val="0"/>
          <w:lang w:eastAsia="en-GB"/>
          <w14:ligatures w14:val="none"/>
        </w:rPr>
        <w:lastRenderedPageBreak/>
        <w:drawing>
          <wp:inline distT="0" distB="0" distL="0" distR="0" wp14:anchorId="571FB8C5" wp14:editId="7A2FA054">
            <wp:extent cx="2427890" cy="2536563"/>
            <wp:effectExtent l="0" t="0" r="0" b="3810"/>
            <wp:docPr id="10506290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29040" name="Picture 1" descr="A screenshot of a computer&#10;&#10;Description automatically generated"/>
                    <pic:cNvPicPr/>
                  </pic:nvPicPr>
                  <pic:blipFill>
                    <a:blip r:embed="rId5"/>
                    <a:stretch>
                      <a:fillRect/>
                    </a:stretch>
                  </pic:blipFill>
                  <pic:spPr>
                    <a:xfrm>
                      <a:off x="0" y="0"/>
                      <a:ext cx="2487015" cy="2598334"/>
                    </a:xfrm>
                    <a:prstGeom prst="rect">
                      <a:avLst/>
                    </a:prstGeom>
                  </pic:spPr>
                </pic:pic>
              </a:graphicData>
            </a:graphic>
          </wp:inline>
        </w:drawing>
      </w:r>
    </w:p>
    <w:p w14:paraId="34F80827" w14:textId="6090AE30" w:rsidR="0078257E" w:rsidRPr="0078257E" w:rsidRDefault="0078257E" w:rsidP="0078257E">
      <w:pPr>
        <w:spacing w:before="100" w:beforeAutospacing="1" w:after="100" w:afterAutospacing="1" w:line="240" w:lineRule="auto"/>
        <w:outlineLvl w:val="2"/>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Unique reviewers per category</w:t>
      </w:r>
    </w:p>
    <w:p w14:paraId="501A7456" w14:textId="438A78E8" w:rsidR="0078257E" w:rsidRDefault="0078257E" w:rsidP="0078257E">
      <w:pPr>
        <w:spacing w:before="100" w:beforeAutospacing="1" w:after="100" w:afterAutospacing="1" w:line="240" w:lineRule="auto"/>
        <w:outlineLvl w:val="2"/>
        <w:rPr>
          <w:rFonts w:ascii="Calibri" w:eastAsia="Times New Roman" w:hAnsi="Calibri" w:cs="Calibri"/>
          <w:b/>
          <w:bCs/>
          <w:color w:val="000000"/>
          <w:kern w:val="0"/>
          <w:lang w:eastAsia="en-GB"/>
          <w14:ligatures w14:val="none"/>
        </w:rPr>
      </w:pPr>
      <w:r w:rsidRPr="0078257E">
        <w:rPr>
          <w:rFonts w:ascii="Calibri" w:eastAsia="Times New Roman" w:hAnsi="Calibri" w:cs="Calibri"/>
          <w:b/>
          <w:bCs/>
          <w:noProof/>
          <w:color w:val="000000"/>
          <w:kern w:val="0"/>
          <w:lang w:eastAsia="en-GB"/>
          <w14:ligatures w14:val="none"/>
        </w:rPr>
        <w:drawing>
          <wp:inline distT="0" distB="0" distL="0" distR="0" wp14:anchorId="324D2351" wp14:editId="4D05D475">
            <wp:extent cx="2384575" cy="2908738"/>
            <wp:effectExtent l="0" t="0" r="3175" b="0"/>
            <wp:docPr id="199301655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16552" name="Picture 1" descr="A screenshot of a computer screen&#10;&#10;Description automatically generated"/>
                    <pic:cNvPicPr/>
                  </pic:nvPicPr>
                  <pic:blipFill>
                    <a:blip r:embed="rId6"/>
                    <a:stretch>
                      <a:fillRect/>
                    </a:stretch>
                  </pic:blipFill>
                  <pic:spPr>
                    <a:xfrm>
                      <a:off x="0" y="0"/>
                      <a:ext cx="2447478" cy="2985468"/>
                    </a:xfrm>
                    <a:prstGeom prst="rect">
                      <a:avLst/>
                    </a:prstGeom>
                  </pic:spPr>
                </pic:pic>
              </a:graphicData>
            </a:graphic>
          </wp:inline>
        </w:drawing>
      </w:r>
    </w:p>
    <w:p w14:paraId="2AD08EE9" w14:textId="77777777" w:rsidR="004D5200" w:rsidRDefault="0078257E" w:rsidP="0078257E">
      <w:pPr>
        <w:spacing w:before="100" w:beforeAutospacing="1" w:after="100" w:afterAutospacing="1" w:line="240" w:lineRule="auto"/>
        <w:outlineLvl w:val="2"/>
        <w:rPr>
          <w:noProof/>
        </w:rPr>
      </w:pPr>
      <w:r w:rsidRPr="0078257E">
        <w:rPr>
          <w:rFonts w:ascii="Calibri" w:eastAsia="Times New Roman" w:hAnsi="Calibri" w:cs="Calibri"/>
          <w:b/>
          <w:bCs/>
          <w:noProof/>
          <w:color w:val="000000"/>
          <w:kern w:val="0"/>
          <w:lang w:eastAsia="en-GB"/>
          <w14:ligatures w14:val="none"/>
        </w:rPr>
        <w:drawing>
          <wp:inline distT="0" distB="0" distL="0" distR="0" wp14:anchorId="5A97A1AC" wp14:editId="6D628ED3">
            <wp:extent cx="4660979" cy="2498834"/>
            <wp:effectExtent l="0" t="0" r="0" b="3175"/>
            <wp:docPr id="1735656826"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56826" name="Picture 1" descr="A graph with a line going up&#10;&#10;Description automatically generated"/>
                    <pic:cNvPicPr/>
                  </pic:nvPicPr>
                  <pic:blipFill>
                    <a:blip r:embed="rId7"/>
                    <a:stretch>
                      <a:fillRect/>
                    </a:stretch>
                  </pic:blipFill>
                  <pic:spPr>
                    <a:xfrm>
                      <a:off x="0" y="0"/>
                      <a:ext cx="4670972" cy="2504191"/>
                    </a:xfrm>
                    <a:prstGeom prst="rect">
                      <a:avLst/>
                    </a:prstGeom>
                  </pic:spPr>
                </pic:pic>
              </a:graphicData>
            </a:graphic>
          </wp:inline>
        </w:drawing>
      </w:r>
      <w:r w:rsidRPr="0078257E">
        <w:rPr>
          <w:noProof/>
        </w:rPr>
        <w:t xml:space="preserve"> </w:t>
      </w:r>
    </w:p>
    <w:p w14:paraId="4758B87C" w14:textId="425AA74A" w:rsidR="004D5200" w:rsidRDefault="0078257E" w:rsidP="0078257E">
      <w:pPr>
        <w:spacing w:before="100" w:beforeAutospacing="1" w:after="100" w:afterAutospacing="1" w:line="240" w:lineRule="auto"/>
        <w:outlineLvl w:val="2"/>
        <w:rPr>
          <w:noProof/>
        </w:rPr>
      </w:pPr>
      <w:r w:rsidRPr="0078257E">
        <w:rPr>
          <w:rFonts w:ascii="Calibri" w:eastAsia="Times New Roman" w:hAnsi="Calibri" w:cs="Calibri"/>
          <w:b/>
          <w:bCs/>
          <w:noProof/>
          <w:color w:val="000000"/>
          <w:kern w:val="0"/>
          <w:lang w:eastAsia="en-GB"/>
          <w14:ligatures w14:val="none"/>
        </w:rPr>
        <w:lastRenderedPageBreak/>
        <w:drawing>
          <wp:inline distT="0" distB="0" distL="0" distR="0" wp14:anchorId="3626A70E" wp14:editId="62F3AAFB">
            <wp:extent cx="4556234" cy="2979773"/>
            <wp:effectExtent l="0" t="0" r="3175" b="5080"/>
            <wp:docPr id="1928231361"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31361" name="Picture 1" descr="A graph of blue bars&#10;&#10;Description automatically generated"/>
                    <pic:cNvPicPr/>
                  </pic:nvPicPr>
                  <pic:blipFill>
                    <a:blip r:embed="rId8"/>
                    <a:stretch>
                      <a:fillRect/>
                    </a:stretch>
                  </pic:blipFill>
                  <pic:spPr>
                    <a:xfrm>
                      <a:off x="0" y="0"/>
                      <a:ext cx="4642480" cy="3036178"/>
                    </a:xfrm>
                    <a:prstGeom prst="rect">
                      <a:avLst/>
                    </a:prstGeom>
                  </pic:spPr>
                </pic:pic>
              </a:graphicData>
            </a:graphic>
          </wp:inline>
        </w:drawing>
      </w:r>
      <w:r w:rsidRPr="0078257E">
        <w:rPr>
          <w:noProof/>
        </w:rPr>
        <w:t xml:space="preserve"> </w:t>
      </w:r>
    </w:p>
    <w:p w14:paraId="1EBC8C2F" w14:textId="77777777" w:rsidR="004D5200" w:rsidRDefault="0078257E" w:rsidP="0078257E">
      <w:pPr>
        <w:spacing w:before="100" w:beforeAutospacing="1" w:after="100" w:afterAutospacing="1" w:line="240" w:lineRule="auto"/>
        <w:outlineLvl w:val="2"/>
        <w:rPr>
          <w:noProof/>
        </w:rPr>
      </w:pPr>
      <w:r w:rsidRPr="0078257E">
        <w:rPr>
          <w:noProof/>
        </w:rPr>
        <w:drawing>
          <wp:inline distT="0" distB="0" distL="0" distR="0" wp14:anchorId="794837B4" wp14:editId="036524CF">
            <wp:extent cx="4556125" cy="2977684"/>
            <wp:effectExtent l="0" t="0" r="3175" b="0"/>
            <wp:docPr id="614641509" name="Picture 1" descr="A graph showing the amount of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41509" name="Picture 1" descr="A graph showing the amount of time&#10;&#10;Description automatically generated"/>
                    <pic:cNvPicPr/>
                  </pic:nvPicPr>
                  <pic:blipFill>
                    <a:blip r:embed="rId9"/>
                    <a:stretch>
                      <a:fillRect/>
                    </a:stretch>
                  </pic:blipFill>
                  <pic:spPr>
                    <a:xfrm>
                      <a:off x="0" y="0"/>
                      <a:ext cx="4706183" cy="3075756"/>
                    </a:xfrm>
                    <a:prstGeom prst="rect">
                      <a:avLst/>
                    </a:prstGeom>
                  </pic:spPr>
                </pic:pic>
              </a:graphicData>
            </a:graphic>
          </wp:inline>
        </w:drawing>
      </w:r>
      <w:r w:rsidRPr="0078257E">
        <w:rPr>
          <w:noProof/>
        </w:rPr>
        <w:t xml:space="preserve"> </w:t>
      </w:r>
    </w:p>
    <w:p w14:paraId="01E1F8EB" w14:textId="7A475CB5" w:rsidR="0078257E" w:rsidRPr="0078257E" w:rsidRDefault="0078257E" w:rsidP="0078257E">
      <w:pPr>
        <w:spacing w:before="100" w:beforeAutospacing="1" w:after="100" w:afterAutospacing="1" w:line="240" w:lineRule="auto"/>
        <w:outlineLvl w:val="2"/>
        <w:rPr>
          <w:noProof/>
        </w:rPr>
      </w:pPr>
      <w:r w:rsidRPr="0078257E">
        <w:rPr>
          <w:noProof/>
        </w:rPr>
        <w:lastRenderedPageBreak/>
        <w:drawing>
          <wp:inline distT="0" distB="0" distL="0" distR="0" wp14:anchorId="6431BD6D" wp14:editId="2F561166">
            <wp:extent cx="4429780" cy="3066393"/>
            <wp:effectExtent l="0" t="0" r="2540" b="0"/>
            <wp:docPr id="684612235"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12235" name="Picture 1" descr="A screenshot of a screen&#10;&#10;Description automatically generated"/>
                    <pic:cNvPicPr/>
                  </pic:nvPicPr>
                  <pic:blipFill>
                    <a:blip r:embed="rId10"/>
                    <a:stretch>
                      <a:fillRect/>
                    </a:stretch>
                  </pic:blipFill>
                  <pic:spPr>
                    <a:xfrm>
                      <a:off x="0" y="0"/>
                      <a:ext cx="4441672" cy="3074625"/>
                    </a:xfrm>
                    <a:prstGeom prst="rect">
                      <a:avLst/>
                    </a:prstGeom>
                  </pic:spPr>
                </pic:pic>
              </a:graphicData>
            </a:graphic>
          </wp:inline>
        </w:drawing>
      </w:r>
    </w:p>
    <w:p w14:paraId="00C10A49" w14:textId="77777777" w:rsidR="0078257E" w:rsidRPr="0078257E" w:rsidRDefault="0078257E" w:rsidP="0078257E">
      <w:pPr>
        <w:numPr>
          <w:ilvl w:val="0"/>
          <w:numId w:val="1"/>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78257E">
        <w:rPr>
          <w:rFonts w:ascii="Calibri" w:eastAsia="Times New Roman" w:hAnsi="Calibri" w:cs="Calibri"/>
          <w:b/>
          <w:bCs/>
          <w:color w:val="000000"/>
          <w:kern w:val="0"/>
          <w:lang w:eastAsia="en-GB"/>
          <w14:ligatures w14:val="none"/>
        </w:rPr>
        <w:t>Business</w:t>
      </w:r>
      <w:r w:rsidRPr="0078257E">
        <w:rPr>
          <w:rFonts w:ascii="Calibri" w:eastAsia="Times New Roman" w:hAnsi="Calibri" w:cs="Calibri"/>
          <w:color w:val="000000"/>
          <w:kern w:val="0"/>
          <w:lang w:eastAsia="en-GB"/>
          <w14:ligatures w14:val="none"/>
        </w:rPr>
        <w:t xml:space="preserve">: </w:t>
      </w:r>
      <w:r w:rsidRPr="0078257E">
        <w:rPr>
          <w:rFonts w:ascii="Calibri" w:eastAsia="Times New Roman" w:hAnsi="Calibri" w:cs="Calibri"/>
          <w:i/>
          <w:iCs/>
          <w:color w:val="000000"/>
          <w:kern w:val="0"/>
          <w:lang w:eastAsia="en-GB"/>
          <w14:ligatures w14:val="none"/>
        </w:rPr>
        <w:t>Moose’s Tooth Pub &amp; Pizzeria</w:t>
      </w:r>
      <w:r w:rsidRPr="0078257E">
        <w:rPr>
          <w:rFonts w:ascii="Calibri" w:eastAsia="Times New Roman" w:hAnsi="Calibri" w:cs="Calibri"/>
          <w:color w:val="000000"/>
          <w:kern w:val="0"/>
          <w:lang w:eastAsia="en-GB"/>
          <w14:ligatures w14:val="none"/>
        </w:rPr>
        <w:t xml:space="preserve"> attracts the highest number of distinct reviewers (~2.8k), followed by major malls and warehouse/department store anchors. This reflects both venue popularity and footfall.</w:t>
      </w:r>
    </w:p>
    <w:p w14:paraId="08B43A89" w14:textId="77777777" w:rsidR="0078257E" w:rsidRPr="0078257E" w:rsidRDefault="0078257E" w:rsidP="0078257E">
      <w:pPr>
        <w:numPr>
          <w:ilvl w:val="0"/>
          <w:numId w:val="1"/>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78257E">
        <w:rPr>
          <w:rFonts w:ascii="Calibri" w:eastAsia="Times New Roman" w:hAnsi="Calibri" w:cs="Calibri"/>
          <w:b/>
          <w:bCs/>
          <w:color w:val="000000"/>
          <w:kern w:val="0"/>
          <w:lang w:eastAsia="en-GB"/>
          <w14:ligatures w14:val="none"/>
        </w:rPr>
        <w:t>Category</w:t>
      </w:r>
      <w:r w:rsidRPr="0078257E">
        <w:rPr>
          <w:rFonts w:ascii="Calibri" w:eastAsia="Times New Roman" w:hAnsi="Calibri" w:cs="Calibri"/>
          <w:color w:val="000000"/>
          <w:kern w:val="0"/>
          <w:lang w:eastAsia="en-GB"/>
          <w14:ligatures w14:val="none"/>
        </w:rPr>
        <w:t>: When counting distinct users across all venues, categories related to food &amp; drink (e.g., pizza restaurant, bar, brewpub, restaurant) dominate, with shopping mall / department-store ecosystems also ranking highly.</w:t>
      </w:r>
    </w:p>
    <w:p w14:paraId="05364D1A" w14:textId="45D37E9D" w:rsidR="0078257E" w:rsidRPr="0078257E" w:rsidRDefault="0078257E" w:rsidP="0078257E">
      <w:pPr>
        <w:numPr>
          <w:ilvl w:val="0"/>
          <w:numId w:val="1"/>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78257E">
        <w:rPr>
          <w:rFonts w:ascii="Calibri" w:eastAsia="Times New Roman" w:hAnsi="Calibri" w:cs="Calibri"/>
          <w:b/>
          <w:bCs/>
          <w:color w:val="000000"/>
          <w:kern w:val="0"/>
          <w:lang w:eastAsia="en-GB"/>
          <w14:ligatures w14:val="none"/>
        </w:rPr>
        <w:t>Temporal</w:t>
      </w:r>
      <w:r w:rsidRPr="0078257E">
        <w:rPr>
          <w:rFonts w:ascii="Calibri" w:eastAsia="Times New Roman" w:hAnsi="Calibri" w:cs="Calibri"/>
          <w:color w:val="000000"/>
          <w:kern w:val="0"/>
          <w:lang w:eastAsia="en-GB"/>
          <w14:ligatures w14:val="none"/>
        </w:rPr>
        <w:t>: Review submissions are consistently higher on weekends and follow a strong time-of-day cycle: low during late morning to early afternoon, rising through evening and peaking late night/after midnight. Yearly totals ramp up sharply to ~2019 and drop in 2020–2021 (likely pandemic effects).</w:t>
      </w:r>
    </w:p>
    <w:p w14:paraId="499F8835" w14:textId="6B2CB4D3" w:rsidR="0078257E" w:rsidRDefault="0078257E" w:rsidP="0078257E">
      <w:pPr>
        <w:spacing w:before="100" w:beforeAutospacing="1" w:after="100" w:afterAutospacing="1" w:line="240" w:lineRule="auto"/>
        <w:outlineLvl w:val="2"/>
        <w:rPr>
          <w:rFonts w:ascii="Calibri" w:eastAsia="Times New Roman" w:hAnsi="Calibri" w:cs="Calibri"/>
          <w:b/>
          <w:bCs/>
          <w:color w:val="000000"/>
          <w:kern w:val="0"/>
          <w:lang w:eastAsia="en-GB"/>
          <w14:ligatures w14:val="none"/>
        </w:rPr>
      </w:pPr>
      <w:r w:rsidRPr="0018702D">
        <w:rPr>
          <w:rFonts w:ascii="Calibri" w:eastAsia="Times New Roman" w:hAnsi="Calibri" w:cs="Calibri"/>
          <w:b/>
          <w:bCs/>
          <w:color w:val="000000"/>
          <w:kern w:val="0"/>
          <w:lang w:eastAsia="en-GB"/>
          <w14:ligatures w14:val="none"/>
        </w:rPr>
        <w:t xml:space="preserve"> </w:t>
      </w:r>
    </w:p>
    <w:p w14:paraId="183287E4" w14:textId="027AE66B" w:rsidR="0078257E" w:rsidRDefault="0078257E" w:rsidP="0078257E">
      <w:pPr>
        <w:spacing w:before="100" w:beforeAutospacing="1" w:after="100" w:afterAutospacing="1" w:line="240" w:lineRule="auto"/>
        <w:outlineLvl w:val="2"/>
        <w:rPr>
          <w:rFonts w:ascii="Calibri" w:eastAsia="Times New Roman" w:hAnsi="Calibri" w:cs="Calibri"/>
          <w:b/>
          <w:bCs/>
          <w:color w:val="000000"/>
          <w:kern w:val="0"/>
          <w:lang w:eastAsia="en-GB"/>
          <w14:ligatures w14:val="none"/>
        </w:rPr>
      </w:pPr>
      <w:r w:rsidRPr="0018702D">
        <w:rPr>
          <w:rFonts w:ascii="Calibri" w:eastAsia="Times New Roman" w:hAnsi="Calibri" w:cs="Calibri"/>
          <w:b/>
          <w:bCs/>
          <w:color w:val="000000"/>
          <w:kern w:val="0"/>
          <w:lang w:eastAsia="en-GB"/>
          <w14:ligatures w14:val="none"/>
        </w:rPr>
        <w:t>Question 1.</w:t>
      </w:r>
      <w:r>
        <w:rPr>
          <w:rFonts w:ascii="Calibri" w:eastAsia="Times New Roman" w:hAnsi="Calibri" w:cs="Calibri"/>
          <w:b/>
          <w:bCs/>
          <w:color w:val="000000"/>
          <w:kern w:val="0"/>
          <w:lang w:eastAsia="en-GB"/>
          <w14:ligatures w14:val="none"/>
        </w:rPr>
        <w:t>6.1</w:t>
      </w:r>
      <w:r w:rsidRPr="0018702D">
        <w:rPr>
          <w:rFonts w:ascii="Calibri" w:eastAsia="Times New Roman" w:hAnsi="Calibri" w:cs="Calibri"/>
          <w:b/>
          <w:bCs/>
          <w:color w:val="000000"/>
          <w:kern w:val="0"/>
          <w:lang w:eastAsia="en-GB"/>
          <w14:ligatures w14:val="none"/>
        </w:rPr>
        <w:t xml:space="preserve"> </w:t>
      </w:r>
      <w:r>
        <w:rPr>
          <w:rFonts w:ascii="Calibri" w:eastAsia="Times New Roman" w:hAnsi="Calibri" w:cs="Calibri"/>
          <w:b/>
          <w:bCs/>
          <w:color w:val="000000"/>
          <w:kern w:val="0"/>
          <w:lang w:eastAsia="en-GB"/>
          <w14:ligatures w14:val="none"/>
        </w:rPr>
        <w:t>Recommendation Strategy</w:t>
      </w:r>
      <w:r w:rsidRPr="0018702D">
        <w:rPr>
          <w:rFonts w:ascii="Calibri" w:eastAsia="Times New Roman" w:hAnsi="Calibri" w:cs="Calibri"/>
          <w:b/>
          <w:bCs/>
          <w:color w:val="000000"/>
          <w:kern w:val="0"/>
          <w:lang w:eastAsia="en-GB"/>
          <w14:ligatures w14:val="none"/>
        </w:rPr>
        <w:t xml:space="preserve"> </w:t>
      </w:r>
    </w:p>
    <w:p w14:paraId="10A00E03" w14:textId="77777777" w:rsidR="0078257E" w:rsidRPr="0078257E" w:rsidRDefault="0078257E" w:rsidP="0078257E">
      <w:pPr>
        <w:spacing w:before="100" w:beforeAutospacing="1" w:after="100" w:afterAutospacing="1" w:line="240" w:lineRule="auto"/>
        <w:outlineLvl w:val="2"/>
        <w:rPr>
          <w:rFonts w:ascii="Calibri" w:eastAsia="Times New Roman" w:hAnsi="Calibri" w:cs="Calibri"/>
          <w:i/>
          <w:iCs/>
          <w:color w:val="000000"/>
          <w:kern w:val="0"/>
          <w:lang w:eastAsia="en-GB"/>
          <w14:ligatures w14:val="none"/>
        </w:rPr>
      </w:pPr>
      <w:r w:rsidRPr="0078257E">
        <w:rPr>
          <w:rFonts w:ascii="Calibri" w:eastAsia="Times New Roman" w:hAnsi="Calibri" w:cs="Calibri"/>
          <w:i/>
          <w:iCs/>
          <w:color w:val="000000"/>
          <w:kern w:val="0"/>
          <w:lang w:eastAsia="en-GB"/>
          <w14:ligatures w14:val="none"/>
        </w:rPr>
        <w:t>1. Data Preparation</w:t>
      </w:r>
    </w:p>
    <w:p w14:paraId="674636CB" w14:textId="77777777" w:rsidR="0078257E" w:rsidRPr="0078257E" w:rsidRDefault="0078257E" w:rsidP="0078257E">
      <w:pPr>
        <w:numPr>
          <w:ilvl w:val="0"/>
          <w:numId w:val="2"/>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78257E">
        <w:rPr>
          <w:rFonts w:ascii="Calibri" w:eastAsia="Times New Roman" w:hAnsi="Calibri" w:cs="Calibri"/>
          <w:b/>
          <w:bCs/>
          <w:color w:val="000000"/>
          <w:kern w:val="0"/>
          <w:lang w:eastAsia="en-GB"/>
          <w14:ligatures w14:val="none"/>
        </w:rPr>
        <w:t>Input Data</w:t>
      </w:r>
      <w:r w:rsidRPr="0078257E">
        <w:rPr>
          <w:rFonts w:ascii="Calibri" w:eastAsia="Times New Roman" w:hAnsi="Calibri" w:cs="Calibri"/>
          <w:color w:val="000000"/>
          <w:kern w:val="0"/>
          <w:lang w:eastAsia="en-GB"/>
          <w14:ligatures w14:val="none"/>
        </w:rPr>
        <w:t>: The dataset contains user IDs, business IDs (</w:t>
      </w:r>
      <w:proofErr w:type="spellStart"/>
      <w:r w:rsidRPr="0078257E">
        <w:rPr>
          <w:rFonts w:ascii="Calibri" w:eastAsia="Times New Roman" w:hAnsi="Calibri" w:cs="Calibri"/>
          <w:color w:val="000000"/>
          <w:kern w:val="0"/>
          <w:lang w:eastAsia="en-GB"/>
          <w14:ligatures w14:val="none"/>
        </w:rPr>
        <w:t>gmap_id</w:t>
      </w:r>
      <w:proofErr w:type="spellEnd"/>
      <w:r w:rsidRPr="0078257E">
        <w:rPr>
          <w:rFonts w:ascii="Calibri" w:eastAsia="Times New Roman" w:hAnsi="Calibri" w:cs="Calibri"/>
          <w:color w:val="000000"/>
          <w:kern w:val="0"/>
          <w:lang w:eastAsia="en-GB"/>
          <w14:ligatures w14:val="none"/>
        </w:rPr>
        <w:t>), ratings, review texts, and business categories.</w:t>
      </w:r>
    </w:p>
    <w:p w14:paraId="0BB1024F" w14:textId="77777777" w:rsidR="0078257E" w:rsidRPr="0078257E" w:rsidRDefault="0078257E" w:rsidP="0078257E">
      <w:pPr>
        <w:numPr>
          <w:ilvl w:val="0"/>
          <w:numId w:val="2"/>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proofErr w:type="spellStart"/>
      <w:r w:rsidRPr="0078257E">
        <w:rPr>
          <w:rFonts w:ascii="Calibri" w:eastAsia="Times New Roman" w:hAnsi="Calibri" w:cs="Calibri"/>
          <w:b/>
          <w:bCs/>
          <w:color w:val="000000"/>
          <w:kern w:val="0"/>
          <w:lang w:eastAsia="en-GB"/>
          <w14:ligatures w14:val="none"/>
        </w:rPr>
        <w:t>Preprocessing</w:t>
      </w:r>
      <w:proofErr w:type="spellEnd"/>
      <w:r w:rsidRPr="0078257E">
        <w:rPr>
          <w:rFonts w:ascii="Calibri" w:eastAsia="Times New Roman" w:hAnsi="Calibri" w:cs="Calibri"/>
          <w:color w:val="000000"/>
          <w:kern w:val="0"/>
          <w:lang w:eastAsia="en-GB"/>
          <w14:ligatures w14:val="none"/>
        </w:rPr>
        <w:t>:</w:t>
      </w:r>
    </w:p>
    <w:p w14:paraId="20B24E25" w14:textId="77777777" w:rsidR="0078257E" w:rsidRPr="0078257E" w:rsidRDefault="0078257E" w:rsidP="0078257E">
      <w:pPr>
        <w:numPr>
          <w:ilvl w:val="1"/>
          <w:numId w:val="2"/>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78257E">
        <w:rPr>
          <w:rFonts w:ascii="Calibri" w:eastAsia="Times New Roman" w:hAnsi="Calibri" w:cs="Calibri"/>
          <w:color w:val="000000"/>
          <w:kern w:val="0"/>
          <w:lang w:eastAsia="en-GB"/>
          <w14:ligatures w14:val="none"/>
        </w:rPr>
        <w:t>Extract a user–business rating matrix, where rows represent users and columns represent businesses.</w:t>
      </w:r>
    </w:p>
    <w:p w14:paraId="736C92D1" w14:textId="77777777" w:rsidR="0078257E" w:rsidRPr="0078257E" w:rsidRDefault="0078257E" w:rsidP="0078257E">
      <w:pPr>
        <w:numPr>
          <w:ilvl w:val="1"/>
          <w:numId w:val="2"/>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78257E">
        <w:rPr>
          <w:rFonts w:ascii="Calibri" w:eastAsia="Times New Roman" w:hAnsi="Calibri" w:cs="Calibri"/>
          <w:color w:val="000000"/>
          <w:kern w:val="0"/>
          <w:lang w:eastAsia="en-GB"/>
          <w14:ligatures w14:val="none"/>
        </w:rPr>
        <w:t>Missing entries represent businesses a user has not reviewed yet.</w:t>
      </w:r>
    </w:p>
    <w:p w14:paraId="42A86372" w14:textId="4415C1F8" w:rsidR="0078257E" w:rsidRPr="0078257E" w:rsidRDefault="0078257E" w:rsidP="0078257E">
      <w:pPr>
        <w:numPr>
          <w:ilvl w:val="1"/>
          <w:numId w:val="2"/>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78257E">
        <w:rPr>
          <w:rFonts w:ascii="Calibri" w:eastAsia="Times New Roman" w:hAnsi="Calibri" w:cs="Calibri"/>
          <w:color w:val="000000"/>
          <w:kern w:val="0"/>
          <w:lang w:eastAsia="en-GB"/>
          <w14:ligatures w14:val="none"/>
        </w:rPr>
        <w:t>Normalize ratings (e.g., subtract user mean) to avoid bias from generous/harsh reviewers.</w:t>
      </w:r>
    </w:p>
    <w:p w14:paraId="50FBF683" w14:textId="77777777" w:rsidR="0078257E" w:rsidRPr="0078257E" w:rsidRDefault="0078257E" w:rsidP="0078257E">
      <w:pPr>
        <w:spacing w:before="100" w:beforeAutospacing="1" w:after="100" w:afterAutospacing="1" w:line="240" w:lineRule="auto"/>
        <w:outlineLvl w:val="2"/>
        <w:rPr>
          <w:rFonts w:ascii="Calibri" w:eastAsia="Times New Roman" w:hAnsi="Calibri" w:cs="Calibri"/>
          <w:i/>
          <w:iCs/>
          <w:color w:val="000000"/>
          <w:kern w:val="0"/>
          <w:lang w:eastAsia="en-GB"/>
          <w14:ligatures w14:val="none"/>
        </w:rPr>
      </w:pPr>
      <w:r w:rsidRPr="0078257E">
        <w:rPr>
          <w:rFonts w:ascii="Calibri" w:eastAsia="Times New Roman" w:hAnsi="Calibri" w:cs="Calibri"/>
          <w:i/>
          <w:iCs/>
          <w:color w:val="000000"/>
          <w:kern w:val="0"/>
          <w:lang w:eastAsia="en-GB"/>
          <w14:ligatures w14:val="none"/>
        </w:rPr>
        <w:t>2. Similarity Computation</w:t>
      </w:r>
    </w:p>
    <w:p w14:paraId="6D2CE138" w14:textId="77777777" w:rsidR="0078257E" w:rsidRPr="0078257E" w:rsidRDefault="0078257E" w:rsidP="0078257E">
      <w:pPr>
        <w:numPr>
          <w:ilvl w:val="0"/>
          <w:numId w:val="3"/>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78257E">
        <w:rPr>
          <w:rFonts w:ascii="Calibri" w:eastAsia="Times New Roman" w:hAnsi="Calibri" w:cs="Calibri"/>
          <w:color w:val="000000"/>
          <w:kern w:val="0"/>
          <w:lang w:eastAsia="en-GB"/>
          <w14:ligatures w14:val="none"/>
        </w:rPr>
        <w:t>Compute similarity between businesses using cosine similarity or Pearson correlation on rating vectors.</w:t>
      </w:r>
    </w:p>
    <w:p w14:paraId="6DC9152E" w14:textId="77777777" w:rsidR="0078257E" w:rsidRPr="0078257E" w:rsidRDefault="0078257E" w:rsidP="0078257E">
      <w:pPr>
        <w:numPr>
          <w:ilvl w:val="0"/>
          <w:numId w:val="3"/>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78257E">
        <w:rPr>
          <w:rFonts w:ascii="Calibri" w:eastAsia="Times New Roman" w:hAnsi="Calibri" w:cs="Calibri"/>
          <w:color w:val="000000"/>
          <w:kern w:val="0"/>
          <w:lang w:eastAsia="en-GB"/>
          <w14:ligatures w14:val="none"/>
        </w:rPr>
        <w:lastRenderedPageBreak/>
        <w:t>Alternatively, compute similarity between users to identify “</w:t>
      </w:r>
      <w:proofErr w:type="spellStart"/>
      <w:r w:rsidRPr="0078257E">
        <w:rPr>
          <w:rFonts w:ascii="Calibri" w:eastAsia="Times New Roman" w:hAnsi="Calibri" w:cs="Calibri"/>
          <w:color w:val="000000"/>
          <w:kern w:val="0"/>
          <w:lang w:eastAsia="en-GB"/>
          <w14:ligatures w14:val="none"/>
        </w:rPr>
        <w:t>neighboring</w:t>
      </w:r>
      <w:proofErr w:type="spellEnd"/>
      <w:r w:rsidRPr="0078257E">
        <w:rPr>
          <w:rFonts w:ascii="Calibri" w:eastAsia="Times New Roman" w:hAnsi="Calibri" w:cs="Calibri"/>
          <w:color w:val="000000"/>
          <w:kern w:val="0"/>
          <w:lang w:eastAsia="en-GB"/>
          <w14:ligatures w14:val="none"/>
        </w:rPr>
        <w:t xml:space="preserve"> users” with similar rating </w:t>
      </w:r>
      <w:proofErr w:type="spellStart"/>
      <w:r w:rsidRPr="0078257E">
        <w:rPr>
          <w:rFonts w:ascii="Calibri" w:eastAsia="Times New Roman" w:hAnsi="Calibri" w:cs="Calibri"/>
          <w:color w:val="000000"/>
          <w:kern w:val="0"/>
          <w:lang w:eastAsia="en-GB"/>
          <w14:ligatures w14:val="none"/>
        </w:rPr>
        <w:t>behaviors</w:t>
      </w:r>
      <w:proofErr w:type="spellEnd"/>
      <w:r w:rsidRPr="0078257E">
        <w:rPr>
          <w:rFonts w:ascii="Calibri" w:eastAsia="Times New Roman" w:hAnsi="Calibri" w:cs="Calibri"/>
          <w:color w:val="000000"/>
          <w:kern w:val="0"/>
          <w:lang w:eastAsia="en-GB"/>
          <w14:ligatures w14:val="none"/>
        </w:rPr>
        <w:t>.</w:t>
      </w:r>
    </w:p>
    <w:p w14:paraId="3695FFEA" w14:textId="29B6AC6B" w:rsidR="0078257E" w:rsidRPr="0078257E" w:rsidRDefault="0078257E" w:rsidP="0078257E">
      <w:pPr>
        <w:numPr>
          <w:ilvl w:val="0"/>
          <w:numId w:val="3"/>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78257E">
        <w:rPr>
          <w:rFonts w:ascii="Calibri" w:eastAsia="Times New Roman" w:hAnsi="Calibri" w:cs="Calibri"/>
          <w:color w:val="000000"/>
          <w:kern w:val="0"/>
          <w:lang w:eastAsia="en-GB"/>
          <w14:ligatures w14:val="none"/>
        </w:rPr>
        <w:t>Example: If User A and User B have rated many businesses similarly, then User A may also like businesses User B has rated highly.</w:t>
      </w:r>
    </w:p>
    <w:p w14:paraId="338771C0" w14:textId="77777777" w:rsidR="0078257E" w:rsidRPr="0078257E" w:rsidRDefault="0078257E" w:rsidP="0078257E">
      <w:pPr>
        <w:spacing w:before="100" w:beforeAutospacing="1" w:after="100" w:afterAutospacing="1" w:line="240" w:lineRule="auto"/>
        <w:outlineLvl w:val="2"/>
        <w:rPr>
          <w:rFonts w:ascii="Calibri" w:eastAsia="Times New Roman" w:hAnsi="Calibri" w:cs="Calibri"/>
          <w:i/>
          <w:iCs/>
          <w:color w:val="000000"/>
          <w:kern w:val="0"/>
          <w:lang w:eastAsia="en-GB"/>
          <w14:ligatures w14:val="none"/>
        </w:rPr>
      </w:pPr>
      <w:r w:rsidRPr="0078257E">
        <w:rPr>
          <w:rFonts w:ascii="Calibri" w:eastAsia="Times New Roman" w:hAnsi="Calibri" w:cs="Calibri"/>
          <w:i/>
          <w:iCs/>
          <w:color w:val="000000"/>
          <w:kern w:val="0"/>
          <w:lang w:eastAsia="en-GB"/>
          <w14:ligatures w14:val="none"/>
        </w:rPr>
        <w:t>3. KNN Recommendation</w:t>
      </w:r>
    </w:p>
    <w:p w14:paraId="6E23A000" w14:textId="77777777" w:rsidR="0078257E" w:rsidRPr="0078257E" w:rsidRDefault="0078257E" w:rsidP="0078257E">
      <w:pPr>
        <w:numPr>
          <w:ilvl w:val="0"/>
          <w:numId w:val="4"/>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78257E">
        <w:rPr>
          <w:rFonts w:ascii="Calibri" w:eastAsia="Times New Roman" w:hAnsi="Calibri" w:cs="Calibri"/>
          <w:color w:val="000000"/>
          <w:kern w:val="0"/>
          <w:lang w:eastAsia="en-GB"/>
          <w14:ligatures w14:val="none"/>
        </w:rPr>
        <w:t xml:space="preserve">For a target user, identify their K nearest </w:t>
      </w:r>
      <w:proofErr w:type="spellStart"/>
      <w:r w:rsidRPr="0078257E">
        <w:rPr>
          <w:rFonts w:ascii="Calibri" w:eastAsia="Times New Roman" w:hAnsi="Calibri" w:cs="Calibri"/>
          <w:color w:val="000000"/>
          <w:kern w:val="0"/>
          <w:lang w:eastAsia="en-GB"/>
          <w14:ligatures w14:val="none"/>
        </w:rPr>
        <w:t>neighbors</w:t>
      </w:r>
      <w:proofErr w:type="spellEnd"/>
      <w:r w:rsidRPr="0078257E">
        <w:rPr>
          <w:rFonts w:ascii="Calibri" w:eastAsia="Times New Roman" w:hAnsi="Calibri" w:cs="Calibri"/>
          <w:color w:val="000000"/>
          <w:kern w:val="0"/>
          <w:lang w:eastAsia="en-GB"/>
          <w14:ligatures w14:val="none"/>
        </w:rPr>
        <w:t xml:space="preserve"> (users with similar rating patterns).</w:t>
      </w:r>
    </w:p>
    <w:p w14:paraId="67BE0441" w14:textId="77777777" w:rsidR="0078257E" w:rsidRPr="0078257E" w:rsidRDefault="0078257E" w:rsidP="0078257E">
      <w:pPr>
        <w:numPr>
          <w:ilvl w:val="0"/>
          <w:numId w:val="4"/>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78257E">
        <w:rPr>
          <w:rFonts w:ascii="Calibri" w:eastAsia="Times New Roman" w:hAnsi="Calibri" w:cs="Calibri"/>
          <w:color w:val="000000"/>
          <w:kern w:val="0"/>
          <w:lang w:eastAsia="en-GB"/>
          <w14:ligatures w14:val="none"/>
        </w:rPr>
        <w:t xml:space="preserve">Aggregate ratings from these </w:t>
      </w:r>
      <w:proofErr w:type="spellStart"/>
      <w:r w:rsidRPr="0078257E">
        <w:rPr>
          <w:rFonts w:ascii="Calibri" w:eastAsia="Times New Roman" w:hAnsi="Calibri" w:cs="Calibri"/>
          <w:color w:val="000000"/>
          <w:kern w:val="0"/>
          <w:lang w:eastAsia="en-GB"/>
          <w14:ligatures w14:val="none"/>
        </w:rPr>
        <w:t>neighbors</w:t>
      </w:r>
      <w:proofErr w:type="spellEnd"/>
      <w:r w:rsidRPr="0078257E">
        <w:rPr>
          <w:rFonts w:ascii="Calibri" w:eastAsia="Times New Roman" w:hAnsi="Calibri" w:cs="Calibri"/>
          <w:color w:val="000000"/>
          <w:kern w:val="0"/>
          <w:lang w:eastAsia="en-GB"/>
          <w14:ligatures w14:val="none"/>
        </w:rPr>
        <w:t xml:space="preserve"> to predict the target user’s potential rating for unrated businesses.</w:t>
      </w:r>
    </w:p>
    <w:p w14:paraId="0615F07D" w14:textId="0740CED9" w:rsidR="0078257E" w:rsidRPr="0078257E" w:rsidRDefault="0078257E" w:rsidP="0078257E">
      <w:pPr>
        <w:numPr>
          <w:ilvl w:val="0"/>
          <w:numId w:val="4"/>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78257E">
        <w:rPr>
          <w:rFonts w:ascii="Calibri" w:eastAsia="Times New Roman" w:hAnsi="Calibri" w:cs="Calibri"/>
          <w:color w:val="000000"/>
          <w:kern w:val="0"/>
          <w:lang w:eastAsia="en-GB"/>
          <w14:ligatures w14:val="none"/>
        </w:rPr>
        <w:t>Businesses with the highest predicted scores are recommended.</w:t>
      </w:r>
    </w:p>
    <w:p w14:paraId="12B7A0FD" w14:textId="77777777" w:rsidR="0078257E" w:rsidRPr="0078257E" w:rsidRDefault="0078257E" w:rsidP="0078257E">
      <w:pPr>
        <w:spacing w:before="100" w:beforeAutospacing="1" w:after="100" w:afterAutospacing="1" w:line="240" w:lineRule="auto"/>
        <w:outlineLvl w:val="2"/>
        <w:rPr>
          <w:rFonts w:ascii="Calibri" w:eastAsia="Times New Roman" w:hAnsi="Calibri" w:cs="Calibri"/>
          <w:i/>
          <w:iCs/>
          <w:color w:val="000000"/>
          <w:kern w:val="0"/>
          <w:lang w:eastAsia="en-GB"/>
          <w14:ligatures w14:val="none"/>
        </w:rPr>
      </w:pPr>
      <w:r w:rsidRPr="0078257E">
        <w:rPr>
          <w:rFonts w:ascii="Calibri" w:eastAsia="Times New Roman" w:hAnsi="Calibri" w:cs="Calibri"/>
          <w:i/>
          <w:iCs/>
          <w:color w:val="000000"/>
          <w:kern w:val="0"/>
          <w:lang w:eastAsia="en-GB"/>
          <w14:ligatures w14:val="none"/>
        </w:rPr>
        <w:t>4. Incorporating Categories</w:t>
      </w:r>
    </w:p>
    <w:p w14:paraId="29A7B884" w14:textId="77777777" w:rsidR="0078257E" w:rsidRPr="0078257E" w:rsidRDefault="0078257E" w:rsidP="0078257E">
      <w:pPr>
        <w:numPr>
          <w:ilvl w:val="0"/>
          <w:numId w:val="5"/>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78257E">
        <w:rPr>
          <w:rFonts w:ascii="Calibri" w:eastAsia="Times New Roman" w:hAnsi="Calibri" w:cs="Calibri"/>
          <w:color w:val="000000"/>
          <w:kern w:val="0"/>
          <w:lang w:eastAsia="en-GB"/>
          <w14:ligatures w14:val="none"/>
        </w:rPr>
        <w:t>To refine recommendations, integrate business categories:</w:t>
      </w:r>
    </w:p>
    <w:p w14:paraId="225E790C" w14:textId="77777777" w:rsidR="0078257E" w:rsidRPr="0078257E" w:rsidRDefault="0078257E" w:rsidP="0078257E">
      <w:pPr>
        <w:numPr>
          <w:ilvl w:val="1"/>
          <w:numId w:val="5"/>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78257E">
        <w:rPr>
          <w:rFonts w:ascii="Calibri" w:eastAsia="Times New Roman" w:hAnsi="Calibri" w:cs="Calibri"/>
          <w:color w:val="000000"/>
          <w:kern w:val="0"/>
          <w:lang w:eastAsia="en-GB"/>
          <w14:ligatures w14:val="none"/>
        </w:rPr>
        <w:t>Boost similarity between businesses belonging to the same or related categories (e.g., “Pizza Restaurant” and “Italian Restaurant”).</w:t>
      </w:r>
    </w:p>
    <w:p w14:paraId="18A1E95B" w14:textId="11C35487" w:rsidR="0078257E" w:rsidRPr="0078257E" w:rsidRDefault="0078257E" w:rsidP="0078257E">
      <w:pPr>
        <w:numPr>
          <w:ilvl w:val="1"/>
          <w:numId w:val="5"/>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78257E">
        <w:rPr>
          <w:rFonts w:ascii="Calibri" w:eastAsia="Times New Roman" w:hAnsi="Calibri" w:cs="Calibri"/>
          <w:color w:val="000000"/>
          <w:kern w:val="0"/>
          <w:lang w:eastAsia="en-GB"/>
          <w14:ligatures w14:val="none"/>
        </w:rPr>
        <w:t>Penalize or down-weight unrelated categories to improve precision.</w:t>
      </w:r>
    </w:p>
    <w:p w14:paraId="1682128A" w14:textId="77777777" w:rsidR="0078257E" w:rsidRPr="0078257E" w:rsidRDefault="0078257E" w:rsidP="0078257E">
      <w:pPr>
        <w:spacing w:before="100" w:beforeAutospacing="1" w:after="100" w:afterAutospacing="1" w:line="240" w:lineRule="auto"/>
        <w:outlineLvl w:val="2"/>
        <w:rPr>
          <w:rFonts w:ascii="Calibri" w:eastAsia="Times New Roman" w:hAnsi="Calibri" w:cs="Calibri"/>
          <w:i/>
          <w:iCs/>
          <w:color w:val="000000"/>
          <w:kern w:val="0"/>
          <w:lang w:eastAsia="en-GB"/>
          <w14:ligatures w14:val="none"/>
        </w:rPr>
      </w:pPr>
      <w:r w:rsidRPr="0078257E">
        <w:rPr>
          <w:rFonts w:ascii="Calibri" w:eastAsia="Times New Roman" w:hAnsi="Calibri" w:cs="Calibri"/>
          <w:i/>
          <w:iCs/>
          <w:color w:val="000000"/>
          <w:kern w:val="0"/>
          <w:lang w:eastAsia="en-GB"/>
          <w14:ligatures w14:val="none"/>
        </w:rPr>
        <w:t>5. Strategy for Deployment</w:t>
      </w:r>
    </w:p>
    <w:p w14:paraId="170E00BE" w14:textId="77777777" w:rsidR="0078257E" w:rsidRPr="0078257E" w:rsidRDefault="0078257E" w:rsidP="0078257E">
      <w:pPr>
        <w:numPr>
          <w:ilvl w:val="0"/>
          <w:numId w:val="6"/>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78257E">
        <w:rPr>
          <w:rFonts w:ascii="Calibri" w:eastAsia="Times New Roman" w:hAnsi="Calibri" w:cs="Calibri"/>
          <w:b/>
          <w:bCs/>
          <w:color w:val="000000"/>
          <w:kern w:val="0"/>
          <w:lang w:eastAsia="en-GB"/>
          <w14:ligatures w14:val="none"/>
        </w:rPr>
        <w:t>Cold Start Mitigation</w:t>
      </w:r>
      <w:r w:rsidRPr="0078257E">
        <w:rPr>
          <w:rFonts w:ascii="Calibri" w:eastAsia="Times New Roman" w:hAnsi="Calibri" w:cs="Calibri"/>
          <w:color w:val="000000"/>
          <w:kern w:val="0"/>
          <w:lang w:eastAsia="en-GB"/>
          <w14:ligatures w14:val="none"/>
        </w:rPr>
        <w:t>:</w:t>
      </w:r>
    </w:p>
    <w:p w14:paraId="0F3F2CE1" w14:textId="77777777" w:rsidR="0078257E" w:rsidRPr="0078257E" w:rsidRDefault="0078257E" w:rsidP="0078257E">
      <w:pPr>
        <w:numPr>
          <w:ilvl w:val="1"/>
          <w:numId w:val="6"/>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78257E">
        <w:rPr>
          <w:rFonts w:ascii="Calibri" w:eastAsia="Times New Roman" w:hAnsi="Calibri" w:cs="Calibri"/>
          <w:color w:val="000000"/>
          <w:kern w:val="0"/>
          <w:lang w:eastAsia="en-GB"/>
          <w14:ligatures w14:val="none"/>
        </w:rPr>
        <w:t>For new businesses: Recommend based on category popularity (content-based fallback).</w:t>
      </w:r>
    </w:p>
    <w:p w14:paraId="05A95B87" w14:textId="77777777" w:rsidR="0078257E" w:rsidRPr="0078257E" w:rsidRDefault="0078257E" w:rsidP="0078257E">
      <w:pPr>
        <w:numPr>
          <w:ilvl w:val="1"/>
          <w:numId w:val="6"/>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78257E">
        <w:rPr>
          <w:rFonts w:ascii="Calibri" w:eastAsia="Times New Roman" w:hAnsi="Calibri" w:cs="Calibri"/>
          <w:color w:val="000000"/>
          <w:kern w:val="0"/>
          <w:lang w:eastAsia="en-GB"/>
          <w14:ligatures w14:val="none"/>
        </w:rPr>
        <w:t>For new users: Recommend globally popular businesses with high average ratings.</w:t>
      </w:r>
    </w:p>
    <w:p w14:paraId="4D290ED4" w14:textId="77777777" w:rsidR="0078257E" w:rsidRPr="0078257E" w:rsidRDefault="0078257E" w:rsidP="0078257E">
      <w:pPr>
        <w:numPr>
          <w:ilvl w:val="0"/>
          <w:numId w:val="6"/>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78257E">
        <w:rPr>
          <w:rFonts w:ascii="Calibri" w:eastAsia="Times New Roman" w:hAnsi="Calibri" w:cs="Calibri"/>
          <w:b/>
          <w:bCs/>
          <w:color w:val="000000"/>
          <w:kern w:val="0"/>
          <w:lang w:eastAsia="en-GB"/>
          <w14:ligatures w14:val="none"/>
        </w:rPr>
        <w:t>Evaluation Metrics</w:t>
      </w:r>
      <w:r w:rsidRPr="0078257E">
        <w:rPr>
          <w:rFonts w:ascii="Calibri" w:eastAsia="Times New Roman" w:hAnsi="Calibri" w:cs="Calibri"/>
          <w:color w:val="000000"/>
          <w:kern w:val="0"/>
          <w:lang w:eastAsia="en-GB"/>
          <w14:ligatures w14:val="none"/>
        </w:rPr>
        <w:t>:</w:t>
      </w:r>
    </w:p>
    <w:p w14:paraId="3B2AAB1D" w14:textId="77777777" w:rsidR="0078257E" w:rsidRPr="0078257E" w:rsidRDefault="0078257E" w:rsidP="0078257E">
      <w:pPr>
        <w:numPr>
          <w:ilvl w:val="1"/>
          <w:numId w:val="6"/>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78257E">
        <w:rPr>
          <w:rFonts w:ascii="Calibri" w:eastAsia="Times New Roman" w:hAnsi="Calibri" w:cs="Calibri"/>
          <w:color w:val="000000"/>
          <w:kern w:val="0"/>
          <w:lang w:eastAsia="en-GB"/>
          <w14:ligatures w14:val="none"/>
        </w:rPr>
        <w:t>Use RMSE/MAE on predicted ratings.</w:t>
      </w:r>
    </w:p>
    <w:p w14:paraId="484F439D" w14:textId="392874DF" w:rsidR="0078257E" w:rsidRPr="0078257E" w:rsidRDefault="0078257E" w:rsidP="0078257E">
      <w:pPr>
        <w:numPr>
          <w:ilvl w:val="1"/>
          <w:numId w:val="6"/>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78257E">
        <w:rPr>
          <w:rFonts w:ascii="Calibri" w:eastAsia="Times New Roman" w:hAnsi="Calibri" w:cs="Calibri"/>
          <w:color w:val="000000"/>
          <w:kern w:val="0"/>
          <w:lang w:eastAsia="en-GB"/>
          <w14:ligatures w14:val="none"/>
        </w:rPr>
        <w:t xml:space="preserve">Also evaluate ranking quality with </w:t>
      </w:r>
      <w:proofErr w:type="spellStart"/>
      <w:r w:rsidRPr="0078257E">
        <w:rPr>
          <w:rFonts w:ascii="Calibri" w:eastAsia="Times New Roman" w:hAnsi="Calibri" w:cs="Calibri"/>
          <w:color w:val="000000"/>
          <w:kern w:val="0"/>
          <w:lang w:eastAsia="en-GB"/>
          <w14:ligatures w14:val="none"/>
        </w:rPr>
        <w:t>Precision@K</w:t>
      </w:r>
      <w:proofErr w:type="spellEnd"/>
      <w:r w:rsidRPr="0078257E">
        <w:rPr>
          <w:rFonts w:ascii="Calibri" w:eastAsia="Times New Roman" w:hAnsi="Calibri" w:cs="Calibri"/>
          <w:color w:val="000000"/>
          <w:kern w:val="0"/>
          <w:lang w:eastAsia="en-GB"/>
          <w14:ligatures w14:val="none"/>
        </w:rPr>
        <w:t xml:space="preserve"> or NDCG.</w:t>
      </w:r>
    </w:p>
    <w:p w14:paraId="04008F92" w14:textId="14D4E204" w:rsidR="0078257E" w:rsidRPr="00C92AC6" w:rsidRDefault="0078257E" w:rsidP="0078257E">
      <w:pPr>
        <w:spacing w:before="100" w:beforeAutospacing="1" w:after="100" w:afterAutospacing="1" w:line="240" w:lineRule="auto"/>
        <w:outlineLvl w:val="2"/>
        <w:rPr>
          <w:rFonts w:ascii="Calibri" w:eastAsia="Times New Roman" w:hAnsi="Calibri" w:cs="Calibri"/>
          <w:i/>
          <w:iCs/>
          <w:color w:val="000000"/>
          <w:kern w:val="0"/>
          <w:lang w:eastAsia="en-GB"/>
          <w14:ligatures w14:val="none"/>
        </w:rPr>
      </w:pPr>
      <w:r w:rsidRPr="00C92AC6">
        <w:rPr>
          <w:rFonts w:ascii="Calibri" w:eastAsia="Times New Roman" w:hAnsi="Calibri" w:cs="Calibri"/>
          <w:i/>
          <w:iCs/>
          <w:color w:val="000000"/>
          <w:kern w:val="0"/>
          <w:lang w:eastAsia="en-GB"/>
          <w14:ligatures w14:val="none"/>
        </w:rPr>
        <w:t>6. Summary</w:t>
      </w:r>
    </w:p>
    <w:p w14:paraId="21BDB8EA" w14:textId="0F9B84A0" w:rsidR="0078257E" w:rsidRDefault="00C92AC6" w:rsidP="0078257E">
      <w:p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C92AC6">
        <w:rPr>
          <w:rFonts w:ascii="Calibri" w:eastAsia="Times New Roman" w:hAnsi="Calibri" w:cs="Calibri"/>
          <w:color w:val="000000"/>
          <w:kern w:val="0"/>
          <w:lang w:eastAsia="en-GB"/>
          <w14:ligatures w14:val="none"/>
        </w:rPr>
        <w:t xml:space="preserve">I will build a KNN-based collaborative filtering recommender system using the user–business rating matrix. Similarity is computed either between users or businesses, and nearest </w:t>
      </w:r>
      <w:proofErr w:type="spellStart"/>
      <w:r w:rsidRPr="00C92AC6">
        <w:rPr>
          <w:rFonts w:ascii="Calibri" w:eastAsia="Times New Roman" w:hAnsi="Calibri" w:cs="Calibri"/>
          <w:color w:val="000000"/>
          <w:kern w:val="0"/>
          <w:lang w:eastAsia="en-GB"/>
          <w14:ligatures w14:val="none"/>
        </w:rPr>
        <w:t>neighbors</w:t>
      </w:r>
      <w:proofErr w:type="spellEnd"/>
      <w:r w:rsidRPr="00C92AC6">
        <w:rPr>
          <w:rFonts w:ascii="Calibri" w:eastAsia="Times New Roman" w:hAnsi="Calibri" w:cs="Calibri"/>
          <w:color w:val="000000"/>
          <w:kern w:val="0"/>
          <w:lang w:eastAsia="en-GB"/>
          <w14:ligatures w14:val="none"/>
        </w:rPr>
        <w:t xml:space="preserve"> guide prediction. Categories will act as an additional signal to improve recommendation quality. This hybrid approach balances collaborative signals with contextual business information, leading to more personalized and accurate business recommendations.</w:t>
      </w:r>
    </w:p>
    <w:p w14:paraId="4C236E1F" w14:textId="5FF82C8B" w:rsidR="00C92AC6" w:rsidRDefault="00C92AC6" w:rsidP="00C92AC6">
      <w:pPr>
        <w:spacing w:before="100" w:beforeAutospacing="1" w:after="100" w:afterAutospacing="1" w:line="240" w:lineRule="auto"/>
        <w:outlineLvl w:val="2"/>
        <w:rPr>
          <w:rFonts w:ascii="Calibri" w:eastAsia="Times New Roman" w:hAnsi="Calibri" w:cs="Calibri"/>
          <w:b/>
          <w:bCs/>
          <w:color w:val="000000"/>
          <w:kern w:val="0"/>
          <w:lang w:eastAsia="en-GB"/>
          <w14:ligatures w14:val="none"/>
        </w:rPr>
      </w:pPr>
      <w:r w:rsidRPr="0018702D">
        <w:rPr>
          <w:rFonts w:ascii="Calibri" w:eastAsia="Times New Roman" w:hAnsi="Calibri" w:cs="Calibri"/>
          <w:b/>
          <w:bCs/>
          <w:color w:val="000000"/>
          <w:kern w:val="0"/>
          <w:lang w:eastAsia="en-GB"/>
          <w14:ligatures w14:val="none"/>
        </w:rPr>
        <w:t>Question 1.</w:t>
      </w:r>
      <w:r>
        <w:rPr>
          <w:rFonts w:ascii="Calibri" w:eastAsia="Times New Roman" w:hAnsi="Calibri" w:cs="Calibri"/>
          <w:b/>
          <w:bCs/>
          <w:color w:val="000000"/>
          <w:kern w:val="0"/>
          <w:lang w:eastAsia="en-GB"/>
          <w14:ligatures w14:val="none"/>
        </w:rPr>
        <w:t>6.2</w:t>
      </w:r>
      <w:r w:rsidRPr="0018702D">
        <w:rPr>
          <w:rFonts w:ascii="Calibri" w:eastAsia="Times New Roman" w:hAnsi="Calibri" w:cs="Calibri"/>
          <w:b/>
          <w:bCs/>
          <w:color w:val="000000"/>
          <w:kern w:val="0"/>
          <w:lang w:eastAsia="en-GB"/>
          <w14:ligatures w14:val="none"/>
        </w:rPr>
        <w:t xml:space="preserve"> </w:t>
      </w:r>
      <w:r>
        <w:rPr>
          <w:rFonts w:ascii="Calibri" w:eastAsia="Times New Roman" w:hAnsi="Calibri" w:cs="Calibri"/>
          <w:b/>
          <w:bCs/>
          <w:color w:val="000000"/>
          <w:kern w:val="0"/>
          <w:lang w:eastAsia="en-GB"/>
          <w14:ligatures w14:val="none"/>
        </w:rPr>
        <w:t>Recommendation Strategy</w:t>
      </w:r>
      <w:r w:rsidRPr="0018702D">
        <w:rPr>
          <w:rFonts w:ascii="Calibri" w:eastAsia="Times New Roman" w:hAnsi="Calibri" w:cs="Calibri"/>
          <w:b/>
          <w:bCs/>
          <w:color w:val="000000"/>
          <w:kern w:val="0"/>
          <w:lang w:eastAsia="en-GB"/>
          <w14:ligatures w14:val="none"/>
        </w:rPr>
        <w:t xml:space="preserve"> </w:t>
      </w:r>
      <w:r>
        <w:rPr>
          <w:rFonts w:ascii="Calibri" w:eastAsia="Times New Roman" w:hAnsi="Calibri" w:cs="Calibri"/>
          <w:b/>
          <w:bCs/>
          <w:color w:val="000000"/>
          <w:kern w:val="0"/>
          <w:lang w:eastAsia="en-GB"/>
          <w14:ligatures w14:val="none"/>
        </w:rPr>
        <w:t>Implementation</w:t>
      </w:r>
    </w:p>
    <w:p w14:paraId="5272BBE4" w14:textId="77777777" w:rsidR="00C92AC6" w:rsidRPr="00C92AC6" w:rsidRDefault="00C92AC6" w:rsidP="00C92AC6">
      <w:p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C92AC6">
        <w:rPr>
          <w:rFonts w:ascii="Calibri" w:eastAsia="Times New Roman" w:hAnsi="Calibri" w:cs="Calibri"/>
          <w:color w:val="000000"/>
          <w:kern w:val="0"/>
          <w:lang w:eastAsia="en-GB"/>
          <w14:ligatures w14:val="none"/>
        </w:rPr>
        <w:t>Implementation logic:</w:t>
      </w:r>
    </w:p>
    <w:p w14:paraId="169F0DD2" w14:textId="77777777" w:rsidR="00C92AC6" w:rsidRPr="00C92AC6" w:rsidRDefault="00C92AC6" w:rsidP="00C92AC6">
      <w:pPr>
        <w:numPr>
          <w:ilvl w:val="0"/>
          <w:numId w:val="7"/>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C92AC6">
        <w:rPr>
          <w:rFonts w:ascii="Calibri" w:eastAsia="Times New Roman" w:hAnsi="Calibri" w:cs="Calibri"/>
          <w:color w:val="000000"/>
          <w:kern w:val="0"/>
          <w:lang w:eastAsia="en-GB"/>
          <w14:ligatures w14:val="none"/>
        </w:rPr>
        <w:t>Built an item–user rating matrix, filtered to active users/items, and trained KNN (cosine) over items.</w:t>
      </w:r>
    </w:p>
    <w:p w14:paraId="6EE1EBA8" w14:textId="644ADFEB" w:rsidR="00C92AC6" w:rsidRPr="00C92AC6" w:rsidRDefault="00C92AC6" w:rsidP="00C92AC6">
      <w:pPr>
        <w:numPr>
          <w:ilvl w:val="0"/>
          <w:numId w:val="7"/>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C92AC6">
        <w:rPr>
          <w:rFonts w:ascii="Calibri" w:eastAsia="Times New Roman" w:hAnsi="Calibri" w:cs="Calibri"/>
          <w:color w:val="000000"/>
          <w:kern w:val="0"/>
          <w:lang w:eastAsia="en-GB"/>
          <w14:ligatures w14:val="none"/>
        </w:rPr>
        <w:lastRenderedPageBreak/>
        <w:t>For a target user, we predict scores for unrated items by taking a similarity-weighted average of the user’s ratings on the target item’s K nearest neighbour items, then add back the user’s mean to remove harsh/lenient rat</w:t>
      </w:r>
      <w:r>
        <w:rPr>
          <w:rFonts w:ascii="Calibri" w:eastAsia="Times New Roman" w:hAnsi="Calibri" w:cs="Calibri"/>
          <w:color w:val="000000"/>
          <w:kern w:val="0"/>
          <w:lang w:eastAsia="en-GB"/>
          <w14:ligatures w14:val="none"/>
        </w:rPr>
        <w:t>ings.</w:t>
      </w:r>
    </w:p>
    <w:p w14:paraId="6C1A78FA" w14:textId="15DF2094" w:rsidR="00C92AC6" w:rsidRPr="00C92AC6" w:rsidRDefault="00C92AC6" w:rsidP="00C92AC6">
      <w:pPr>
        <w:numPr>
          <w:ilvl w:val="0"/>
          <w:numId w:val="7"/>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C92AC6">
        <w:rPr>
          <w:rFonts w:ascii="Calibri" w:eastAsia="Times New Roman" w:hAnsi="Calibri" w:cs="Calibri"/>
          <w:color w:val="000000"/>
          <w:kern w:val="0"/>
          <w:lang w:eastAsia="en-GB"/>
          <w14:ligatures w14:val="none"/>
        </w:rPr>
        <w:t>We then re</w:t>
      </w:r>
      <w:r>
        <w:rPr>
          <w:rFonts w:ascii="Calibri" w:eastAsia="Times New Roman" w:hAnsi="Calibri" w:cs="Calibri"/>
          <w:color w:val="000000"/>
          <w:kern w:val="0"/>
          <w:lang w:eastAsia="en-GB"/>
          <w14:ligatures w14:val="none"/>
        </w:rPr>
        <w:t>-</w:t>
      </w:r>
      <w:r w:rsidRPr="00C92AC6">
        <w:rPr>
          <w:rFonts w:ascii="Calibri" w:eastAsia="Times New Roman" w:hAnsi="Calibri" w:cs="Calibri"/>
          <w:color w:val="000000"/>
          <w:kern w:val="0"/>
          <w:lang w:eastAsia="en-GB"/>
          <w14:ligatures w14:val="none"/>
        </w:rPr>
        <w:t>rank by category affinity: items sharing more categories with the user’s historically liked items receive a small boost (+10% per matching category, capped naturally by data).</w:t>
      </w:r>
    </w:p>
    <w:p w14:paraId="4E9FECB4" w14:textId="77777777" w:rsidR="00C92AC6" w:rsidRPr="00C92AC6" w:rsidRDefault="00C92AC6" w:rsidP="00C92AC6">
      <w:pPr>
        <w:numPr>
          <w:ilvl w:val="0"/>
          <w:numId w:val="7"/>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C92AC6">
        <w:rPr>
          <w:rFonts w:ascii="Calibri" w:eastAsia="Times New Roman" w:hAnsi="Calibri" w:cs="Calibri"/>
          <w:color w:val="000000"/>
          <w:kern w:val="0"/>
          <w:lang w:eastAsia="en-GB"/>
          <w14:ligatures w14:val="none"/>
        </w:rPr>
        <w:t>Cold starts: show popular/high-rated items for new users; for new items, recommend to users whose top categories overlap.</w:t>
      </w:r>
    </w:p>
    <w:p w14:paraId="02F9E11D" w14:textId="1549EFAE" w:rsidR="00C92AC6" w:rsidRPr="00C92AC6" w:rsidRDefault="00C92AC6" w:rsidP="00C92AC6">
      <w:pPr>
        <w:spacing w:before="100" w:beforeAutospacing="1" w:after="100" w:afterAutospacing="1" w:line="240" w:lineRule="auto"/>
        <w:outlineLvl w:val="2"/>
        <w:rPr>
          <w:rFonts w:ascii="Calibri" w:eastAsia="Times New Roman" w:hAnsi="Calibri" w:cs="Calibri"/>
          <w:i/>
          <w:iCs/>
          <w:color w:val="000000"/>
          <w:kern w:val="0"/>
          <w:lang w:eastAsia="en-GB"/>
          <w14:ligatures w14:val="none"/>
        </w:rPr>
      </w:pPr>
      <w:r w:rsidRPr="00C92AC6">
        <w:rPr>
          <w:rFonts w:ascii="Calibri" w:eastAsia="Times New Roman" w:hAnsi="Calibri" w:cs="Calibri"/>
          <w:i/>
          <w:iCs/>
          <w:color w:val="000000"/>
          <w:kern w:val="0"/>
          <w:lang w:eastAsia="en-GB"/>
          <w14:ligatures w14:val="none"/>
        </w:rPr>
        <w:t>Example interpretation:</w:t>
      </w:r>
    </w:p>
    <w:p w14:paraId="473DB887" w14:textId="449ECDEE" w:rsidR="00C92AC6" w:rsidRPr="00C92AC6" w:rsidRDefault="00C92AC6" w:rsidP="00C92AC6">
      <w:p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C92AC6">
        <w:rPr>
          <w:rFonts w:ascii="Calibri" w:eastAsia="Times New Roman" w:hAnsi="Calibri" w:cs="Calibri"/>
          <w:color w:val="000000"/>
          <w:kern w:val="0"/>
          <w:lang w:eastAsia="en-GB"/>
          <w14:ligatures w14:val="none"/>
        </w:rPr>
        <w:t>For user U*, the top results include Moose’s Tooth Pub &amp; Pizzeria and 49th State Brewing with predicted scores ≈4.6–4.8. The user has previously rated several pizza/brewpub venues ≥4, so the KNN neighbours around those items strongly influence the prediction. After category-aware reranking, businesses tagged pizza, brewpub, and restaurant moved up ~1</w:t>
      </w:r>
      <w:r>
        <w:rPr>
          <w:rFonts w:ascii="Calibri" w:eastAsia="Times New Roman" w:hAnsi="Calibri" w:cs="Calibri"/>
          <w:color w:val="000000"/>
          <w:kern w:val="0"/>
          <w:lang w:eastAsia="en-GB"/>
          <w14:ligatures w14:val="none"/>
        </w:rPr>
        <w:t>-</w:t>
      </w:r>
      <w:r w:rsidRPr="00C92AC6">
        <w:rPr>
          <w:rFonts w:ascii="Calibri" w:eastAsia="Times New Roman" w:hAnsi="Calibri" w:cs="Calibri"/>
          <w:color w:val="000000"/>
          <w:kern w:val="0"/>
          <w:lang w:eastAsia="en-GB"/>
          <w14:ligatures w14:val="none"/>
        </w:rPr>
        <w:t>3 positions due to a match with the user’s dominant categories.</w:t>
      </w:r>
    </w:p>
    <w:p w14:paraId="1772034B" w14:textId="77777777" w:rsidR="00C92AC6" w:rsidRPr="00C92AC6" w:rsidRDefault="00C92AC6" w:rsidP="00C92AC6">
      <w:p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C92AC6">
        <w:rPr>
          <w:rFonts w:ascii="Calibri" w:eastAsia="Times New Roman" w:hAnsi="Calibri" w:cs="Calibri"/>
          <w:color w:val="000000"/>
          <w:kern w:val="0"/>
          <w:lang w:eastAsia="en-GB"/>
          <w14:ligatures w14:val="none"/>
        </w:rPr>
        <w:t>Implementation Notes</w:t>
      </w:r>
    </w:p>
    <w:p w14:paraId="11495597" w14:textId="75DD0CE3" w:rsidR="00C92AC6" w:rsidRPr="00C92AC6" w:rsidRDefault="00C92AC6" w:rsidP="00C92AC6">
      <w:pPr>
        <w:pStyle w:val="ListParagraph"/>
        <w:numPr>
          <w:ilvl w:val="0"/>
          <w:numId w:val="7"/>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C92AC6">
        <w:rPr>
          <w:rFonts w:ascii="Calibri" w:eastAsia="Times New Roman" w:hAnsi="Calibri" w:cs="Calibri"/>
          <w:color w:val="000000"/>
          <w:kern w:val="0"/>
          <w:lang w:eastAsia="en-GB"/>
          <w14:ligatures w14:val="none"/>
        </w:rPr>
        <w:t>Implementation detail: I used KNN collaborative filtering with cosine similarity on user–business interactions.</w:t>
      </w:r>
    </w:p>
    <w:p w14:paraId="3085DF4D" w14:textId="7FCFCD98" w:rsidR="00C92AC6" w:rsidRPr="00C92AC6" w:rsidRDefault="00C92AC6" w:rsidP="00C92AC6">
      <w:pPr>
        <w:pStyle w:val="ListParagraph"/>
        <w:numPr>
          <w:ilvl w:val="0"/>
          <w:numId w:val="7"/>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C92AC6">
        <w:rPr>
          <w:rFonts w:ascii="Calibri" w:eastAsia="Times New Roman" w:hAnsi="Calibri" w:cs="Calibri"/>
          <w:color w:val="000000"/>
          <w:kern w:val="0"/>
          <w:lang w:eastAsia="en-GB"/>
          <w14:ligatures w14:val="none"/>
        </w:rPr>
        <w:t xml:space="preserve">Interpretation: Example — “The system recommended Dimond </w:t>
      </w:r>
      <w:proofErr w:type="spellStart"/>
      <w:r w:rsidRPr="00C92AC6">
        <w:rPr>
          <w:rFonts w:ascii="Calibri" w:eastAsia="Times New Roman" w:hAnsi="Calibri" w:cs="Calibri"/>
          <w:color w:val="000000"/>
          <w:kern w:val="0"/>
          <w:lang w:eastAsia="en-GB"/>
          <w14:ligatures w14:val="none"/>
        </w:rPr>
        <w:t>Center</w:t>
      </w:r>
      <w:proofErr w:type="spellEnd"/>
      <w:r w:rsidRPr="00C92AC6">
        <w:rPr>
          <w:rFonts w:ascii="Calibri" w:eastAsia="Times New Roman" w:hAnsi="Calibri" w:cs="Calibri"/>
          <w:color w:val="000000"/>
          <w:kern w:val="0"/>
          <w:lang w:eastAsia="en-GB"/>
          <w14:ligatures w14:val="none"/>
        </w:rPr>
        <w:t xml:space="preserve"> and Walmart </w:t>
      </w:r>
      <w:proofErr w:type="spellStart"/>
      <w:r w:rsidRPr="00C92AC6">
        <w:rPr>
          <w:rFonts w:ascii="Calibri" w:eastAsia="Times New Roman" w:hAnsi="Calibri" w:cs="Calibri"/>
          <w:color w:val="000000"/>
          <w:kern w:val="0"/>
          <w:lang w:eastAsia="en-GB"/>
          <w14:ligatures w14:val="none"/>
        </w:rPr>
        <w:t>Supercenter</w:t>
      </w:r>
      <w:proofErr w:type="spellEnd"/>
      <w:r w:rsidRPr="00C92AC6">
        <w:rPr>
          <w:rFonts w:ascii="Calibri" w:eastAsia="Times New Roman" w:hAnsi="Calibri" w:cs="Calibri"/>
          <w:color w:val="000000"/>
          <w:kern w:val="0"/>
          <w:lang w:eastAsia="en-GB"/>
          <w14:ligatures w14:val="none"/>
        </w:rPr>
        <w:t xml:space="preserve"> because this user has previously interacted with multiple shopping-related businesses, making that the closest match.”</w:t>
      </w:r>
    </w:p>
    <w:p w14:paraId="0D9C8B7A" w14:textId="0DF90429" w:rsidR="0078257E" w:rsidRPr="00C92AC6" w:rsidRDefault="00C92AC6" w:rsidP="002B6B4E">
      <w:pPr>
        <w:pStyle w:val="ListParagraph"/>
        <w:numPr>
          <w:ilvl w:val="0"/>
          <w:numId w:val="7"/>
        </w:num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C92AC6">
        <w:rPr>
          <w:rFonts w:ascii="Calibri" w:eastAsia="Times New Roman" w:hAnsi="Calibri" w:cs="Calibri"/>
          <w:color w:val="000000"/>
          <w:kern w:val="0"/>
          <w:lang w:eastAsia="en-GB"/>
          <w14:ligatures w14:val="none"/>
        </w:rPr>
        <w:t>Insight: This aligns with real-world expectations: malls, wholesale stores, and food chains dominate because they attract high and similar engagement.</w:t>
      </w:r>
    </w:p>
    <w:p w14:paraId="0B2C5869" w14:textId="7A230109" w:rsidR="0018702D" w:rsidRPr="0018702D" w:rsidRDefault="0018702D" w:rsidP="0018702D">
      <w:pPr>
        <w:spacing w:before="100" w:beforeAutospacing="1" w:after="100" w:afterAutospacing="1" w:line="240" w:lineRule="auto"/>
        <w:outlineLvl w:val="2"/>
        <w:rPr>
          <w:rFonts w:ascii="Calibri" w:eastAsia="Times New Roman" w:hAnsi="Calibri" w:cs="Calibri"/>
          <w:b/>
          <w:bCs/>
          <w:color w:val="000000"/>
          <w:kern w:val="0"/>
          <w:lang w:eastAsia="en-GB"/>
          <w14:ligatures w14:val="none"/>
        </w:rPr>
      </w:pPr>
      <w:r w:rsidRPr="0018702D">
        <w:rPr>
          <w:rFonts w:ascii="Calibri" w:eastAsia="Times New Roman" w:hAnsi="Calibri" w:cs="Calibri"/>
          <w:b/>
          <w:bCs/>
          <w:color w:val="000000"/>
          <w:kern w:val="0"/>
          <w:lang w:eastAsia="en-GB"/>
          <w14:ligatures w14:val="none"/>
        </w:rPr>
        <w:t xml:space="preserve">Question 1.7 Explanation </w:t>
      </w:r>
    </w:p>
    <w:p w14:paraId="597F5C21" w14:textId="422AE12B" w:rsidR="0018702D" w:rsidRPr="0018702D" w:rsidRDefault="0018702D" w:rsidP="002B6B4E">
      <w:pPr>
        <w:spacing w:before="100" w:beforeAutospacing="1" w:after="100" w:afterAutospacing="1" w:line="240" w:lineRule="auto"/>
        <w:rPr>
          <w:rFonts w:ascii="Calibri" w:eastAsia="Times New Roman" w:hAnsi="Calibri" w:cs="Calibri"/>
          <w:color w:val="000000"/>
          <w:kern w:val="0"/>
          <w:lang w:eastAsia="en-GB"/>
          <w14:ligatures w14:val="none"/>
        </w:rPr>
      </w:pPr>
      <w:r w:rsidRPr="0018702D">
        <w:rPr>
          <w:rFonts w:ascii="Calibri" w:eastAsia="Times New Roman" w:hAnsi="Calibri" w:cs="Calibri"/>
          <w:color w:val="000000"/>
          <w:kern w:val="0"/>
          <w:lang w:eastAsia="en-GB"/>
          <w14:ligatures w14:val="none"/>
        </w:rPr>
        <w:t xml:space="preserve">We joined reviews with metadata and focused on </w:t>
      </w:r>
      <w:proofErr w:type="spellStart"/>
      <w:r w:rsidRPr="0018702D">
        <w:rPr>
          <w:rFonts w:ascii="Calibri" w:eastAsia="Times New Roman" w:hAnsi="Calibri" w:cs="Calibri"/>
          <w:color w:val="000000"/>
          <w:kern w:val="0"/>
          <w:lang w:eastAsia="en-GB"/>
          <w14:ligatures w14:val="none"/>
        </w:rPr>
        <w:t>analyzing</w:t>
      </w:r>
      <w:proofErr w:type="spellEnd"/>
      <w:r w:rsidRPr="0018702D">
        <w:rPr>
          <w:rFonts w:ascii="Calibri" w:eastAsia="Times New Roman" w:hAnsi="Calibri" w:cs="Calibri"/>
          <w:color w:val="000000"/>
          <w:kern w:val="0"/>
          <w:lang w:eastAsia="en-GB"/>
          <w14:ligatures w14:val="none"/>
        </w:rPr>
        <w:t xml:space="preserve"> ratings by business categories, especially the top 10 most reviewed. This choice was made because examining all categories would overwhelm results, while top ones provide meaningful insights backed by sufficient sample size. Alternatives include clustering categories into broader groups like “food” or “retail,” or applying text-based sentiment analysis for deeper context. However, these risk oversimplifying or overcomplicating the findings. Our approach is optimal because it maintains clarity and detail, highlighting clear rating differences across popular categories. It effectively shows how restaurants and grocery stores receive consistently high ratings, whereas shopping malls and gas stations display more variability. This balance of coverage and interpretability makes it the best fit.</w:t>
      </w:r>
    </w:p>
    <w:p w14:paraId="05FE3C8D" w14:textId="2BEBBCC4" w:rsidR="0018702D" w:rsidRPr="0018702D" w:rsidRDefault="0018702D" w:rsidP="0018702D">
      <w:pPr>
        <w:spacing w:before="100" w:beforeAutospacing="1" w:after="100" w:afterAutospacing="1" w:line="240" w:lineRule="auto"/>
        <w:outlineLvl w:val="2"/>
        <w:rPr>
          <w:rFonts w:ascii="Calibri" w:eastAsia="Times New Roman" w:hAnsi="Calibri" w:cs="Calibri"/>
          <w:b/>
          <w:bCs/>
          <w:color w:val="000000"/>
          <w:kern w:val="0"/>
          <w:lang w:eastAsia="en-GB"/>
          <w14:ligatures w14:val="none"/>
        </w:rPr>
      </w:pPr>
      <w:r w:rsidRPr="0018702D">
        <w:rPr>
          <w:rFonts w:ascii="Calibri" w:eastAsia="Times New Roman" w:hAnsi="Calibri" w:cs="Calibri"/>
          <w:b/>
          <w:bCs/>
          <w:color w:val="000000"/>
          <w:kern w:val="0"/>
          <w:lang w:eastAsia="en-GB"/>
          <w14:ligatures w14:val="none"/>
        </w:rPr>
        <w:t xml:space="preserve">Question 1.8 Explanation </w:t>
      </w:r>
    </w:p>
    <w:p w14:paraId="0565A98B" w14:textId="77777777" w:rsidR="0018702D" w:rsidRPr="0018702D" w:rsidRDefault="0018702D" w:rsidP="0018702D">
      <w:pPr>
        <w:spacing w:before="100" w:beforeAutospacing="1" w:after="100" w:afterAutospacing="1" w:line="240" w:lineRule="auto"/>
        <w:rPr>
          <w:rFonts w:ascii="Calibri" w:eastAsia="Times New Roman" w:hAnsi="Calibri" w:cs="Calibri"/>
          <w:color w:val="000000"/>
          <w:kern w:val="0"/>
          <w:lang w:eastAsia="en-GB"/>
          <w14:ligatures w14:val="none"/>
        </w:rPr>
      </w:pPr>
      <w:r w:rsidRPr="0018702D">
        <w:rPr>
          <w:rFonts w:ascii="Calibri" w:eastAsia="Times New Roman" w:hAnsi="Calibri" w:cs="Calibri"/>
          <w:color w:val="000000"/>
          <w:kern w:val="0"/>
          <w:lang w:eastAsia="en-GB"/>
          <w14:ligatures w14:val="none"/>
        </w:rPr>
        <w:t>We constructed </w:t>
      </w:r>
      <w:proofErr w:type="spellStart"/>
      <w:r w:rsidRPr="0018702D">
        <w:rPr>
          <w:rFonts w:ascii="Calibri" w:eastAsia="Times New Roman" w:hAnsi="Calibri" w:cs="Calibri"/>
          <w:color w:val="000000"/>
          <w:kern w:val="0"/>
          <w:lang w:eastAsia="en-GB"/>
          <w14:ligatures w14:val="none"/>
        </w:rPr>
        <w:t>user_business_list</w:t>
      </w:r>
      <w:proofErr w:type="spellEnd"/>
      <w:r w:rsidRPr="0018702D">
        <w:rPr>
          <w:rFonts w:ascii="Calibri" w:eastAsia="Times New Roman" w:hAnsi="Calibri" w:cs="Calibri"/>
          <w:color w:val="000000"/>
          <w:kern w:val="0"/>
          <w:lang w:eastAsia="en-GB"/>
          <w14:ligatures w14:val="none"/>
        </w:rPr>
        <w:t> by ordering visits chronologically and applied </w:t>
      </w:r>
      <w:proofErr w:type="spellStart"/>
      <w:r w:rsidRPr="0018702D">
        <w:rPr>
          <w:rFonts w:ascii="Calibri" w:eastAsia="Times New Roman" w:hAnsi="Calibri" w:cs="Calibri"/>
          <w:color w:val="000000"/>
          <w:kern w:val="0"/>
          <w:lang w:eastAsia="en-GB"/>
          <w14:ligatures w14:val="none"/>
        </w:rPr>
        <w:t>array_distinct</w:t>
      </w:r>
      <w:proofErr w:type="spellEnd"/>
      <w:r w:rsidRPr="0018702D">
        <w:rPr>
          <w:rFonts w:ascii="Calibri" w:eastAsia="Times New Roman" w:hAnsi="Calibri" w:cs="Calibri"/>
          <w:color w:val="000000"/>
          <w:kern w:val="0"/>
          <w:lang w:eastAsia="en-GB"/>
          <w14:ligatures w14:val="none"/>
        </w:rPr>
        <w:t xml:space="preserve"> to remove duplicate businesses per user. This was chosen because repeated entries can bias similarity comparisons, while unique lists highlight diverse visitation histories. Alternative solutions include keeping duplicates to reflect loyalty or visit frequency, which may be useful in churn prediction or customer engagement studies. </w:t>
      </w:r>
      <w:r w:rsidRPr="0018702D">
        <w:rPr>
          <w:rFonts w:ascii="Calibri" w:eastAsia="Times New Roman" w:hAnsi="Calibri" w:cs="Calibri"/>
          <w:color w:val="000000"/>
          <w:kern w:val="0"/>
          <w:lang w:eastAsia="en-GB"/>
          <w14:ligatures w14:val="none"/>
        </w:rPr>
        <w:lastRenderedPageBreak/>
        <w:t xml:space="preserve">Another approach is </w:t>
      </w:r>
      <w:proofErr w:type="spellStart"/>
      <w:r w:rsidRPr="0018702D">
        <w:rPr>
          <w:rFonts w:ascii="Calibri" w:eastAsia="Times New Roman" w:hAnsi="Calibri" w:cs="Calibri"/>
          <w:color w:val="000000"/>
          <w:kern w:val="0"/>
          <w:lang w:eastAsia="en-GB"/>
          <w14:ligatures w14:val="none"/>
        </w:rPr>
        <w:t>sessionization</w:t>
      </w:r>
      <w:proofErr w:type="spellEnd"/>
      <w:r w:rsidRPr="0018702D">
        <w:rPr>
          <w:rFonts w:ascii="Calibri" w:eastAsia="Times New Roman" w:hAnsi="Calibri" w:cs="Calibri"/>
          <w:color w:val="000000"/>
          <w:kern w:val="0"/>
          <w:lang w:eastAsia="en-GB"/>
          <w14:ligatures w14:val="none"/>
        </w:rPr>
        <w:t>, grouping visits within time windows to capture context of repeated interactions. Our solution is optimal for this question because it ensures concise, standardized user histories suited for Jaccard similarity and other comparisons. It avoids skew caused by redundancy and highlights user diversity, enabling more robust and interpretable similarity analysis across 20,000 users without unnecessary computational overhead.</w:t>
      </w:r>
    </w:p>
    <w:p w14:paraId="2825F571" w14:textId="5AFF63D3" w:rsidR="0018702D" w:rsidRPr="0018702D" w:rsidRDefault="0018702D" w:rsidP="0018702D">
      <w:pPr>
        <w:spacing w:after="0" w:line="240" w:lineRule="auto"/>
        <w:rPr>
          <w:rFonts w:ascii="Calibri" w:eastAsia="Times New Roman" w:hAnsi="Calibri" w:cs="Calibri"/>
          <w:color w:val="000000"/>
          <w:kern w:val="0"/>
          <w:lang w:eastAsia="en-GB"/>
          <w14:ligatures w14:val="none"/>
        </w:rPr>
      </w:pPr>
    </w:p>
    <w:p w14:paraId="5345AF84" w14:textId="0DB586D8" w:rsidR="0018702D" w:rsidRPr="0018702D" w:rsidRDefault="0018702D" w:rsidP="0018702D">
      <w:pPr>
        <w:spacing w:before="100" w:beforeAutospacing="1" w:after="100" w:afterAutospacing="1" w:line="240" w:lineRule="auto"/>
        <w:outlineLvl w:val="2"/>
        <w:rPr>
          <w:rFonts w:ascii="Calibri" w:eastAsia="Times New Roman" w:hAnsi="Calibri" w:cs="Calibri"/>
          <w:color w:val="000000"/>
          <w:kern w:val="0"/>
          <w:lang w:eastAsia="en-GB"/>
          <w14:ligatures w14:val="none"/>
        </w:rPr>
      </w:pPr>
      <w:r w:rsidRPr="0018702D">
        <w:rPr>
          <w:rFonts w:ascii="Calibri" w:eastAsia="Times New Roman" w:hAnsi="Calibri" w:cs="Calibri"/>
          <w:color w:val="000000"/>
          <w:kern w:val="0"/>
          <w:lang w:eastAsia="en-GB"/>
          <w14:ligatures w14:val="none"/>
        </w:rPr>
        <w:t xml:space="preserve">Question 2.1 Explanation </w:t>
      </w:r>
    </w:p>
    <w:p w14:paraId="336B2F06" w14:textId="77777777" w:rsidR="0018702D" w:rsidRPr="0018702D" w:rsidRDefault="0018702D" w:rsidP="0018702D">
      <w:pPr>
        <w:spacing w:before="100" w:beforeAutospacing="1" w:after="100" w:afterAutospacing="1" w:line="240" w:lineRule="auto"/>
        <w:rPr>
          <w:rFonts w:ascii="Calibri" w:eastAsia="Times New Roman" w:hAnsi="Calibri" w:cs="Calibri"/>
          <w:color w:val="000000"/>
          <w:kern w:val="0"/>
          <w:lang w:eastAsia="en-GB"/>
          <w14:ligatures w14:val="none"/>
        </w:rPr>
      </w:pPr>
      <w:r w:rsidRPr="0018702D">
        <w:rPr>
          <w:rFonts w:ascii="Calibri" w:eastAsia="Times New Roman" w:hAnsi="Calibri" w:cs="Calibri"/>
          <w:color w:val="000000"/>
          <w:kern w:val="0"/>
          <w:lang w:eastAsia="en-GB"/>
          <w14:ligatures w14:val="none"/>
        </w:rPr>
        <w:t>We constructed a daily review time series, filled missing days with the global mean review count, and then applied additive decomposition. This was chosen because time series continuity is required for decomposition, and mean imputation avoids introducing artificial fluctuations that forward/backward fill might cause. Alternative solutions include linear interpolation, moving averages, or advanced imputation methods like ARIMA or Prophet-based forecasting. While those could capture local variation, they add complexity unnecessary for exploratory decomposition. Our solution is optimal here because it balances simplicity, computational efficiency, and interpretability. It successfully decomposed the series into a long-term trend (growth until 2019, decline post-2020), consistent seasonality, and irregular residuals. This provides clear, actionable insights while maintaining analytical transparency.</w:t>
      </w:r>
    </w:p>
    <w:p w14:paraId="0B19B693" w14:textId="32675FD7" w:rsidR="00011297" w:rsidRDefault="0073242E">
      <w:pPr>
        <w:rPr>
          <w:rFonts w:ascii="Calibri" w:hAnsi="Calibri" w:cs="Calibri"/>
        </w:rPr>
      </w:pPr>
      <w:r>
        <w:rPr>
          <w:rFonts w:ascii="Calibri" w:hAnsi="Calibri" w:cs="Calibri"/>
        </w:rPr>
        <w:t>Question 2.3 Gathered Data and Insights</w:t>
      </w:r>
    </w:p>
    <w:p w14:paraId="716B4DAF" w14:textId="68EC96BD" w:rsidR="0073242E" w:rsidRPr="00C92AC6" w:rsidRDefault="0073242E">
      <w:pPr>
        <w:rPr>
          <w:rFonts w:ascii="Calibri" w:hAnsi="Calibri" w:cs="Calibri"/>
          <w:i/>
          <w:iCs/>
          <w:u w:val="single"/>
        </w:rPr>
      </w:pPr>
      <w:r w:rsidRPr="00C92AC6">
        <w:rPr>
          <w:rFonts w:ascii="Calibri" w:hAnsi="Calibri" w:cs="Calibri"/>
          <w:i/>
          <w:iCs/>
          <w:u w:val="single"/>
        </w:rPr>
        <w:t>Enrolments and Participation</w:t>
      </w:r>
    </w:p>
    <w:tbl>
      <w:tblPr>
        <w:tblStyle w:val="TableGrid"/>
        <w:tblW w:w="0" w:type="auto"/>
        <w:tblLook w:val="04A0" w:firstRow="1" w:lastRow="0" w:firstColumn="1" w:lastColumn="0" w:noHBand="0" w:noVBand="1"/>
      </w:tblPr>
      <w:tblGrid>
        <w:gridCol w:w="4508"/>
        <w:gridCol w:w="4508"/>
      </w:tblGrid>
      <w:tr w:rsidR="0073242E" w:rsidRPr="0073242E" w14:paraId="2B0AF1B1" w14:textId="77777777" w:rsidTr="0073242E">
        <w:tc>
          <w:tcPr>
            <w:tcW w:w="4508" w:type="dxa"/>
            <w:shd w:val="clear" w:color="auto" w:fill="DAE9F7" w:themeFill="text2" w:themeFillTint="1A"/>
          </w:tcPr>
          <w:p w14:paraId="706E0D73" w14:textId="1F1B15FE" w:rsidR="0073242E" w:rsidRPr="0073242E" w:rsidRDefault="0073242E" w:rsidP="0073242E">
            <w:pPr>
              <w:jc w:val="center"/>
              <w:rPr>
                <w:rFonts w:ascii="Calibri" w:hAnsi="Calibri" w:cs="Calibri"/>
                <w:b/>
                <w:bCs/>
              </w:rPr>
            </w:pPr>
            <w:r>
              <w:rPr>
                <w:rFonts w:ascii="Calibri" w:hAnsi="Calibri" w:cs="Calibri"/>
                <w:b/>
                <w:bCs/>
              </w:rPr>
              <w:t>Metric</w:t>
            </w:r>
          </w:p>
        </w:tc>
        <w:tc>
          <w:tcPr>
            <w:tcW w:w="4508" w:type="dxa"/>
            <w:shd w:val="clear" w:color="auto" w:fill="DAE9F7" w:themeFill="text2" w:themeFillTint="1A"/>
          </w:tcPr>
          <w:p w14:paraId="4906F5A7" w14:textId="02A6B784" w:rsidR="0073242E" w:rsidRPr="0073242E" w:rsidRDefault="0073242E" w:rsidP="0073242E">
            <w:pPr>
              <w:jc w:val="center"/>
              <w:rPr>
                <w:rFonts w:ascii="Calibri" w:hAnsi="Calibri" w:cs="Calibri"/>
                <w:b/>
                <w:bCs/>
              </w:rPr>
            </w:pPr>
            <w:r>
              <w:rPr>
                <w:rFonts w:ascii="Calibri" w:hAnsi="Calibri" w:cs="Calibri"/>
                <w:b/>
                <w:bCs/>
              </w:rPr>
              <w:t>Value</w:t>
            </w:r>
          </w:p>
        </w:tc>
      </w:tr>
      <w:tr w:rsidR="0073242E" w14:paraId="6C1ADEEF" w14:textId="77777777" w:rsidTr="0073242E">
        <w:tc>
          <w:tcPr>
            <w:tcW w:w="4508" w:type="dxa"/>
          </w:tcPr>
          <w:p w14:paraId="5DE6EDF6" w14:textId="054D6999" w:rsidR="0073242E" w:rsidRDefault="0073242E">
            <w:pPr>
              <w:rPr>
                <w:rFonts w:ascii="Calibri" w:hAnsi="Calibri" w:cs="Calibri"/>
              </w:rPr>
            </w:pPr>
            <w:r>
              <w:rPr>
                <w:rFonts w:ascii="Calibri" w:hAnsi="Calibri" w:cs="Calibri"/>
              </w:rPr>
              <w:t>Indigenous domestic enrolments (2011)</w:t>
            </w:r>
          </w:p>
        </w:tc>
        <w:tc>
          <w:tcPr>
            <w:tcW w:w="4508" w:type="dxa"/>
          </w:tcPr>
          <w:p w14:paraId="7F43EE53" w14:textId="5062114A" w:rsidR="0073242E" w:rsidRDefault="0073242E">
            <w:pPr>
              <w:rPr>
                <w:rFonts w:ascii="Calibri" w:hAnsi="Calibri" w:cs="Calibri"/>
              </w:rPr>
            </w:pPr>
            <w:r>
              <w:rPr>
                <w:rFonts w:ascii="Calibri" w:hAnsi="Calibri" w:cs="Calibri"/>
              </w:rPr>
              <w:t>13,683</w:t>
            </w:r>
          </w:p>
        </w:tc>
      </w:tr>
      <w:tr w:rsidR="0073242E" w14:paraId="512BAF2C" w14:textId="77777777" w:rsidTr="0073242E">
        <w:tc>
          <w:tcPr>
            <w:tcW w:w="4508" w:type="dxa"/>
          </w:tcPr>
          <w:p w14:paraId="5DE76F88" w14:textId="5730B2ED" w:rsidR="0073242E" w:rsidRDefault="0073242E" w:rsidP="0073242E">
            <w:pPr>
              <w:rPr>
                <w:rFonts w:ascii="Calibri" w:hAnsi="Calibri" w:cs="Calibri"/>
              </w:rPr>
            </w:pPr>
            <w:r>
              <w:rPr>
                <w:rFonts w:ascii="Calibri" w:hAnsi="Calibri" w:cs="Calibri"/>
              </w:rPr>
              <w:t>Indigenous domestic enrolments (2020)</w:t>
            </w:r>
          </w:p>
        </w:tc>
        <w:tc>
          <w:tcPr>
            <w:tcW w:w="4508" w:type="dxa"/>
          </w:tcPr>
          <w:p w14:paraId="12AEA63A" w14:textId="7DFCBE8E" w:rsidR="0073242E" w:rsidRDefault="0073242E" w:rsidP="0073242E">
            <w:pPr>
              <w:rPr>
                <w:rFonts w:ascii="Calibri" w:hAnsi="Calibri" w:cs="Calibri"/>
              </w:rPr>
            </w:pPr>
            <w:r>
              <w:rPr>
                <w:rFonts w:ascii="Calibri" w:hAnsi="Calibri" w:cs="Calibri"/>
              </w:rPr>
              <w:t>22,897 (all time high)</w:t>
            </w:r>
          </w:p>
        </w:tc>
      </w:tr>
      <w:tr w:rsidR="0073242E" w14:paraId="347EFF36" w14:textId="77777777" w:rsidTr="0073242E">
        <w:tc>
          <w:tcPr>
            <w:tcW w:w="4508" w:type="dxa"/>
          </w:tcPr>
          <w:p w14:paraId="13EC1C5B" w14:textId="04C36070" w:rsidR="0073242E" w:rsidRDefault="0073242E" w:rsidP="0073242E">
            <w:pPr>
              <w:tabs>
                <w:tab w:val="left" w:pos="447"/>
              </w:tabs>
              <w:rPr>
                <w:rFonts w:ascii="Calibri" w:hAnsi="Calibri" w:cs="Calibri"/>
              </w:rPr>
            </w:pPr>
            <w:r w:rsidRPr="0073242E">
              <w:rPr>
                <w:rFonts w:ascii="Calibri" w:hAnsi="Calibri" w:cs="Calibri"/>
              </w:rPr>
              <w:t>Share of all domestic enrolments</w:t>
            </w:r>
            <w:r>
              <w:rPr>
                <w:rFonts w:ascii="Calibri" w:hAnsi="Calibri" w:cs="Calibri"/>
              </w:rPr>
              <w:t xml:space="preserve"> (2020)</w:t>
            </w:r>
          </w:p>
        </w:tc>
        <w:tc>
          <w:tcPr>
            <w:tcW w:w="4508" w:type="dxa"/>
          </w:tcPr>
          <w:p w14:paraId="64087BB7" w14:textId="79234273" w:rsidR="0073242E" w:rsidRDefault="0073242E" w:rsidP="0073242E">
            <w:pPr>
              <w:rPr>
                <w:rFonts w:ascii="Calibri" w:hAnsi="Calibri" w:cs="Calibri"/>
              </w:rPr>
            </w:pPr>
            <w:r>
              <w:rPr>
                <w:rFonts w:ascii="Calibri" w:hAnsi="Calibri" w:cs="Calibri"/>
              </w:rPr>
              <w:t>2.04% vs population parity 3.1%</w:t>
            </w:r>
          </w:p>
        </w:tc>
      </w:tr>
    </w:tbl>
    <w:p w14:paraId="100AD4E9" w14:textId="77777777" w:rsidR="0073242E" w:rsidRDefault="0073242E">
      <w:pPr>
        <w:rPr>
          <w:rFonts w:ascii="Calibri" w:hAnsi="Calibri" w:cs="Calibri"/>
        </w:rPr>
      </w:pPr>
    </w:p>
    <w:p w14:paraId="52153711" w14:textId="12DFFC97" w:rsidR="0073242E" w:rsidRPr="00C92AC6" w:rsidRDefault="0073242E">
      <w:pPr>
        <w:rPr>
          <w:rFonts w:ascii="Calibri" w:hAnsi="Calibri" w:cs="Calibri"/>
          <w:i/>
          <w:iCs/>
          <w:u w:val="single"/>
        </w:rPr>
      </w:pPr>
      <w:r w:rsidRPr="00C92AC6">
        <w:rPr>
          <w:rFonts w:ascii="Calibri" w:hAnsi="Calibri" w:cs="Calibri"/>
          <w:i/>
          <w:iCs/>
          <w:u w:val="single"/>
        </w:rPr>
        <w:t>Fields with most indigenous enrolments (2020)</w:t>
      </w:r>
    </w:p>
    <w:tbl>
      <w:tblPr>
        <w:tblStyle w:val="TableGrid"/>
        <w:tblW w:w="0" w:type="auto"/>
        <w:tblLook w:val="04A0" w:firstRow="1" w:lastRow="0" w:firstColumn="1" w:lastColumn="0" w:noHBand="0" w:noVBand="1"/>
      </w:tblPr>
      <w:tblGrid>
        <w:gridCol w:w="4508"/>
        <w:gridCol w:w="4508"/>
      </w:tblGrid>
      <w:tr w:rsidR="0073242E" w:rsidRPr="0073242E" w14:paraId="5523C4FB" w14:textId="77777777" w:rsidTr="0073242E">
        <w:tc>
          <w:tcPr>
            <w:tcW w:w="4508" w:type="dxa"/>
            <w:shd w:val="clear" w:color="auto" w:fill="DAE9F7" w:themeFill="text2" w:themeFillTint="1A"/>
          </w:tcPr>
          <w:p w14:paraId="1783C992" w14:textId="741B1805" w:rsidR="0073242E" w:rsidRPr="0073242E" w:rsidRDefault="0073242E" w:rsidP="0073242E">
            <w:pPr>
              <w:jc w:val="center"/>
              <w:rPr>
                <w:rFonts w:ascii="Calibri" w:hAnsi="Calibri" w:cs="Calibri"/>
                <w:b/>
                <w:bCs/>
              </w:rPr>
            </w:pPr>
            <w:r>
              <w:rPr>
                <w:rFonts w:ascii="Calibri" w:hAnsi="Calibri" w:cs="Calibri"/>
                <w:b/>
                <w:bCs/>
              </w:rPr>
              <w:t>Field of Education</w:t>
            </w:r>
          </w:p>
        </w:tc>
        <w:tc>
          <w:tcPr>
            <w:tcW w:w="4508" w:type="dxa"/>
            <w:shd w:val="clear" w:color="auto" w:fill="DAE9F7" w:themeFill="text2" w:themeFillTint="1A"/>
          </w:tcPr>
          <w:p w14:paraId="35D8B1A5" w14:textId="1EA457F3" w:rsidR="0073242E" w:rsidRPr="0073242E" w:rsidRDefault="0073242E" w:rsidP="0073242E">
            <w:pPr>
              <w:jc w:val="center"/>
              <w:rPr>
                <w:rFonts w:ascii="Calibri" w:hAnsi="Calibri" w:cs="Calibri"/>
                <w:b/>
                <w:bCs/>
              </w:rPr>
            </w:pPr>
            <w:r>
              <w:rPr>
                <w:rFonts w:ascii="Calibri" w:hAnsi="Calibri" w:cs="Calibri"/>
                <w:b/>
                <w:bCs/>
              </w:rPr>
              <w:t>Count</w:t>
            </w:r>
          </w:p>
        </w:tc>
      </w:tr>
      <w:tr w:rsidR="0073242E" w14:paraId="64BCA447" w14:textId="77777777" w:rsidTr="00551B57">
        <w:tc>
          <w:tcPr>
            <w:tcW w:w="4508" w:type="dxa"/>
            <w:vAlign w:val="center"/>
          </w:tcPr>
          <w:p w14:paraId="5848BA4F" w14:textId="7DBAF0AB" w:rsidR="0073242E" w:rsidRPr="0073242E" w:rsidRDefault="0073242E" w:rsidP="0073242E">
            <w:pPr>
              <w:rPr>
                <w:rFonts w:ascii="Calibri" w:hAnsi="Calibri" w:cs="Calibri"/>
              </w:rPr>
            </w:pPr>
            <w:r w:rsidRPr="0073242E">
              <w:t>Health</w:t>
            </w:r>
          </w:p>
        </w:tc>
        <w:tc>
          <w:tcPr>
            <w:tcW w:w="4508" w:type="dxa"/>
            <w:vAlign w:val="center"/>
          </w:tcPr>
          <w:p w14:paraId="79203C77" w14:textId="07AFBFD8" w:rsidR="0073242E" w:rsidRPr="0073242E" w:rsidRDefault="0073242E" w:rsidP="0073242E">
            <w:pPr>
              <w:rPr>
                <w:rFonts w:ascii="Calibri" w:hAnsi="Calibri" w:cs="Calibri"/>
              </w:rPr>
            </w:pPr>
            <w:r w:rsidRPr="0073242E">
              <w:t>5,501</w:t>
            </w:r>
          </w:p>
        </w:tc>
      </w:tr>
      <w:tr w:rsidR="0073242E" w14:paraId="5A126C5D" w14:textId="77777777" w:rsidTr="00551B57">
        <w:tc>
          <w:tcPr>
            <w:tcW w:w="4508" w:type="dxa"/>
            <w:vAlign w:val="center"/>
          </w:tcPr>
          <w:p w14:paraId="33F72C28" w14:textId="7C5F6E59" w:rsidR="0073242E" w:rsidRPr="0073242E" w:rsidRDefault="0073242E" w:rsidP="0073242E">
            <w:pPr>
              <w:rPr>
                <w:rFonts w:ascii="Calibri" w:hAnsi="Calibri" w:cs="Calibri"/>
              </w:rPr>
            </w:pPr>
            <w:r w:rsidRPr="0073242E">
              <w:t>Society &amp; culture</w:t>
            </w:r>
          </w:p>
        </w:tc>
        <w:tc>
          <w:tcPr>
            <w:tcW w:w="4508" w:type="dxa"/>
            <w:vAlign w:val="center"/>
          </w:tcPr>
          <w:p w14:paraId="2C65D7BE" w14:textId="741944F7" w:rsidR="0073242E" w:rsidRPr="0073242E" w:rsidRDefault="0073242E" w:rsidP="0073242E">
            <w:pPr>
              <w:rPr>
                <w:rFonts w:ascii="Calibri" w:hAnsi="Calibri" w:cs="Calibri"/>
              </w:rPr>
            </w:pPr>
            <w:r w:rsidRPr="0073242E">
              <w:t>5,158</w:t>
            </w:r>
          </w:p>
        </w:tc>
      </w:tr>
      <w:tr w:rsidR="0073242E" w14:paraId="258EC4DD" w14:textId="77777777" w:rsidTr="00551B57">
        <w:tc>
          <w:tcPr>
            <w:tcW w:w="4508" w:type="dxa"/>
            <w:vAlign w:val="center"/>
          </w:tcPr>
          <w:p w14:paraId="0FD40B8C" w14:textId="0877A282" w:rsidR="0073242E" w:rsidRPr="0073242E" w:rsidRDefault="0073242E" w:rsidP="0073242E">
            <w:pPr>
              <w:rPr>
                <w:rFonts w:ascii="Calibri" w:hAnsi="Calibri" w:cs="Calibri"/>
              </w:rPr>
            </w:pPr>
            <w:r w:rsidRPr="0073242E">
              <w:t>Management &amp; commerce</w:t>
            </w:r>
          </w:p>
        </w:tc>
        <w:tc>
          <w:tcPr>
            <w:tcW w:w="4508" w:type="dxa"/>
            <w:vAlign w:val="center"/>
          </w:tcPr>
          <w:p w14:paraId="54CBB294" w14:textId="70A2028E" w:rsidR="0073242E" w:rsidRPr="0073242E" w:rsidRDefault="0073242E" w:rsidP="0073242E">
            <w:pPr>
              <w:rPr>
                <w:rFonts w:ascii="Calibri" w:hAnsi="Calibri" w:cs="Calibri"/>
              </w:rPr>
            </w:pPr>
            <w:r w:rsidRPr="0073242E">
              <w:t>2,510</w:t>
            </w:r>
          </w:p>
        </w:tc>
      </w:tr>
      <w:tr w:rsidR="0073242E" w14:paraId="03154FBE" w14:textId="77777777" w:rsidTr="00551B57">
        <w:tc>
          <w:tcPr>
            <w:tcW w:w="4508" w:type="dxa"/>
            <w:vAlign w:val="center"/>
          </w:tcPr>
          <w:p w14:paraId="712317BE" w14:textId="1248FDAC" w:rsidR="0073242E" w:rsidRPr="0073242E" w:rsidRDefault="0073242E" w:rsidP="0073242E">
            <w:pPr>
              <w:rPr>
                <w:rFonts w:ascii="Calibri" w:hAnsi="Calibri" w:cs="Calibri"/>
              </w:rPr>
            </w:pPr>
            <w:r w:rsidRPr="0073242E">
              <w:t>Education</w:t>
            </w:r>
          </w:p>
        </w:tc>
        <w:tc>
          <w:tcPr>
            <w:tcW w:w="4508" w:type="dxa"/>
            <w:vAlign w:val="center"/>
          </w:tcPr>
          <w:p w14:paraId="6A52BC79" w14:textId="15385B2C" w:rsidR="0073242E" w:rsidRPr="0073242E" w:rsidRDefault="0073242E" w:rsidP="0073242E">
            <w:pPr>
              <w:rPr>
                <w:rFonts w:ascii="Calibri" w:hAnsi="Calibri" w:cs="Calibri"/>
              </w:rPr>
            </w:pPr>
            <w:r w:rsidRPr="0073242E">
              <w:t>2,492</w:t>
            </w:r>
          </w:p>
        </w:tc>
      </w:tr>
      <w:tr w:rsidR="0073242E" w14:paraId="206C4F15" w14:textId="77777777" w:rsidTr="00551B57">
        <w:tc>
          <w:tcPr>
            <w:tcW w:w="4508" w:type="dxa"/>
            <w:vAlign w:val="center"/>
          </w:tcPr>
          <w:p w14:paraId="63A0E112" w14:textId="2E0E567E" w:rsidR="0073242E" w:rsidRPr="0073242E" w:rsidRDefault="0073242E" w:rsidP="0073242E">
            <w:pPr>
              <w:rPr>
                <w:rFonts w:ascii="Calibri" w:hAnsi="Calibri" w:cs="Calibri"/>
              </w:rPr>
            </w:pPr>
            <w:r w:rsidRPr="0073242E">
              <w:t>Creative arts</w:t>
            </w:r>
          </w:p>
        </w:tc>
        <w:tc>
          <w:tcPr>
            <w:tcW w:w="4508" w:type="dxa"/>
            <w:vAlign w:val="center"/>
          </w:tcPr>
          <w:p w14:paraId="2DE76076" w14:textId="7718D964" w:rsidR="0073242E" w:rsidRPr="0073242E" w:rsidRDefault="0073242E" w:rsidP="0073242E">
            <w:pPr>
              <w:rPr>
                <w:rFonts w:ascii="Calibri" w:hAnsi="Calibri" w:cs="Calibri"/>
              </w:rPr>
            </w:pPr>
            <w:r w:rsidRPr="0073242E">
              <w:t>2,091</w:t>
            </w:r>
          </w:p>
        </w:tc>
      </w:tr>
      <w:tr w:rsidR="0073242E" w14:paraId="0B5489DE" w14:textId="77777777" w:rsidTr="00551B57">
        <w:tc>
          <w:tcPr>
            <w:tcW w:w="4508" w:type="dxa"/>
            <w:vAlign w:val="center"/>
          </w:tcPr>
          <w:p w14:paraId="7622A5A7" w14:textId="0F58C552" w:rsidR="0073242E" w:rsidRPr="0073242E" w:rsidRDefault="0073242E" w:rsidP="0073242E">
            <w:pPr>
              <w:rPr>
                <w:rFonts w:ascii="Calibri" w:hAnsi="Calibri" w:cs="Calibri"/>
              </w:rPr>
            </w:pPr>
            <w:r w:rsidRPr="0073242E">
              <w:t>Engineering &amp; related technologies</w:t>
            </w:r>
          </w:p>
        </w:tc>
        <w:tc>
          <w:tcPr>
            <w:tcW w:w="4508" w:type="dxa"/>
            <w:vAlign w:val="center"/>
          </w:tcPr>
          <w:p w14:paraId="2A39ED62" w14:textId="5B969528" w:rsidR="0073242E" w:rsidRPr="0073242E" w:rsidRDefault="0073242E" w:rsidP="0073242E">
            <w:pPr>
              <w:rPr>
                <w:rFonts w:ascii="Calibri" w:hAnsi="Calibri" w:cs="Calibri"/>
              </w:rPr>
            </w:pPr>
            <w:r w:rsidRPr="0073242E">
              <w:t>1,624</w:t>
            </w:r>
          </w:p>
        </w:tc>
      </w:tr>
      <w:tr w:rsidR="0073242E" w14:paraId="2318ED4D" w14:textId="77777777" w:rsidTr="00551B57">
        <w:tc>
          <w:tcPr>
            <w:tcW w:w="4508" w:type="dxa"/>
            <w:vAlign w:val="center"/>
          </w:tcPr>
          <w:p w14:paraId="4539C524" w14:textId="3AE50C7A" w:rsidR="0073242E" w:rsidRPr="0073242E" w:rsidRDefault="0073242E" w:rsidP="0073242E">
            <w:pPr>
              <w:rPr>
                <w:rFonts w:ascii="Calibri" w:hAnsi="Calibri" w:cs="Calibri"/>
              </w:rPr>
            </w:pPr>
            <w:r w:rsidRPr="0073242E">
              <w:t>Agriculture, environmental &amp; related</w:t>
            </w:r>
          </w:p>
        </w:tc>
        <w:tc>
          <w:tcPr>
            <w:tcW w:w="4508" w:type="dxa"/>
            <w:vAlign w:val="center"/>
          </w:tcPr>
          <w:p w14:paraId="544CD875" w14:textId="001C8236" w:rsidR="0073242E" w:rsidRPr="0073242E" w:rsidRDefault="0073242E" w:rsidP="0073242E">
            <w:pPr>
              <w:rPr>
                <w:rFonts w:ascii="Calibri" w:hAnsi="Calibri" w:cs="Calibri"/>
              </w:rPr>
            </w:pPr>
            <w:r w:rsidRPr="0073242E">
              <w:t>708</w:t>
            </w:r>
          </w:p>
        </w:tc>
      </w:tr>
      <w:tr w:rsidR="0073242E" w14:paraId="6896D7CD" w14:textId="77777777" w:rsidTr="00BB2B8F">
        <w:tc>
          <w:tcPr>
            <w:tcW w:w="4508" w:type="dxa"/>
            <w:vAlign w:val="center"/>
          </w:tcPr>
          <w:p w14:paraId="4931829E" w14:textId="45B2E379" w:rsidR="0073242E" w:rsidRPr="0073242E" w:rsidRDefault="0073242E" w:rsidP="0073242E">
            <w:pPr>
              <w:rPr>
                <w:rFonts w:ascii="Calibri" w:hAnsi="Calibri" w:cs="Calibri"/>
              </w:rPr>
            </w:pPr>
            <w:r w:rsidRPr="0073242E">
              <w:t>Food, hospitality &amp; personal services</w:t>
            </w:r>
          </w:p>
        </w:tc>
        <w:tc>
          <w:tcPr>
            <w:tcW w:w="4508" w:type="dxa"/>
            <w:vAlign w:val="center"/>
          </w:tcPr>
          <w:p w14:paraId="0B6CD0E7" w14:textId="7ACD7018" w:rsidR="0073242E" w:rsidRPr="0073242E" w:rsidRDefault="0073242E" w:rsidP="0073242E">
            <w:pPr>
              <w:rPr>
                <w:rFonts w:ascii="Calibri" w:hAnsi="Calibri" w:cs="Calibri"/>
              </w:rPr>
            </w:pPr>
            <w:r w:rsidRPr="0073242E">
              <w:t>446</w:t>
            </w:r>
          </w:p>
        </w:tc>
      </w:tr>
    </w:tbl>
    <w:p w14:paraId="58B86D98" w14:textId="18798D2F" w:rsidR="003B454B" w:rsidRDefault="003B454B">
      <w:pPr>
        <w:rPr>
          <w:rFonts w:ascii="Calibri" w:hAnsi="Calibri" w:cs="Calibri"/>
        </w:rPr>
      </w:pPr>
      <w:r>
        <w:rPr>
          <w:rFonts w:ascii="Calibri" w:hAnsi="Calibri" w:cs="Calibri"/>
        </w:rPr>
        <w:t>Extracted from Figure 7.1</w:t>
      </w:r>
    </w:p>
    <w:p w14:paraId="3AEE888B" w14:textId="45E47A31" w:rsidR="0073242E" w:rsidRPr="00C92AC6" w:rsidRDefault="0073242E">
      <w:pPr>
        <w:rPr>
          <w:rFonts w:ascii="Calibri" w:hAnsi="Calibri" w:cs="Calibri"/>
          <w:i/>
          <w:iCs/>
          <w:u w:val="single"/>
        </w:rPr>
      </w:pPr>
      <w:r w:rsidRPr="00C92AC6">
        <w:rPr>
          <w:rFonts w:ascii="Calibri" w:hAnsi="Calibri" w:cs="Calibri"/>
          <w:i/>
          <w:iCs/>
          <w:u w:val="single"/>
        </w:rPr>
        <w:t>Undergraduate applications (central admission)</w:t>
      </w:r>
    </w:p>
    <w:tbl>
      <w:tblPr>
        <w:tblStyle w:val="TableGrid"/>
        <w:tblW w:w="0" w:type="auto"/>
        <w:tblLook w:val="04A0" w:firstRow="1" w:lastRow="0" w:firstColumn="1" w:lastColumn="0" w:noHBand="0" w:noVBand="1"/>
      </w:tblPr>
      <w:tblGrid>
        <w:gridCol w:w="2254"/>
        <w:gridCol w:w="2254"/>
        <w:gridCol w:w="2254"/>
        <w:gridCol w:w="2254"/>
      </w:tblGrid>
      <w:tr w:rsidR="003B454B" w:rsidRPr="0073242E" w14:paraId="01BBD324" w14:textId="77777777" w:rsidTr="005066B3">
        <w:tc>
          <w:tcPr>
            <w:tcW w:w="2254" w:type="dxa"/>
            <w:shd w:val="clear" w:color="auto" w:fill="DAE9F7" w:themeFill="text2" w:themeFillTint="1A"/>
            <w:vAlign w:val="center"/>
          </w:tcPr>
          <w:p w14:paraId="5C2936E7" w14:textId="239607DB" w:rsidR="003B454B" w:rsidRPr="0073242E" w:rsidRDefault="003B454B" w:rsidP="003B454B">
            <w:pPr>
              <w:jc w:val="center"/>
              <w:rPr>
                <w:rFonts w:ascii="Calibri" w:hAnsi="Calibri" w:cs="Calibri"/>
                <w:b/>
                <w:bCs/>
              </w:rPr>
            </w:pPr>
            <w:r>
              <w:rPr>
                <w:b/>
                <w:bCs/>
              </w:rPr>
              <w:t>Metric</w:t>
            </w:r>
          </w:p>
        </w:tc>
        <w:tc>
          <w:tcPr>
            <w:tcW w:w="2254" w:type="dxa"/>
            <w:shd w:val="clear" w:color="auto" w:fill="DAE9F7" w:themeFill="text2" w:themeFillTint="1A"/>
            <w:vAlign w:val="center"/>
          </w:tcPr>
          <w:p w14:paraId="342C19BB" w14:textId="4DB817E7" w:rsidR="003B454B" w:rsidRPr="0073242E" w:rsidRDefault="003B454B" w:rsidP="003B454B">
            <w:pPr>
              <w:jc w:val="center"/>
              <w:rPr>
                <w:rFonts w:ascii="Calibri" w:hAnsi="Calibri" w:cs="Calibri"/>
                <w:b/>
                <w:bCs/>
              </w:rPr>
            </w:pPr>
            <w:r>
              <w:rPr>
                <w:b/>
                <w:bCs/>
              </w:rPr>
              <w:t>2019</w:t>
            </w:r>
          </w:p>
        </w:tc>
        <w:tc>
          <w:tcPr>
            <w:tcW w:w="2254" w:type="dxa"/>
            <w:shd w:val="clear" w:color="auto" w:fill="DAE9F7" w:themeFill="text2" w:themeFillTint="1A"/>
            <w:vAlign w:val="center"/>
          </w:tcPr>
          <w:p w14:paraId="1AE3DE4C" w14:textId="2A79CD5D" w:rsidR="003B454B" w:rsidRPr="0073242E" w:rsidRDefault="003B454B" w:rsidP="003B454B">
            <w:pPr>
              <w:jc w:val="center"/>
              <w:rPr>
                <w:rFonts w:ascii="Calibri" w:hAnsi="Calibri" w:cs="Calibri"/>
                <w:b/>
                <w:bCs/>
              </w:rPr>
            </w:pPr>
            <w:r>
              <w:rPr>
                <w:b/>
                <w:bCs/>
              </w:rPr>
              <w:t>2020</w:t>
            </w:r>
          </w:p>
        </w:tc>
        <w:tc>
          <w:tcPr>
            <w:tcW w:w="2254" w:type="dxa"/>
            <w:shd w:val="clear" w:color="auto" w:fill="DAE9F7" w:themeFill="text2" w:themeFillTint="1A"/>
            <w:vAlign w:val="center"/>
          </w:tcPr>
          <w:p w14:paraId="32D3C867" w14:textId="1DC83776" w:rsidR="003B454B" w:rsidRPr="0073242E" w:rsidRDefault="003B454B" w:rsidP="003B454B">
            <w:pPr>
              <w:jc w:val="center"/>
              <w:rPr>
                <w:rFonts w:ascii="Calibri" w:hAnsi="Calibri" w:cs="Calibri"/>
                <w:b/>
                <w:bCs/>
              </w:rPr>
            </w:pPr>
            <w:r>
              <w:rPr>
                <w:b/>
                <w:bCs/>
              </w:rPr>
              <w:t>2021</w:t>
            </w:r>
          </w:p>
        </w:tc>
      </w:tr>
      <w:tr w:rsidR="003B454B" w14:paraId="483EB327" w14:textId="77777777" w:rsidTr="005066B3">
        <w:tc>
          <w:tcPr>
            <w:tcW w:w="2254" w:type="dxa"/>
            <w:vAlign w:val="center"/>
          </w:tcPr>
          <w:p w14:paraId="1D9FB6A4" w14:textId="25047912" w:rsidR="003B454B" w:rsidRPr="003B454B" w:rsidRDefault="003B454B" w:rsidP="003B454B">
            <w:pPr>
              <w:rPr>
                <w:rFonts w:ascii="Calibri" w:hAnsi="Calibri" w:cs="Calibri"/>
              </w:rPr>
            </w:pPr>
            <w:r w:rsidRPr="003B454B">
              <w:lastRenderedPageBreak/>
              <w:t>Acceptance rate (% of offers accepted)</w:t>
            </w:r>
          </w:p>
        </w:tc>
        <w:tc>
          <w:tcPr>
            <w:tcW w:w="2254" w:type="dxa"/>
            <w:vAlign w:val="center"/>
          </w:tcPr>
          <w:p w14:paraId="132E6BA7" w14:textId="37A55ACA" w:rsidR="003B454B" w:rsidRPr="003B454B" w:rsidRDefault="003B454B" w:rsidP="003B454B">
            <w:pPr>
              <w:rPr>
                <w:rFonts w:ascii="Calibri" w:hAnsi="Calibri" w:cs="Calibri"/>
              </w:rPr>
            </w:pPr>
            <w:r w:rsidRPr="003B454B">
              <w:t>82.1%</w:t>
            </w:r>
          </w:p>
        </w:tc>
        <w:tc>
          <w:tcPr>
            <w:tcW w:w="2254" w:type="dxa"/>
            <w:vAlign w:val="center"/>
          </w:tcPr>
          <w:p w14:paraId="76E4A761" w14:textId="5D98DA83" w:rsidR="003B454B" w:rsidRPr="003B454B" w:rsidRDefault="003B454B" w:rsidP="003B454B">
            <w:pPr>
              <w:rPr>
                <w:rFonts w:ascii="Calibri" w:hAnsi="Calibri" w:cs="Calibri"/>
              </w:rPr>
            </w:pPr>
            <w:r w:rsidRPr="003B454B">
              <w:t>81.9%</w:t>
            </w:r>
          </w:p>
        </w:tc>
        <w:tc>
          <w:tcPr>
            <w:tcW w:w="2254" w:type="dxa"/>
            <w:vAlign w:val="center"/>
          </w:tcPr>
          <w:p w14:paraId="3CF6198B" w14:textId="4C03B958" w:rsidR="003B454B" w:rsidRPr="003B454B" w:rsidRDefault="003B454B" w:rsidP="003B454B">
            <w:pPr>
              <w:rPr>
                <w:rFonts w:ascii="Calibri" w:hAnsi="Calibri" w:cs="Calibri"/>
              </w:rPr>
            </w:pPr>
            <w:r w:rsidRPr="003B454B">
              <w:t>83.0%</w:t>
            </w:r>
          </w:p>
        </w:tc>
      </w:tr>
      <w:tr w:rsidR="003B454B" w14:paraId="5B157FD4" w14:textId="77777777" w:rsidTr="005066B3">
        <w:tc>
          <w:tcPr>
            <w:tcW w:w="2254" w:type="dxa"/>
            <w:vAlign w:val="center"/>
          </w:tcPr>
          <w:p w14:paraId="286BA7DA" w14:textId="45EA3212" w:rsidR="003B454B" w:rsidRPr="003B454B" w:rsidRDefault="003B454B" w:rsidP="003B454B">
            <w:pPr>
              <w:rPr>
                <w:rFonts w:ascii="Calibri" w:hAnsi="Calibri" w:cs="Calibri"/>
              </w:rPr>
            </w:pPr>
            <w:r w:rsidRPr="003B454B">
              <w:t>Female share of applicants</w:t>
            </w:r>
          </w:p>
        </w:tc>
        <w:tc>
          <w:tcPr>
            <w:tcW w:w="2254" w:type="dxa"/>
            <w:vAlign w:val="center"/>
          </w:tcPr>
          <w:p w14:paraId="45131104" w14:textId="448FB2DB" w:rsidR="003B454B" w:rsidRPr="003B454B" w:rsidRDefault="003B454B" w:rsidP="003B454B">
            <w:pPr>
              <w:rPr>
                <w:rFonts w:ascii="Calibri" w:hAnsi="Calibri" w:cs="Calibri"/>
              </w:rPr>
            </w:pPr>
            <w:r w:rsidRPr="003B454B">
              <w:t>71.8%</w:t>
            </w:r>
          </w:p>
        </w:tc>
        <w:tc>
          <w:tcPr>
            <w:tcW w:w="2254" w:type="dxa"/>
            <w:vAlign w:val="center"/>
          </w:tcPr>
          <w:p w14:paraId="0780907C" w14:textId="57CD5EFD" w:rsidR="003B454B" w:rsidRPr="003B454B" w:rsidRDefault="003B454B" w:rsidP="003B454B">
            <w:pPr>
              <w:rPr>
                <w:rFonts w:ascii="Calibri" w:hAnsi="Calibri" w:cs="Calibri"/>
              </w:rPr>
            </w:pPr>
            <w:r w:rsidRPr="003B454B">
              <w:t>73.7%</w:t>
            </w:r>
          </w:p>
        </w:tc>
        <w:tc>
          <w:tcPr>
            <w:tcW w:w="2254" w:type="dxa"/>
            <w:vAlign w:val="center"/>
          </w:tcPr>
          <w:p w14:paraId="6A33AA34" w14:textId="7CC1EB2B" w:rsidR="003B454B" w:rsidRPr="003B454B" w:rsidRDefault="003B454B" w:rsidP="003B454B">
            <w:pPr>
              <w:rPr>
                <w:rFonts w:ascii="Calibri" w:hAnsi="Calibri" w:cs="Calibri"/>
              </w:rPr>
            </w:pPr>
            <w:r w:rsidRPr="003B454B">
              <w:t>72.2%</w:t>
            </w:r>
          </w:p>
        </w:tc>
      </w:tr>
      <w:tr w:rsidR="003B454B" w14:paraId="7388F1C8" w14:textId="77777777" w:rsidTr="005066B3">
        <w:tc>
          <w:tcPr>
            <w:tcW w:w="2254" w:type="dxa"/>
            <w:vAlign w:val="center"/>
          </w:tcPr>
          <w:p w14:paraId="62D5DA48" w14:textId="3667D9F7" w:rsidR="003B454B" w:rsidRPr="003B454B" w:rsidRDefault="003B454B" w:rsidP="003B454B">
            <w:pPr>
              <w:rPr>
                <w:rFonts w:ascii="Calibri" w:hAnsi="Calibri" w:cs="Calibri"/>
              </w:rPr>
            </w:pPr>
            <w:r w:rsidRPr="003B454B">
              <w:t>Applicants aged ≥25</w:t>
            </w:r>
          </w:p>
        </w:tc>
        <w:tc>
          <w:tcPr>
            <w:tcW w:w="2254" w:type="dxa"/>
            <w:vAlign w:val="center"/>
          </w:tcPr>
          <w:p w14:paraId="4123D612" w14:textId="4921B09F" w:rsidR="003B454B" w:rsidRPr="003B454B" w:rsidRDefault="003B454B" w:rsidP="003B454B">
            <w:pPr>
              <w:rPr>
                <w:rFonts w:ascii="Calibri" w:hAnsi="Calibri" w:cs="Calibri"/>
              </w:rPr>
            </w:pPr>
            <w:r w:rsidRPr="003B454B">
              <w:t>36.5%</w:t>
            </w:r>
          </w:p>
        </w:tc>
        <w:tc>
          <w:tcPr>
            <w:tcW w:w="2254" w:type="dxa"/>
            <w:vAlign w:val="center"/>
          </w:tcPr>
          <w:p w14:paraId="16D8492F" w14:textId="2C81A013" w:rsidR="003B454B" w:rsidRPr="003B454B" w:rsidRDefault="003B454B" w:rsidP="003B454B">
            <w:pPr>
              <w:rPr>
                <w:rFonts w:ascii="Calibri" w:hAnsi="Calibri" w:cs="Calibri"/>
              </w:rPr>
            </w:pPr>
            <w:r w:rsidRPr="003B454B">
              <w:t>35.2%</w:t>
            </w:r>
          </w:p>
        </w:tc>
        <w:tc>
          <w:tcPr>
            <w:tcW w:w="2254" w:type="dxa"/>
            <w:vAlign w:val="center"/>
          </w:tcPr>
          <w:p w14:paraId="027C3EFC" w14:textId="03E6CA5A" w:rsidR="003B454B" w:rsidRPr="003B454B" w:rsidRDefault="003B454B" w:rsidP="003B454B">
            <w:pPr>
              <w:rPr>
                <w:rFonts w:ascii="Calibri" w:hAnsi="Calibri" w:cs="Calibri"/>
              </w:rPr>
            </w:pPr>
            <w:r w:rsidRPr="003B454B">
              <w:t>36.1%</w:t>
            </w:r>
          </w:p>
        </w:tc>
      </w:tr>
    </w:tbl>
    <w:p w14:paraId="02A799BE" w14:textId="30A07534" w:rsidR="0073242E" w:rsidRDefault="003B454B">
      <w:pPr>
        <w:rPr>
          <w:rFonts w:ascii="Calibri" w:hAnsi="Calibri" w:cs="Calibri"/>
        </w:rPr>
      </w:pPr>
      <w:r w:rsidRPr="003B454B">
        <w:rPr>
          <w:rFonts w:ascii="Calibri" w:hAnsi="Calibri" w:cs="Calibri"/>
        </w:rPr>
        <w:t>Discipline mix by year is shown in Figure 9; gender split in Figure 8 – e.g., 72% female Indigenous applicants in 2021.</w:t>
      </w:r>
    </w:p>
    <w:p w14:paraId="0B2C7F94" w14:textId="3ADDF67D" w:rsidR="0073242E" w:rsidRPr="00C92AC6" w:rsidRDefault="0073242E">
      <w:pPr>
        <w:rPr>
          <w:rFonts w:ascii="Calibri" w:hAnsi="Calibri" w:cs="Calibri"/>
          <w:i/>
          <w:iCs/>
          <w:u w:val="single"/>
        </w:rPr>
      </w:pPr>
      <w:r w:rsidRPr="00C92AC6">
        <w:rPr>
          <w:rFonts w:ascii="Calibri" w:hAnsi="Calibri" w:cs="Calibri"/>
          <w:i/>
          <w:iCs/>
          <w:u w:val="single"/>
        </w:rPr>
        <w:t>Completions and Completion rates</w:t>
      </w:r>
    </w:p>
    <w:tbl>
      <w:tblPr>
        <w:tblStyle w:val="TableGrid"/>
        <w:tblW w:w="0" w:type="auto"/>
        <w:tblLook w:val="04A0" w:firstRow="1" w:lastRow="0" w:firstColumn="1" w:lastColumn="0" w:noHBand="0" w:noVBand="1"/>
      </w:tblPr>
      <w:tblGrid>
        <w:gridCol w:w="3005"/>
        <w:gridCol w:w="3005"/>
        <w:gridCol w:w="3006"/>
      </w:tblGrid>
      <w:tr w:rsidR="003B454B" w:rsidRPr="0073242E" w14:paraId="0C38BDA8" w14:textId="77777777" w:rsidTr="00FC5374">
        <w:tc>
          <w:tcPr>
            <w:tcW w:w="3005" w:type="dxa"/>
            <w:shd w:val="clear" w:color="auto" w:fill="DAE9F7" w:themeFill="text2" w:themeFillTint="1A"/>
            <w:vAlign w:val="center"/>
          </w:tcPr>
          <w:p w14:paraId="4BFF7593" w14:textId="3D9539E1" w:rsidR="003B454B" w:rsidRPr="0073242E" w:rsidRDefault="003B454B" w:rsidP="003B454B">
            <w:pPr>
              <w:jc w:val="center"/>
              <w:rPr>
                <w:rFonts w:ascii="Calibri" w:hAnsi="Calibri" w:cs="Calibri"/>
                <w:b/>
                <w:bCs/>
              </w:rPr>
            </w:pPr>
            <w:r>
              <w:rPr>
                <w:b/>
                <w:bCs/>
              </w:rPr>
              <w:t>Series</w:t>
            </w:r>
          </w:p>
        </w:tc>
        <w:tc>
          <w:tcPr>
            <w:tcW w:w="3005" w:type="dxa"/>
            <w:shd w:val="clear" w:color="auto" w:fill="DAE9F7" w:themeFill="text2" w:themeFillTint="1A"/>
            <w:vAlign w:val="center"/>
          </w:tcPr>
          <w:p w14:paraId="224E6FE1" w14:textId="20DA40CF" w:rsidR="003B454B" w:rsidRPr="0073242E" w:rsidRDefault="003B454B" w:rsidP="003B454B">
            <w:pPr>
              <w:jc w:val="center"/>
              <w:rPr>
                <w:rFonts w:ascii="Calibri" w:hAnsi="Calibri" w:cs="Calibri"/>
                <w:b/>
                <w:bCs/>
              </w:rPr>
            </w:pPr>
            <w:r>
              <w:rPr>
                <w:b/>
                <w:bCs/>
              </w:rPr>
              <w:t>2008</w:t>
            </w:r>
          </w:p>
        </w:tc>
        <w:tc>
          <w:tcPr>
            <w:tcW w:w="3006" w:type="dxa"/>
            <w:shd w:val="clear" w:color="auto" w:fill="DAE9F7" w:themeFill="text2" w:themeFillTint="1A"/>
            <w:vAlign w:val="center"/>
          </w:tcPr>
          <w:p w14:paraId="3626DEA9" w14:textId="6FF51765" w:rsidR="003B454B" w:rsidRPr="0073242E" w:rsidRDefault="003B454B" w:rsidP="003B454B">
            <w:pPr>
              <w:jc w:val="center"/>
              <w:rPr>
                <w:rFonts w:ascii="Calibri" w:hAnsi="Calibri" w:cs="Calibri"/>
                <w:b/>
                <w:bCs/>
              </w:rPr>
            </w:pPr>
            <w:r>
              <w:rPr>
                <w:b/>
                <w:bCs/>
              </w:rPr>
              <w:t>2020</w:t>
            </w:r>
          </w:p>
        </w:tc>
      </w:tr>
      <w:tr w:rsidR="003B454B" w14:paraId="28467C49" w14:textId="77777777" w:rsidTr="00FC5374">
        <w:tc>
          <w:tcPr>
            <w:tcW w:w="3005" w:type="dxa"/>
            <w:vAlign w:val="center"/>
          </w:tcPr>
          <w:p w14:paraId="77D09BB6" w14:textId="288F617F" w:rsidR="003B454B" w:rsidRPr="003B454B" w:rsidRDefault="003B454B" w:rsidP="003B454B">
            <w:pPr>
              <w:rPr>
                <w:rFonts w:ascii="Calibri" w:hAnsi="Calibri" w:cs="Calibri"/>
              </w:rPr>
            </w:pPr>
            <w:r w:rsidRPr="003B454B">
              <w:t>Bachelor completions (count)</w:t>
            </w:r>
          </w:p>
        </w:tc>
        <w:tc>
          <w:tcPr>
            <w:tcW w:w="3005" w:type="dxa"/>
            <w:vAlign w:val="center"/>
          </w:tcPr>
          <w:p w14:paraId="18F2927A" w14:textId="1F9C1CE1" w:rsidR="003B454B" w:rsidRPr="003B454B" w:rsidRDefault="003B454B" w:rsidP="003B454B">
            <w:pPr>
              <w:rPr>
                <w:rFonts w:ascii="Calibri" w:hAnsi="Calibri" w:cs="Calibri"/>
              </w:rPr>
            </w:pPr>
            <w:r w:rsidRPr="003B454B">
              <w:t>860</w:t>
            </w:r>
          </w:p>
        </w:tc>
        <w:tc>
          <w:tcPr>
            <w:tcW w:w="3006" w:type="dxa"/>
            <w:vAlign w:val="center"/>
          </w:tcPr>
          <w:p w14:paraId="2CEA0174" w14:textId="430CB21D" w:rsidR="003B454B" w:rsidRPr="003B454B" w:rsidRDefault="003B454B" w:rsidP="003B454B">
            <w:pPr>
              <w:rPr>
                <w:rFonts w:ascii="Calibri" w:hAnsi="Calibri" w:cs="Calibri"/>
              </w:rPr>
            </w:pPr>
            <w:r w:rsidRPr="003B454B">
              <w:rPr>
                <w:rStyle w:val="s1"/>
              </w:rPr>
              <w:t>1,804</w:t>
            </w:r>
            <w:r w:rsidRPr="003B454B">
              <w:t xml:space="preserve"> (+109.8%)</w:t>
            </w:r>
            <w:r w:rsidRPr="003B454B">
              <w:rPr>
                <w:rStyle w:val="apple-converted-space"/>
              </w:rPr>
              <w:t xml:space="preserve">  </w:t>
            </w:r>
          </w:p>
        </w:tc>
      </w:tr>
      <w:tr w:rsidR="003B454B" w14:paraId="23C1FA4B" w14:textId="77777777" w:rsidTr="00FC5374">
        <w:tc>
          <w:tcPr>
            <w:tcW w:w="3005" w:type="dxa"/>
            <w:vAlign w:val="center"/>
          </w:tcPr>
          <w:p w14:paraId="331AB863" w14:textId="5919DC39" w:rsidR="003B454B" w:rsidRPr="003B454B" w:rsidRDefault="003B454B" w:rsidP="003B454B">
            <w:pPr>
              <w:rPr>
                <w:rFonts w:ascii="Calibri" w:hAnsi="Calibri" w:cs="Calibri"/>
              </w:rPr>
            </w:pPr>
            <w:r w:rsidRPr="003B454B">
              <w:t>PG research completions (count)</w:t>
            </w:r>
          </w:p>
        </w:tc>
        <w:tc>
          <w:tcPr>
            <w:tcW w:w="3005" w:type="dxa"/>
            <w:vAlign w:val="center"/>
          </w:tcPr>
          <w:p w14:paraId="23208CD3" w14:textId="502260CE" w:rsidR="003B454B" w:rsidRPr="003B454B" w:rsidRDefault="003B454B" w:rsidP="003B454B">
            <w:pPr>
              <w:rPr>
                <w:rFonts w:ascii="Calibri" w:hAnsi="Calibri" w:cs="Calibri"/>
              </w:rPr>
            </w:pPr>
            <w:r w:rsidRPr="003B454B">
              <w:t>33</w:t>
            </w:r>
          </w:p>
        </w:tc>
        <w:tc>
          <w:tcPr>
            <w:tcW w:w="3006" w:type="dxa"/>
            <w:vAlign w:val="center"/>
          </w:tcPr>
          <w:p w14:paraId="32C752D8" w14:textId="51E8A077" w:rsidR="003B454B" w:rsidRPr="003B454B" w:rsidRDefault="003B454B" w:rsidP="003B454B">
            <w:pPr>
              <w:rPr>
                <w:rFonts w:ascii="Calibri" w:hAnsi="Calibri" w:cs="Calibri"/>
              </w:rPr>
            </w:pPr>
            <w:r w:rsidRPr="003B454B">
              <w:rPr>
                <w:rStyle w:val="s1"/>
              </w:rPr>
              <w:t>71</w:t>
            </w:r>
            <w:r w:rsidRPr="003B454B">
              <w:t xml:space="preserve"> (+115.2%)</w:t>
            </w:r>
            <w:r w:rsidRPr="003B454B">
              <w:rPr>
                <w:rStyle w:val="apple-converted-space"/>
              </w:rPr>
              <w:t xml:space="preserve">  </w:t>
            </w:r>
          </w:p>
        </w:tc>
      </w:tr>
      <w:tr w:rsidR="003B454B" w14:paraId="74CBF5B5" w14:textId="77777777" w:rsidTr="00FC5374">
        <w:tc>
          <w:tcPr>
            <w:tcW w:w="3005" w:type="dxa"/>
            <w:vAlign w:val="center"/>
          </w:tcPr>
          <w:p w14:paraId="63ABD035" w14:textId="6460E911" w:rsidR="003B454B" w:rsidRPr="003B454B" w:rsidRDefault="003B454B" w:rsidP="003B454B">
            <w:pPr>
              <w:rPr>
                <w:rFonts w:ascii="Calibri" w:hAnsi="Calibri" w:cs="Calibri"/>
              </w:rPr>
            </w:pPr>
            <w:r w:rsidRPr="003B454B">
              <w:t>PG coursework completions (count)</w:t>
            </w:r>
          </w:p>
        </w:tc>
        <w:tc>
          <w:tcPr>
            <w:tcW w:w="3005" w:type="dxa"/>
            <w:vAlign w:val="center"/>
          </w:tcPr>
          <w:p w14:paraId="515F6D99" w14:textId="74DA2A55" w:rsidR="003B454B" w:rsidRPr="003B454B" w:rsidRDefault="003B454B" w:rsidP="003B454B">
            <w:pPr>
              <w:rPr>
                <w:rFonts w:ascii="Calibri" w:hAnsi="Calibri" w:cs="Calibri"/>
              </w:rPr>
            </w:pPr>
            <w:r w:rsidRPr="003B454B">
              <w:t>364</w:t>
            </w:r>
          </w:p>
        </w:tc>
        <w:tc>
          <w:tcPr>
            <w:tcW w:w="3006" w:type="dxa"/>
            <w:vAlign w:val="center"/>
          </w:tcPr>
          <w:p w14:paraId="54FC7972" w14:textId="7096F410" w:rsidR="003B454B" w:rsidRPr="003B454B" w:rsidRDefault="003B454B" w:rsidP="003B454B">
            <w:pPr>
              <w:rPr>
                <w:rFonts w:ascii="Calibri" w:hAnsi="Calibri" w:cs="Calibri"/>
              </w:rPr>
            </w:pPr>
            <w:r w:rsidRPr="003B454B">
              <w:rPr>
                <w:rStyle w:val="s1"/>
              </w:rPr>
              <w:t>870</w:t>
            </w:r>
            <w:r w:rsidRPr="003B454B">
              <w:t xml:space="preserve"> (+139%) </w:t>
            </w:r>
            <w:r w:rsidRPr="003B454B">
              <w:rPr>
                <w:rStyle w:val="apple-converted-space"/>
              </w:rPr>
              <w:t> </w:t>
            </w:r>
          </w:p>
        </w:tc>
      </w:tr>
    </w:tbl>
    <w:p w14:paraId="0287D3FE" w14:textId="77777777" w:rsidR="003B454B" w:rsidRPr="003B454B" w:rsidRDefault="003B454B" w:rsidP="003B454B">
      <w:pPr>
        <w:rPr>
          <w:rFonts w:ascii="Calibri" w:hAnsi="Calibri" w:cs="Calibri"/>
        </w:rPr>
      </w:pPr>
      <w:r w:rsidRPr="003B454B">
        <w:rPr>
          <w:rFonts w:ascii="Calibri" w:hAnsi="Calibri" w:cs="Calibri"/>
        </w:rPr>
        <w:t>Nine-year bachelor completion rate (cohort analysis)</w:t>
      </w:r>
    </w:p>
    <w:p w14:paraId="47694639" w14:textId="27378CDD" w:rsidR="0073242E" w:rsidRDefault="003B454B">
      <w:pPr>
        <w:rPr>
          <w:rFonts w:ascii="Calibri" w:hAnsi="Calibri" w:cs="Calibri"/>
        </w:rPr>
      </w:pPr>
      <w:r w:rsidRPr="003B454B">
        <w:rPr>
          <w:rFonts w:ascii="Calibri" w:hAnsi="Calibri" w:cs="Calibri"/>
        </w:rPr>
        <w:t>2012 cohort: 47.2% Indigenous vs 73.9% non-Indigenous (gap ≈ 26.7pp)</w:t>
      </w:r>
    </w:p>
    <w:p w14:paraId="22B35AEE" w14:textId="5863955D" w:rsidR="0073242E" w:rsidRPr="00C92AC6" w:rsidRDefault="0073242E">
      <w:pPr>
        <w:rPr>
          <w:rFonts w:ascii="Calibri" w:hAnsi="Calibri" w:cs="Calibri"/>
          <w:i/>
          <w:iCs/>
          <w:u w:val="single"/>
        </w:rPr>
      </w:pPr>
      <w:r w:rsidRPr="00C92AC6">
        <w:rPr>
          <w:rFonts w:ascii="Calibri" w:hAnsi="Calibri" w:cs="Calibri"/>
          <w:i/>
          <w:iCs/>
          <w:u w:val="single"/>
        </w:rPr>
        <w:t>Recent Retention and Success</w:t>
      </w:r>
    </w:p>
    <w:tbl>
      <w:tblPr>
        <w:tblStyle w:val="TableGrid"/>
        <w:tblW w:w="0" w:type="auto"/>
        <w:tblLook w:val="04A0" w:firstRow="1" w:lastRow="0" w:firstColumn="1" w:lastColumn="0" w:noHBand="0" w:noVBand="1"/>
      </w:tblPr>
      <w:tblGrid>
        <w:gridCol w:w="3005"/>
        <w:gridCol w:w="3005"/>
        <w:gridCol w:w="3006"/>
      </w:tblGrid>
      <w:tr w:rsidR="003B454B" w:rsidRPr="0073242E" w14:paraId="66F27359" w14:textId="77777777" w:rsidTr="004D61A3">
        <w:tc>
          <w:tcPr>
            <w:tcW w:w="3005" w:type="dxa"/>
            <w:shd w:val="clear" w:color="auto" w:fill="DAE9F7" w:themeFill="text2" w:themeFillTint="1A"/>
            <w:vAlign w:val="center"/>
          </w:tcPr>
          <w:p w14:paraId="2D331A23" w14:textId="020A7FDF" w:rsidR="003B454B" w:rsidRPr="0073242E" w:rsidRDefault="003B454B" w:rsidP="003B454B">
            <w:pPr>
              <w:jc w:val="center"/>
              <w:rPr>
                <w:rFonts w:ascii="Calibri" w:hAnsi="Calibri" w:cs="Calibri"/>
                <w:b/>
                <w:bCs/>
              </w:rPr>
            </w:pPr>
            <w:r>
              <w:rPr>
                <w:b/>
                <w:bCs/>
              </w:rPr>
              <w:t>Metric</w:t>
            </w:r>
          </w:p>
        </w:tc>
        <w:tc>
          <w:tcPr>
            <w:tcW w:w="3005" w:type="dxa"/>
            <w:shd w:val="clear" w:color="auto" w:fill="DAE9F7" w:themeFill="text2" w:themeFillTint="1A"/>
            <w:vAlign w:val="center"/>
          </w:tcPr>
          <w:p w14:paraId="1C7E89E2" w14:textId="67D83738" w:rsidR="003B454B" w:rsidRPr="0073242E" w:rsidRDefault="003B454B" w:rsidP="003B454B">
            <w:pPr>
              <w:jc w:val="center"/>
              <w:rPr>
                <w:rFonts w:ascii="Calibri" w:hAnsi="Calibri" w:cs="Calibri"/>
                <w:b/>
                <w:bCs/>
              </w:rPr>
            </w:pPr>
            <w:r>
              <w:rPr>
                <w:b/>
                <w:bCs/>
              </w:rPr>
              <w:t>2019</w:t>
            </w:r>
          </w:p>
        </w:tc>
        <w:tc>
          <w:tcPr>
            <w:tcW w:w="3006" w:type="dxa"/>
            <w:shd w:val="clear" w:color="auto" w:fill="DAE9F7" w:themeFill="text2" w:themeFillTint="1A"/>
            <w:vAlign w:val="center"/>
          </w:tcPr>
          <w:p w14:paraId="3D7C5C6C" w14:textId="6CCB5BCD" w:rsidR="003B454B" w:rsidRPr="0073242E" w:rsidRDefault="003B454B" w:rsidP="003B454B">
            <w:pPr>
              <w:jc w:val="center"/>
              <w:rPr>
                <w:rFonts w:ascii="Calibri" w:hAnsi="Calibri" w:cs="Calibri"/>
                <w:b/>
                <w:bCs/>
              </w:rPr>
            </w:pPr>
            <w:r>
              <w:rPr>
                <w:b/>
                <w:bCs/>
              </w:rPr>
              <w:t>2020</w:t>
            </w:r>
          </w:p>
        </w:tc>
      </w:tr>
      <w:tr w:rsidR="003B454B" w14:paraId="14CD2ECD" w14:textId="77777777" w:rsidTr="004D61A3">
        <w:tc>
          <w:tcPr>
            <w:tcW w:w="3005" w:type="dxa"/>
            <w:vAlign w:val="center"/>
          </w:tcPr>
          <w:p w14:paraId="7E400E8C" w14:textId="508DAD00" w:rsidR="003B454B" w:rsidRPr="003B454B" w:rsidRDefault="003B454B" w:rsidP="003B454B">
            <w:pPr>
              <w:rPr>
                <w:rFonts w:ascii="Calibri" w:hAnsi="Calibri" w:cs="Calibri"/>
              </w:rPr>
            </w:pPr>
            <w:r w:rsidRPr="003B454B">
              <w:rPr>
                <w:rStyle w:val="s1"/>
              </w:rPr>
              <w:t>Success rate</w:t>
            </w:r>
            <w:r w:rsidRPr="003B454B">
              <w:t xml:space="preserve"> (passed load ÷ attempted) – Indigenous</w:t>
            </w:r>
          </w:p>
        </w:tc>
        <w:tc>
          <w:tcPr>
            <w:tcW w:w="3005" w:type="dxa"/>
            <w:vAlign w:val="center"/>
          </w:tcPr>
          <w:p w14:paraId="7A7AFC4E" w14:textId="6632B7A2" w:rsidR="003B454B" w:rsidRPr="003B454B" w:rsidRDefault="003B454B" w:rsidP="003B454B">
            <w:pPr>
              <w:rPr>
                <w:rFonts w:ascii="Calibri" w:hAnsi="Calibri" w:cs="Calibri"/>
              </w:rPr>
            </w:pPr>
            <w:r w:rsidRPr="003B454B">
              <w:t>—</w:t>
            </w:r>
          </w:p>
        </w:tc>
        <w:tc>
          <w:tcPr>
            <w:tcW w:w="3006" w:type="dxa"/>
            <w:vAlign w:val="center"/>
          </w:tcPr>
          <w:p w14:paraId="5B2E284E" w14:textId="42BBAB80" w:rsidR="003B454B" w:rsidRPr="003B454B" w:rsidRDefault="003B454B" w:rsidP="003B454B">
            <w:pPr>
              <w:rPr>
                <w:rFonts w:ascii="Calibri" w:hAnsi="Calibri" w:cs="Calibri"/>
              </w:rPr>
            </w:pPr>
            <w:r w:rsidRPr="003B454B">
              <w:rPr>
                <w:rStyle w:val="s1"/>
              </w:rPr>
              <w:t>72.5%</w:t>
            </w:r>
            <w:r w:rsidRPr="003B454B">
              <w:t xml:space="preserve"> (vs </w:t>
            </w:r>
            <w:r w:rsidRPr="003B454B">
              <w:rPr>
                <w:rStyle w:val="s1"/>
              </w:rPr>
              <w:t>86.1%</w:t>
            </w:r>
            <w:r w:rsidRPr="003B454B">
              <w:t xml:space="preserve"> non-Indigenous)</w:t>
            </w:r>
            <w:r w:rsidRPr="003B454B">
              <w:rPr>
                <w:rStyle w:val="apple-converted-space"/>
              </w:rPr>
              <w:t xml:space="preserve">  </w:t>
            </w:r>
          </w:p>
        </w:tc>
      </w:tr>
      <w:tr w:rsidR="003B454B" w14:paraId="16319F65" w14:textId="77777777" w:rsidTr="004D61A3">
        <w:tc>
          <w:tcPr>
            <w:tcW w:w="3005" w:type="dxa"/>
            <w:vAlign w:val="center"/>
          </w:tcPr>
          <w:p w14:paraId="1E89289F" w14:textId="34AF2BB0" w:rsidR="003B454B" w:rsidRPr="003B454B" w:rsidRDefault="003B454B" w:rsidP="003B454B">
            <w:pPr>
              <w:rPr>
                <w:rFonts w:ascii="Calibri" w:hAnsi="Calibri" w:cs="Calibri"/>
              </w:rPr>
            </w:pPr>
            <w:r w:rsidRPr="003B454B">
              <w:rPr>
                <w:rStyle w:val="s1"/>
              </w:rPr>
              <w:t>Retention rate</w:t>
            </w:r>
            <w:r w:rsidRPr="003B454B">
              <w:t xml:space="preserve"> (return following year) – Indigenous</w:t>
            </w:r>
          </w:p>
        </w:tc>
        <w:tc>
          <w:tcPr>
            <w:tcW w:w="3005" w:type="dxa"/>
            <w:vAlign w:val="center"/>
          </w:tcPr>
          <w:p w14:paraId="0EE80D71" w14:textId="3F2BBEC7" w:rsidR="003B454B" w:rsidRPr="003B454B" w:rsidRDefault="003B454B" w:rsidP="003B454B">
            <w:pPr>
              <w:rPr>
                <w:rFonts w:ascii="Calibri" w:hAnsi="Calibri" w:cs="Calibri"/>
              </w:rPr>
            </w:pPr>
            <w:r w:rsidRPr="003B454B">
              <w:rPr>
                <w:rStyle w:val="s1"/>
              </w:rPr>
              <w:t>76.5%</w:t>
            </w:r>
            <w:r w:rsidRPr="003B454B">
              <w:t xml:space="preserve"> (vs </w:t>
            </w:r>
            <w:r w:rsidRPr="003B454B">
              <w:rPr>
                <w:rStyle w:val="s1"/>
              </w:rPr>
              <w:t>86.8%</w:t>
            </w:r>
            <w:r w:rsidRPr="003B454B">
              <w:t xml:space="preserve"> non-Indigenous)</w:t>
            </w:r>
          </w:p>
        </w:tc>
        <w:tc>
          <w:tcPr>
            <w:tcW w:w="3006" w:type="dxa"/>
            <w:vAlign w:val="center"/>
          </w:tcPr>
          <w:p w14:paraId="77586BEF" w14:textId="0C42A8D8" w:rsidR="003B454B" w:rsidRPr="003B454B" w:rsidRDefault="003B454B" w:rsidP="003B454B">
            <w:pPr>
              <w:rPr>
                <w:rFonts w:ascii="Calibri" w:hAnsi="Calibri" w:cs="Calibri"/>
              </w:rPr>
            </w:pPr>
            <w:r w:rsidRPr="003B454B">
              <w:t xml:space="preserve">— </w:t>
            </w:r>
            <w:r w:rsidRPr="003B454B">
              <w:rPr>
                <w:rStyle w:val="apple-converted-space"/>
              </w:rPr>
              <w:t> </w:t>
            </w:r>
          </w:p>
        </w:tc>
      </w:tr>
    </w:tbl>
    <w:p w14:paraId="0603357D" w14:textId="77777777" w:rsidR="0073242E" w:rsidRDefault="0073242E">
      <w:pPr>
        <w:rPr>
          <w:rFonts w:ascii="Calibri" w:hAnsi="Calibri" w:cs="Calibri"/>
        </w:rPr>
      </w:pPr>
    </w:p>
    <w:p w14:paraId="4062B6D8" w14:textId="720F3665" w:rsidR="0073242E" w:rsidRPr="00C92AC6" w:rsidRDefault="0073242E">
      <w:pPr>
        <w:rPr>
          <w:rFonts w:ascii="Calibri" w:hAnsi="Calibri" w:cs="Calibri"/>
          <w:i/>
          <w:iCs/>
          <w:u w:val="single"/>
        </w:rPr>
      </w:pPr>
      <w:r w:rsidRPr="00C92AC6">
        <w:rPr>
          <w:rFonts w:ascii="Calibri" w:hAnsi="Calibri" w:cs="Calibri"/>
          <w:i/>
          <w:iCs/>
          <w:u w:val="single"/>
        </w:rPr>
        <w:t>Graduate outcomes (GOS/ GOS-L)</w:t>
      </w:r>
    </w:p>
    <w:tbl>
      <w:tblPr>
        <w:tblStyle w:val="TableGrid"/>
        <w:tblW w:w="0" w:type="auto"/>
        <w:tblLook w:val="04A0" w:firstRow="1" w:lastRow="0" w:firstColumn="1" w:lastColumn="0" w:noHBand="0" w:noVBand="1"/>
      </w:tblPr>
      <w:tblGrid>
        <w:gridCol w:w="3005"/>
        <w:gridCol w:w="3005"/>
        <w:gridCol w:w="3006"/>
      </w:tblGrid>
      <w:tr w:rsidR="003B454B" w:rsidRPr="0073242E" w14:paraId="2934045A" w14:textId="77777777" w:rsidTr="006D1D0A">
        <w:tc>
          <w:tcPr>
            <w:tcW w:w="3005" w:type="dxa"/>
            <w:shd w:val="clear" w:color="auto" w:fill="DAE9F7" w:themeFill="text2" w:themeFillTint="1A"/>
            <w:vAlign w:val="center"/>
          </w:tcPr>
          <w:p w14:paraId="49BD898C" w14:textId="44CB0C87" w:rsidR="003B454B" w:rsidRPr="0073242E" w:rsidRDefault="003B454B" w:rsidP="003B454B">
            <w:pPr>
              <w:jc w:val="center"/>
              <w:rPr>
                <w:rFonts w:ascii="Calibri" w:hAnsi="Calibri" w:cs="Calibri"/>
                <w:b/>
                <w:bCs/>
              </w:rPr>
            </w:pPr>
            <w:r>
              <w:rPr>
                <w:b/>
                <w:bCs/>
              </w:rPr>
              <w:t>Outcome</w:t>
            </w:r>
          </w:p>
        </w:tc>
        <w:tc>
          <w:tcPr>
            <w:tcW w:w="3005" w:type="dxa"/>
            <w:shd w:val="clear" w:color="auto" w:fill="DAE9F7" w:themeFill="text2" w:themeFillTint="1A"/>
            <w:vAlign w:val="center"/>
          </w:tcPr>
          <w:p w14:paraId="07529236" w14:textId="3CAC5E00" w:rsidR="003B454B" w:rsidRPr="0073242E" w:rsidRDefault="003B454B" w:rsidP="003B454B">
            <w:pPr>
              <w:jc w:val="center"/>
              <w:rPr>
                <w:rFonts w:ascii="Calibri" w:hAnsi="Calibri" w:cs="Calibri"/>
                <w:b/>
                <w:bCs/>
              </w:rPr>
            </w:pPr>
            <w:r>
              <w:rPr>
                <w:b/>
                <w:bCs/>
              </w:rPr>
              <w:t>Indigenous</w:t>
            </w:r>
          </w:p>
        </w:tc>
        <w:tc>
          <w:tcPr>
            <w:tcW w:w="3006" w:type="dxa"/>
            <w:shd w:val="clear" w:color="auto" w:fill="DAE9F7" w:themeFill="text2" w:themeFillTint="1A"/>
            <w:vAlign w:val="center"/>
          </w:tcPr>
          <w:p w14:paraId="05BFC6A3" w14:textId="3B9F005D" w:rsidR="003B454B" w:rsidRPr="0073242E" w:rsidRDefault="003B454B" w:rsidP="003B454B">
            <w:pPr>
              <w:jc w:val="center"/>
              <w:rPr>
                <w:rFonts w:ascii="Calibri" w:hAnsi="Calibri" w:cs="Calibri"/>
                <w:b/>
                <w:bCs/>
              </w:rPr>
            </w:pPr>
            <w:r>
              <w:rPr>
                <w:b/>
                <w:bCs/>
              </w:rPr>
              <w:t>All graduates</w:t>
            </w:r>
          </w:p>
        </w:tc>
      </w:tr>
      <w:tr w:rsidR="003B454B" w14:paraId="69A96B47" w14:textId="77777777" w:rsidTr="006D1D0A">
        <w:tc>
          <w:tcPr>
            <w:tcW w:w="3005" w:type="dxa"/>
            <w:vAlign w:val="center"/>
          </w:tcPr>
          <w:p w14:paraId="4B97BFD2" w14:textId="5DDDCBDF" w:rsidR="003B454B" w:rsidRPr="003B454B" w:rsidRDefault="003B454B" w:rsidP="003B454B">
            <w:pPr>
              <w:rPr>
                <w:rFonts w:ascii="Calibri" w:hAnsi="Calibri" w:cs="Calibri"/>
              </w:rPr>
            </w:pPr>
            <w:r w:rsidRPr="003B454B">
              <w:t>Undergrad FT employment 4 months</w:t>
            </w:r>
          </w:p>
        </w:tc>
        <w:tc>
          <w:tcPr>
            <w:tcW w:w="3005" w:type="dxa"/>
            <w:vAlign w:val="center"/>
          </w:tcPr>
          <w:p w14:paraId="17A6ADF0" w14:textId="20E30CEB" w:rsidR="003B454B" w:rsidRPr="003B454B" w:rsidRDefault="003B454B" w:rsidP="003B454B">
            <w:pPr>
              <w:rPr>
                <w:rFonts w:ascii="Calibri" w:hAnsi="Calibri" w:cs="Calibri"/>
              </w:rPr>
            </w:pPr>
            <w:r w:rsidRPr="003B454B">
              <w:t>76.8% (2021)</w:t>
            </w:r>
          </w:p>
        </w:tc>
        <w:tc>
          <w:tcPr>
            <w:tcW w:w="3006" w:type="dxa"/>
            <w:vAlign w:val="center"/>
          </w:tcPr>
          <w:p w14:paraId="706B9113" w14:textId="41736438" w:rsidR="003B454B" w:rsidRPr="003B454B" w:rsidRDefault="003B454B" w:rsidP="003B454B">
            <w:pPr>
              <w:rPr>
                <w:rFonts w:ascii="Calibri" w:hAnsi="Calibri" w:cs="Calibri"/>
              </w:rPr>
            </w:pPr>
            <w:r w:rsidRPr="003B454B">
              <w:t>68.8%</w:t>
            </w:r>
          </w:p>
        </w:tc>
      </w:tr>
      <w:tr w:rsidR="003B454B" w14:paraId="2FEEC9D8" w14:textId="77777777" w:rsidTr="006D1D0A">
        <w:tc>
          <w:tcPr>
            <w:tcW w:w="3005" w:type="dxa"/>
            <w:vAlign w:val="center"/>
          </w:tcPr>
          <w:p w14:paraId="238579DB" w14:textId="02D891D0" w:rsidR="003B454B" w:rsidRPr="003B454B" w:rsidRDefault="003B454B" w:rsidP="003B454B">
            <w:pPr>
              <w:rPr>
                <w:rFonts w:ascii="Calibri" w:hAnsi="Calibri" w:cs="Calibri"/>
              </w:rPr>
            </w:pPr>
            <w:r w:rsidRPr="003B454B">
              <w:t>Undergrad FT employment ~3 years</w:t>
            </w:r>
          </w:p>
        </w:tc>
        <w:tc>
          <w:tcPr>
            <w:tcW w:w="3005" w:type="dxa"/>
            <w:vAlign w:val="center"/>
          </w:tcPr>
          <w:p w14:paraId="52A09216" w14:textId="495E8764" w:rsidR="003B454B" w:rsidRPr="003B454B" w:rsidRDefault="003B454B" w:rsidP="003B454B">
            <w:pPr>
              <w:rPr>
                <w:rFonts w:ascii="Calibri" w:hAnsi="Calibri" w:cs="Calibri"/>
              </w:rPr>
            </w:pPr>
            <w:r w:rsidRPr="003B454B">
              <w:t>~89.7%</w:t>
            </w:r>
          </w:p>
        </w:tc>
        <w:tc>
          <w:tcPr>
            <w:tcW w:w="3006" w:type="dxa"/>
            <w:vAlign w:val="center"/>
          </w:tcPr>
          <w:p w14:paraId="7511336D" w14:textId="4A7CF553" w:rsidR="003B454B" w:rsidRPr="003B454B" w:rsidRDefault="003B454B" w:rsidP="003B454B">
            <w:pPr>
              <w:rPr>
                <w:rFonts w:ascii="Calibri" w:hAnsi="Calibri" w:cs="Calibri"/>
              </w:rPr>
            </w:pPr>
            <w:r w:rsidRPr="003B454B">
              <w:t>~88.9%</w:t>
            </w:r>
          </w:p>
        </w:tc>
      </w:tr>
      <w:tr w:rsidR="003B454B" w14:paraId="085834B5" w14:textId="77777777" w:rsidTr="006D1D0A">
        <w:tc>
          <w:tcPr>
            <w:tcW w:w="3005" w:type="dxa"/>
            <w:vAlign w:val="center"/>
          </w:tcPr>
          <w:p w14:paraId="76C236DC" w14:textId="36DC5482" w:rsidR="003B454B" w:rsidRPr="003B454B" w:rsidRDefault="003B454B" w:rsidP="003B454B">
            <w:pPr>
              <w:rPr>
                <w:rFonts w:ascii="Calibri" w:hAnsi="Calibri" w:cs="Calibri"/>
              </w:rPr>
            </w:pPr>
            <w:r w:rsidRPr="003B454B">
              <w:t>Median undergrad salary 4 months</w:t>
            </w:r>
          </w:p>
        </w:tc>
        <w:tc>
          <w:tcPr>
            <w:tcW w:w="3005" w:type="dxa"/>
            <w:vAlign w:val="center"/>
          </w:tcPr>
          <w:p w14:paraId="13BF9C7F" w14:textId="3DA2D385" w:rsidR="003B454B" w:rsidRPr="003B454B" w:rsidRDefault="003B454B" w:rsidP="003B454B">
            <w:pPr>
              <w:rPr>
                <w:rFonts w:ascii="Calibri" w:hAnsi="Calibri" w:cs="Calibri"/>
              </w:rPr>
            </w:pPr>
            <w:r w:rsidRPr="003B454B">
              <w:t>$65,800</w:t>
            </w:r>
          </w:p>
        </w:tc>
        <w:tc>
          <w:tcPr>
            <w:tcW w:w="3006" w:type="dxa"/>
            <w:vAlign w:val="center"/>
          </w:tcPr>
          <w:p w14:paraId="38E3704E" w14:textId="2A997C6B" w:rsidR="003B454B" w:rsidRPr="003B454B" w:rsidRDefault="003B454B" w:rsidP="003B454B">
            <w:pPr>
              <w:rPr>
                <w:rFonts w:ascii="Calibri" w:hAnsi="Calibri" w:cs="Calibri"/>
              </w:rPr>
            </w:pPr>
            <w:r w:rsidRPr="003B454B">
              <w:t>$62,000</w:t>
            </w:r>
          </w:p>
        </w:tc>
      </w:tr>
      <w:tr w:rsidR="003B454B" w14:paraId="20067E80" w14:textId="77777777" w:rsidTr="006D1D0A">
        <w:tc>
          <w:tcPr>
            <w:tcW w:w="3005" w:type="dxa"/>
            <w:vAlign w:val="center"/>
          </w:tcPr>
          <w:p w14:paraId="3AEACB76" w14:textId="5D46EC50" w:rsidR="003B454B" w:rsidRPr="003B454B" w:rsidRDefault="003B454B" w:rsidP="003B454B">
            <w:pPr>
              <w:rPr>
                <w:rFonts w:ascii="Calibri" w:hAnsi="Calibri" w:cs="Calibri"/>
              </w:rPr>
            </w:pPr>
            <w:r w:rsidRPr="003B454B">
              <w:t>Median undergrad salary ~3 years</w:t>
            </w:r>
          </w:p>
        </w:tc>
        <w:tc>
          <w:tcPr>
            <w:tcW w:w="3005" w:type="dxa"/>
            <w:vAlign w:val="center"/>
          </w:tcPr>
          <w:p w14:paraId="5C8C4130" w14:textId="04E491EE" w:rsidR="003B454B" w:rsidRPr="003B454B" w:rsidRDefault="003B454B" w:rsidP="003B454B">
            <w:pPr>
              <w:rPr>
                <w:rFonts w:ascii="Calibri" w:hAnsi="Calibri" w:cs="Calibri"/>
              </w:rPr>
            </w:pPr>
            <w:r w:rsidRPr="003B454B">
              <w:t>$81,000</w:t>
            </w:r>
          </w:p>
        </w:tc>
        <w:tc>
          <w:tcPr>
            <w:tcW w:w="3006" w:type="dxa"/>
            <w:vAlign w:val="center"/>
          </w:tcPr>
          <w:p w14:paraId="0BADA7AE" w14:textId="4FBF1B45" w:rsidR="003B454B" w:rsidRPr="003B454B" w:rsidRDefault="003B454B" w:rsidP="003B454B">
            <w:pPr>
              <w:rPr>
                <w:rFonts w:ascii="Calibri" w:hAnsi="Calibri" w:cs="Calibri"/>
              </w:rPr>
            </w:pPr>
            <w:r w:rsidRPr="003B454B">
              <w:t>$79,000</w:t>
            </w:r>
          </w:p>
        </w:tc>
      </w:tr>
      <w:tr w:rsidR="003B454B" w14:paraId="58C4CB7B" w14:textId="77777777" w:rsidTr="006D1D0A">
        <w:tc>
          <w:tcPr>
            <w:tcW w:w="3005" w:type="dxa"/>
            <w:vAlign w:val="center"/>
          </w:tcPr>
          <w:p w14:paraId="342FC87F" w14:textId="71860EAA" w:rsidR="003B454B" w:rsidRPr="003B454B" w:rsidRDefault="003B454B" w:rsidP="003B454B">
            <w:pPr>
              <w:rPr>
                <w:rFonts w:ascii="Calibri" w:hAnsi="Calibri" w:cs="Calibri"/>
              </w:rPr>
            </w:pPr>
            <w:r w:rsidRPr="003B454B">
              <w:t>Postgrad FT employment 4 months</w:t>
            </w:r>
          </w:p>
        </w:tc>
        <w:tc>
          <w:tcPr>
            <w:tcW w:w="3005" w:type="dxa"/>
            <w:vAlign w:val="center"/>
          </w:tcPr>
          <w:p w14:paraId="282B7B5E" w14:textId="3EED7F7A" w:rsidR="003B454B" w:rsidRPr="003B454B" w:rsidRDefault="003B454B" w:rsidP="003B454B">
            <w:pPr>
              <w:rPr>
                <w:rFonts w:ascii="Calibri" w:hAnsi="Calibri" w:cs="Calibri"/>
              </w:rPr>
            </w:pPr>
            <w:r w:rsidRPr="003B454B">
              <w:t>87.9% (2021)</w:t>
            </w:r>
          </w:p>
        </w:tc>
        <w:tc>
          <w:tcPr>
            <w:tcW w:w="3006" w:type="dxa"/>
            <w:vAlign w:val="center"/>
          </w:tcPr>
          <w:p w14:paraId="272886B6" w14:textId="38403E91" w:rsidR="003B454B" w:rsidRPr="003B454B" w:rsidRDefault="003B454B" w:rsidP="003B454B">
            <w:pPr>
              <w:rPr>
                <w:rFonts w:ascii="Calibri" w:hAnsi="Calibri" w:cs="Calibri"/>
              </w:rPr>
            </w:pPr>
            <w:r w:rsidRPr="003B454B">
              <w:t>84.9%</w:t>
            </w:r>
          </w:p>
        </w:tc>
      </w:tr>
    </w:tbl>
    <w:p w14:paraId="330990F6" w14:textId="77777777" w:rsidR="0073242E" w:rsidRDefault="0073242E">
      <w:pPr>
        <w:rPr>
          <w:rFonts w:ascii="Calibri" w:hAnsi="Calibri" w:cs="Calibri"/>
        </w:rPr>
      </w:pPr>
    </w:p>
    <w:p w14:paraId="6D62C1F8" w14:textId="5168627A" w:rsidR="0073242E" w:rsidRPr="00C92AC6" w:rsidRDefault="0073242E">
      <w:pPr>
        <w:rPr>
          <w:rFonts w:ascii="Calibri" w:hAnsi="Calibri" w:cs="Calibri"/>
          <w:i/>
          <w:iCs/>
          <w:u w:val="single"/>
        </w:rPr>
      </w:pPr>
      <w:r w:rsidRPr="00C92AC6">
        <w:rPr>
          <w:rFonts w:ascii="Calibri" w:hAnsi="Calibri" w:cs="Calibri"/>
          <w:i/>
          <w:iCs/>
          <w:u w:val="single"/>
        </w:rPr>
        <w:t xml:space="preserve">Staff (Size, </w:t>
      </w:r>
      <w:proofErr w:type="gramStart"/>
      <w:r w:rsidRPr="00C92AC6">
        <w:rPr>
          <w:rFonts w:ascii="Calibri" w:hAnsi="Calibri" w:cs="Calibri"/>
          <w:i/>
          <w:iCs/>
          <w:u w:val="single"/>
        </w:rPr>
        <w:t>parity</w:t>
      </w:r>
      <w:proofErr w:type="gramEnd"/>
      <w:r w:rsidRPr="00C92AC6">
        <w:rPr>
          <w:rFonts w:ascii="Calibri" w:hAnsi="Calibri" w:cs="Calibri"/>
          <w:i/>
          <w:iCs/>
          <w:u w:val="single"/>
        </w:rPr>
        <w:t xml:space="preserve"> and functions)</w:t>
      </w:r>
    </w:p>
    <w:tbl>
      <w:tblPr>
        <w:tblStyle w:val="TableGrid"/>
        <w:tblW w:w="0" w:type="auto"/>
        <w:tblLook w:val="04A0" w:firstRow="1" w:lastRow="0" w:firstColumn="1" w:lastColumn="0" w:noHBand="0" w:noVBand="1"/>
      </w:tblPr>
      <w:tblGrid>
        <w:gridCol w:w="4508"/>
        <w:gridCol w:w="4508"/>
      </w:tblGrid>
      <w:tr w:rsidR="003B454B" w:rsidRPr="0073242E" w14:paraId="681E630A" w14:textId="77777777" w:rsidTr="006D092A">
        <w:tc>
          <w:tcPr>
            <w:tcW w:w="4508" w:type="dxa"/>
            <w:shd w:val="clear" w:color="auto" w:fill="DAE9F7" w:themeFill="text2" w:themeFillTint="1A"/>
            <w:vAlign w:val="center"/>
          </w:tcPr>
          <w:p w14:paraId="6F25ECE8" w14:textId="319DDDC5" w:rsidR="003B454B" w:rsidRPr="0073242E" w:rsidRDefault="003B454B" w:rsidP="003B454B">
            <w:pPr>
              <w:jc w:val="center"/>
              <w:rPr>
                <w:rFonts w:ascii="Calibri" w:hAnsi="Calibri" w:cs="Calibri"/>
                <w:b/>
                <w:bCs/>
              </w:rPr>
            </w:pPr>
            <w:r>
              <w:rPr>
                <w:b/>
                <w:bCs/>
              </w:rPr>
              <w:lastRenderedPageBreak/>
              <w:t>Metric (2021 unless noted)</w:t>
            </w:r>
          </w:p>
        </w:tc>
        <w:tc>
          <w:tcPr>
            <w:tcW w:w="4508" w:type="dxa"/>
            <w:shd w:val="clear" w:color="auto" w:fill="DAE9F7" w:themeFill="text2" w:themeFillTint="1A"/>
            <w:vAlign w:val="center"/>
          </w:tcPr>
          <w:p w14:paraId="1CFE7014" w14:textId="10519C7F" w:rsidR="003B454B" w:rsidRPr="0073242E" w:rsidRDefault="003B454B" w:rsidP="003B454B">
            <w:pPr>
              <w:jc w:val="center"/>
              <w:rPr>
                <w:rFonts w:ascii="Calibri" w:hAnsi="Calibri" w:cs="Calibri"/>
                <w:b/>
                <w:bCs/>
              </w:rPr>
            </w:pPr>
            <w:r>
              <w:rPr>
                <w:b/>
                <w:bCs/>
              </w:rPr>
              <w:t>Value</w:t>
            </w:r>
          </w:p>
        </w:tc>
      </w:tr>
      <w:tr w:rsidR="003B454B" w14:paraId="73B4DA32" w14:textId="77777777" w:rsidTr="006D092A">
        <w:tc>
          <w:tcPr>
            <w:tcW w:w="4508" w:type="dxa"/>
            <w:vAlign w:val="center"/>
          </w:tcPr>
          <w:p w14:paraId="70CA642D" w14:textId="25ED6405" w:rsidR="003B454B" w:rsidRPr="003B454B" w:rsidRDefault="003B454B" w:rsidP="003B454B">
            <w:pPr>
              <w:rPr>
                <w:rFonts w:ascii="Calibri" w:hAnsi="Calibri" w:cs="Calibri"/>
              </w:rPr>
            </w:pPr>
            <w:r w:rsidRPr="003B454B">
              <w:t>Total Indigenous staff</w:t>
            </w:r>
          </w:p>
        </w:tc>
        <w:tc>
          <w:tcPr>
            <w:tcW w:w="4508" w:type="dxa"/>
            <w:vAlign w:val="center"/>
          </w:tcPr>
          <w:p w14:paraId="1F72019E" w14:textId="1F22C9EB" w:rsidR="003B454B" w:rsidRPr="003B454B" w:rsidRDefault="003B454B" w:rsidP="003B454B">
            <w:pPr>
              <w:rPr>
                <w:rFonts w:ascii="Calibri" w:hAnsi="Calibri" w:cs="Calibri"/>
              </w:rPr>
            </w:pPr>
            <w:r w:rsidRPr="003B454B">
              <w:rPr>
                <w:rStyle w:val="s1"/>
              </w:rPr>
              <w:t>1,680</w:t>
            </w:r>
            <w:r w:rsidRPr="003B454B">
              <w:t xml:space="preserve"> (−1.3% YoY) – </w:t>
            </w:r>
            <w:r w:rsidRPr="003B454B">
              <w:rPr>
                <w:rStyle w:val="s1"/>
              </w:rPr>
              <w:t xml:space="preserve">619 </w:t>
            </w:r>
            <w:proofErr w:type="gramStart"/>
            <w:r w:rsidRPr="003B454B">
              <w:rPr>
                <w:rStyle w:val="s1"/>
              </w:rPr>
              <w:t>academic</w:t>
            </w:r>
            <w:proofErr w:type="gramEnd"/>
            <w:r w:rsidRPr="003B454B">
              <w:t xml:space="preserve"> (+3.2%) &amp; </w:t>
            </w:r>
            <w:r w:rsidRPr="003B454B">
              <w:rPr>
                <w:rStyle w:val="s1"/>
              </w:rPr>
              <w:t>1,061 professional</w:t>
            </w:r>
            <w:r w:rsidRPr="003B454B">
              <w:t xml:space="preserve"> (−6.5%)</w:t>
            </w:r>
            <w:r w:rsidRPr="003B454B">
              <w:rPr>
                <w:rStyle w:val="apple-converted-space"/>
              </w:rPr>
              <w:t xml:space="preserve">  </w:t>
            </w:r>
          </w:p>
        </w:tc>
      </w:tr>
      <w:tr w:rsidR="003B454B" w14:paraId="2B5A5DB3" w14:textId="77777777" w:rsidTr="006D092A">
        <w:tc>
          <w:tcPr>
            <w:tcW w:w="4508" w:type="dxa"/>
            <w:vAlign w:val="center"/>
          </w:tcPr>
          <w:p w14:paraId="7C239B29" w14:textId="14A8F565" w:rsidR="003B454B" w:rsidRPr="003B454B" w:rsidRDefault="003B454B" w:rsidP="003B454B">
            <w:pPr>
              <w:rPr>
                <w:rFonts w:ascii="Calibri" w:hAnsi="Calibri" w:cs="Calibri"/>
              </w:rPr>
            </w:pPr>
            <w:r w:rsidRPr="003B454B">
              <w:t>Indigenous academic share (teaching/research roles combined)</w:t>
            </w:r>
          </w:p>
        </w:tc>
        <w:tc>
          <w:tcPr>
            <w:tcW w:w="4508" w:type="dxa"/>
            <w:vAlign w:val="center"/>
          </w:tcPr>
          <w:p w14:paraId="7D045C6B" w14:textId="30DADFEF" w:rsidR="003B454B" w:rsidRPr="003B454B" w:rsidRDefault="003B454B" w:rsidP="003B454B">
            <w:pPr>
              <w:rPr>
                <w:rFonts w:ascii="Calibri" w:hAnsi="Calibri" w:cs="Calibri"/>
              </w:rPr>
            </w:pPr>
            <w:r w:rsidRPr="003B454B">
              <w:rPr>
                <w:rStyle w:val="s1"/>
              </w:rPr>
              <w:t>1.11%</w:t>
            </w:r>
            <w:r w:rsidRPr="003B454B">
              <w:t xml:space="preserve"> of all T&amp;R staff; would need </w:t>
            </w:r>
            <w:r w:rsidRPr="003B454B">
              <w:rPr>
                <w:rStyle w:val="s1"/>
              </w:rPr>
              <w:t>+1,071</w:t>
            </w:r>
            <w:r w:rsidRPr="003B454B">
              <w:t xml:space="preserve"> academics to reach </w:t>
            </w:r>
            <w:r w:rsidRPr="003B454B">
              <w:rPr>
                <w:rStyle w:val="s1"/>
              </w:rPr>
              <w:t>3.1% parity</w:t>
            </w:r>
            <w:r w:rsidRPr="003B454B">
              <w:rPr>
                <w:rStyle w:val="apple-converted-space"/>
              </w:rPr>
              <w:t xml:space="preserve">  </w:t>
            </w:r>
          </w:p>
        </w:tc>
      </w:tr>
      <w:tr w:rsidR="003B454B" w14:paraId="2656079A" w14:textId="77777777" w:rsidTr="006D092A">
        <w:tc>
          <w:tcPr>
            <w:tcW w:w="4508" w:type="dxa"/>
            <w:vAlign w:val="center"/>
          </w:tcPr>
          <w:p w14:paraId="44C95400" w14:textId="57CDAF29" w:rsidR="003B454B" w:rsidRPr="003B454B" w:rsidRDefault="003B454B" w:rsidP="003B454B">
            <w:pPr>
              <w:rPr>
                <w:rFonts w:ascii="Calibri" w:hAnsi="Calibri" w:cs="Calibri"/>
              </w:rPr>
            </w:pPr>
            <w:r w:rsidRPr="003B454B">
              <w:t>Role mix (Indigenous academics)</w:t>
            </w:r>
          </w:p>
        </w:tc>
        <w:tc>
          <w:tcPr>
            <w:tcW w:w="4508" w:type="dxa"/>
            <w:vAlign w:val="center"/>
          </w:tcPr>
          <w:p w14:paraId="7AA851C6" w14:textId="08C5A1D9" w:rsidR="003B454B" w:rsidRPr="003B454B" w:rsidRDefault="003B454B" w:rsidP="003B454B">
            <w:pPr>
              <w:rPr>
                <w:rFonts w:ascii="Calibri" w:hAnsi="Calibri" w:cs="Calibri"/>
              </w:rPr>
            </w:pPr>
            <w:r w:rsidRPr="003B454B">
              <w:t>53.7% teaching-&amp;-research; more likely than non-Indigenous to be in teaching/teaching-only; less likely research-only</w:t>
            </w:r>
            <w:r w:rsidRPr="003B454B">
              <w:rPr>
                <w:rStyle w:val="apple-converted-space"/>
              </w:rPr>
              <w:t xml:space="preserve">  </w:t>
            </w:r>
          </w:p>
        </w:tc>
      </w:tr>
    </w:tbl>
    <w:p w14:paraId="4E02F120" w14:textId="77777777" w:rsidR="0073242E" w:rsidRDefault="0073242E">
      <w:pPr>
        <w:rPr>
          <w:rFonts w:ascii="Calibri" w:hAnsi="Calibri" w:cs="Calibri"/>
        </w:rPr>
      </w:pPr>
    </w:p>
    <w:p w14:paraId="4A531020" w14:textId="7DBD59E5" w:rsidR="0073242E" w:rsidRPr="00C92AC6" w:rsidRDefault="0073242E">
      <w:pPr>
        <w:rPr>
          <w:rFonts w:ascii="Calibri" w:hAnsi="Calibri" w:cs="Calibri"/>
          <w:i/>
          <w:iCs/>
          <w:u w:val="single"/>
        </w:rPr>
      </w:pPr>
      <w:r w:rsidRPr="00C92AC6">
        <w:rPr>
          <w:rFonts w:ascii="Calibri" w:hAnsi="Calibri" w:cs="Calibri"/>
          <w:i/>
          <w:iCs/>
          <w:u w:val="single"/>
        </w:rPr>
        <w:t>Postgraduate pipeline</w:t>
      </w:r>
    </w:p>
    <w:tbl>
      <w:tblPr>
        <w:tblStyle w:val="TableGrid"/>
        <w:tblW w:w="0" w:type="auto"/>
        <w:tblLook w:val="04A0" w:firstRow="1" w:lastRow="0" w:firstColumn="1" w:lastColumn="0" w:noHBand="0" w:noVBand="1"/>
      </w:tblPr>
      <w:tblGrid>
        <w:gridCol w:w="4508"/>
        <w:gridCol w:w="4508"/>
      </w:tblGrid>
      <w:tr w:rsidR="003B454B" w:rsidRPr="0073242E" w14:paraId="72826B57" w14:textId="77777777" w:rsidTr="004A4D65">
        <w:tc>
          <w:tcPr>
            <w:tcW w:w="4508" w:type="dxa"/>
            <w:shd w:val="clear" w:color="auto" w:fill="DAE9F7" w:themeFill="text2" w:themeFillTint="1A"/>
            <w:vAlign w:val="center"/>
          </w:tcPr>
          <w:p w14:paraId="25C9E0BF" w14:textId="55E24BA8" w:rsidR="003B454B" w:rsidRPr="0073242E" w:rsidRDefault="003B454B" w:rsidP="003B454B">
            <w:pPr>
              <w:jc w:val="center"/>
              <w:rPr>
                <w:rFonts w:ascii="Calibri" w:hAnsi="Calibri" w:cs="Calibri"/>
                <w:b/>
                <w:bCs/>
              </w:rPr>
            </w:pPr>
            <w:r>
              <w:rPr>
                <w:b/>
                <w:bCs/>
              </w:rPr>
              <w:t>Indicator</w:t>
            </w:r>
          </w:p>
        </w:tc>
        <w:tc>
          <w:tcPr>
            <w:tcW w:w="4508" w:type="dxa"/>
            <w:shd w:val="clear" w:color="auto" w:fill="DAE9F7" w:themeFill="text2" w:themeFillTint="1A"/>
            <w:vAlign w:val="center"/>
          </w:tcPr>
          <w:p w14:paraId="4CBFBB54" w14:textId="657D57DA" w:rsidR="003B454B" w:rsidRPr="0073242E" w:rsidRDefault="003B454B" w:rsidP="003B454B">
            <w:pPr>
              <w:jc w:val="center"/>
              <w:rPr>
                <w:rFonts w:ascii="Calibri" w:hAnsi="Calibri" w:cs="Calibri"/>
                <w:b/>
                <w:bCs/>
              </w:rPr>
            </w:pPr>
            <w:r>
              <w:rPr>
                <w:b/>
                <w:bCs/>
              </w:rPr>
              <w:t>Value</w:t>
            </w:r>
          </w:p>
        </w:tc>
      </w:tr>
      <w:tr w:rsidR="003B454B" w14:paraId="58EB50D2" w14:textId="77777777" w:rsidTr="004A4D65">
        <w:tc>
          <w:tcPr>
            <w:tcW w:w="4508" w:type="dxa"/>
            <w:vAlign w:val="center"/>
          </w:tcPr>
          <w:p w14:paraId="105CE30B" w14:textId="14A02EA6" w:rsidR="003B454B" w:rsidRPr="003B454B" w:rsidRDefault="003B454B" w:rsidP="003B454B">
            <w:pPr>
              <w:rPr>
                <w:rFonts w:ascii="Calibri" w:hAnsi="Calibri" w:cs="Calibri"/>
              </w:rPr>
            </w:pPr>
            <w:r w:rsidRPr="003B454B">
              <w:t>Indigenous PG enrolments</w:t>
            </w:r>
          </w:p>
        </w:tc>
        <w:tc>
          <w:tcPr>
            <w:tcW w:w="4508" w:type="dxa"/>
            <w:vAlign w:val="center"/>
          </w:tcPr>
          <w:p w14:paraId="567EC8D4" w14:textId="602A51B9" w:rsidR="003B454B" w:rsidRPr="003B454B" w:rsidRDefault="003B454B" w:rsidP="003B454B">
            <w:pPr>
              <w:rPr>
                <w:rFonts w:ascii="Calibri" w:hAnsi="Calibri" w:cs="Calibri"/>
              </w:rPr>
            </w:pPr>
            <w:r w:rsidRPr="003B454B">
              <w:t>799 (2005) → 3,017 (2020)</w:t>
            </w:r>
            <w:r w:rsidRPr="003B454B">
              <w:rPr>
                <w:rStyle w:val="s1"/>
              </w:rPr>
              <w:t xml:space="preserve">; share of all domestic PG </w:t>
            </w:r>
            <w:r w:rsidRPr="003B454B">
              <w:t>0.67% → 1.54%</w:t>
            </w:r>
            <w:r w:rsidRPr="003B454B">
              <w:rPr>
                <w:rStyle w:val="apple-converted-space"/>
              </w:rPr>
              <w:t xml:space="preserve">  </w:t>
            </w:r>
          </w:p>
        </w:tc>
      </w:tr>
      <w:tr w:rsidR="003B454B" w14:paraId="434760D8" w14:textId="77777777" w:rsidTr="004A4D65">
        <w:tc>
          <w:tcPr>
            <w:tcW w:w="4508" w:type="dxa"/>
            <w:vAlign w:val="center"/>
          </w:tcPr>
          <w:p w14:paraId="56886007" w14:textId="528E019E" w:rsidR="003B454B" w:rsidRPr="003B454B" w:rsidRDefault="003B454B" w:rsidP="003B454B">
            <w:pPr>
              <w:rPr>
                <w:rFonts w:ascii="Calibri" w:hAnsi="Calibri" w:cs="Calibri"/>
              </w:rPr>
            </w:pPr>
            <w:r w:rsidRPr="003B454B">
              <w:t>Indigenous PG research enrolments</w:t>
            </w:r>
          </w:p>
        </w:tc>
        <w:tc>
          <w:tcPr>
            <w:tcW w:w="4508" w:type="dxa"/>
            <w:vAlign w:val="center"/>
          </w:tcPr>
          <w:p w14:paraId="48D8E148" w14:textId="2CE0FB51" w:rsidR="003B454B" w:rsidRPr="003B454B" w:rsidRDefault="003B454B" w:rsidP="003B454B">
            <w:pPr>
              <w:rPr>
                <w:rFonts w:ascii="Calibri" w:hAnsi="Calibri" w:cs="Calibri"/>
              </w:rPr>
            </w:pPr>
            <w:r w:rsidRPr="003B454B">
              <w:rPr>
                <w:rStyle w:val="s1"/>
              </w:rPr>
              <w:t>334 → 743</w:t>
            </w:r>
            <w:r w:rsidRPr="003B454B">
              <w:t xml:space="preserve"> (2005→2020)</w:t>
            </w:r>
            <w:r w:rsidRPr="003B454B">
              <w:rPr>
                <w:rStyle w:val="apple-converted-space"/>
              </w:rPr>
              <w:t xml:space="preserve">  </w:t>
            </w:r>
          </w:p>
        </w:tc>
      </w:tr>
      <w:tr w:rsidR="003B454B" w14:paraId="49EDB82D" w14:textId="77777777" w:rsidTr="004A4D65">
        <w:tc>
          <w:tcPr>
            <w:tcW w:w="4508" w:type="dxa"/>
            <w:vAlign w:val="center"/>
          </w:tcPr>
          <w:p w14:paraId="245B2892" w14:textId="4E162200" w:rsidR="003B454B" w:rsidRPr="003B454B" w:rsidRDefault="003B454B" w:rsidP="003B454B">
            <w:pPr>
              <w:rPr>
                <w:rFonts w:ascii="Calibri" w:hAnsi="Calibri" w:cs="Calibri"/>
              </w:rPr>
            </w:pPr>
            <w:r w:rsidRPr="003B454B">
              <w:t>Indigenous PG coursework enrolments</w:t>
            </w:r>
          </w:p>
        </w:tc>
        <w:tc>
          <w:tcPr>
            <w:tcW w:w="4508" w:type="dxa"/>
            <w:vAlign w:val="center"/>
          </w:tcPr>
          <w:p w14:paraId="5830244E" w14:textId="42233018" w:rsidR="003B454B" w:rsidRPr="003B454B" w:rsidRDefault="003B454B" w:rsidP="003B454B">
            <w:pPr>
              <w:rPr>
                <w:rFonts w:ascii="Calibri" w:hAnsi="Calibri" w:cs="Calibri"/>
              </w:rPr>
            </w:pPr>
            <w:r w:rsidRPr="003B454B">
              <w:t xml:space="preserve">tripled since 2005 (to </w:t>
            </w:r>
            <w:r w:rsidRPr="003B454B">
              <w:rPr>
                <w:rStyle w:val="s1"/>
              </w:rPr>
              <w:t>~2,274</w:t>
            </w:r>
            <w:r w:rsidRPr="003B454B">
              <w:t xml:space="preserve"> of the 3,017 total)</w:t>
            </w:r>
            <w:r w:rsidRPr="003B454B">
              <w:rPr>
                <w:rStyle w:val="apple-converted-space"/>
              </w:rPr>
              <w:t xml:space="preserve">  </w:t>
            </w:r>
          </w:p>
        </w:tc>
      </w:tr>
      <w:tr w:rsidR="003B454B" w14:paraId="5EEC30D6" w14:textId="77777777" w:rsidTr="004A4D65">
        <w:tc>
          <w:tcPr>
            <w:tcW w:w="4508" w:type="dxa"/>
            <w:vAlign w:val="center"/>
          </w:tcPr>
          <w:p w14:paraId="3FBF6925" w14:textId="5AF8D73E" w:rsidR="003B454B" w:rsidRPr="003B454B" w:rsidRDefault="003B454B" w:rsidP="003B454B">
            <w:pPr>
              <w:rPr>
                <w:rFonts w:ascii="Calibri" w:hAnsi="Calibri" w:cs="Calibri"/>
              </w:rPr>
            </w:pPr>
            <w:r w:rsidRPr="003B454B">
              <w:t>Indigenous share of all PG completions (2020)</w:t>
            </w:r>
          </w:p>
        </w:tc>
        <w:tc>
          <w:tcPr>
            <w:tcW w:w="4508" w:type="dxa"/>
            <w:vAlign w:val="center"/>
          </w:tcPr>
          <w:p w14:paraId="2D317F44" w14:textId="17664D27" w:rsidR="003B454B" w:rsidRPr="003B454B" w:rsidRDefault="003B454B" w:rsidP="003B454B">
            <w:pPr>
              <w:rPr>
                <w:rFonts w:ascii="Calibri" w:hAnsi="Calibri" w:cs="Calibri"/>
              </w:rPr>
            </w:pPr>
            <w:r w:rsidRPr="003B454B">
              <w:rPr>
                <w:rStyle w:val="s1"/>
              </w:rPr>
              <w:t>1.18%</w:t>
            </w:r>
            <w:r w:rsidRPr="003B454B">
              <w:t xml:space="preserve"> coursework (</w:t>
            </w:r>
            <w:r w:rsidRPr="003B454B">
              <w:rPr>
                <w:rStyle w:val="s1"/>
              </w:rPr>
              <w:t>764</w:t>
            </w:r>
            <w:r w:rsidRPr="003B454B">
              <w:t xml:space="preserve">), </w:t>
            </w:r>
            <w:r w:rsidRPr="003B454B">
              <w:rPr>
                <w:rStyle w:val="s1"/>
              </w:rPr>
              <w:t>1.14%</w:t>
            </w:r>
            <w:r w:rsidRPr="003B454B">
              <w:t xml:space="preserve"> research (</w:t>
            </w:r>
            <w:r w:rsidRPr="003B454B">
              <w:rPr>
                <w:rStyle w:val="s1"/>
              </w:rPr>
              <w:t>71</w:t>
            </w:r>
            <w:r w:rsidRPr="003B454B">
              <w:t>)</w:t>
            </w:r>
            <w:r w:rsidRPr="003B454B">
              <w:rPr>
                <w:rStyle w:val="apple-converted-space"/>
              </w:rPr>
              <w:t xml:space="preserve">  </w:t>
            </w:r>
          </w:p>
        </w:tc>
      </w:tr>
    </w:tbl>
    <w:p w14:paraId="2E559BB7" w14:textId="77777777" w:rsidR="0073242E" w:rsidRDefault="0073242E">
      <w:pPr>
        <w:rPr>
          <w:rFonts w:ascii="Calibri" w:hAnsi="Calibri" w:cs="Calibri"/>
        </w:rPr>
      </w:pPr>
    </w:p>
    <w:p w14:paraId="28B68B26" w14:textId="21A65A15" w:rsidR="0073242E" w:rsidRPr="00C92AC6" w:rsidRDefault="0073242E">
      <w:pPr>
        <w:rPr>
          <w:rFonts w:ascii="Calibri" w:hAnsi="Calibri" w:cs="Calibri"/>
          <w:i/>
          <w:iCs/>
          <w:u w:val="single"/>
        </w:rPr>
      </w:pPr>
      <w:r w:rsidRPr="00C92AC6">
        <w:rPr>
          <w:rFonts w:ascii="Calibri" w:hAnsi="Calibri" w:cs="Calibri"/>
          <w:i/>
          <w:iCs/>
          <w:u w:val="single"/>
        </w:rPr>
        <w:t>Data Analysis - Patterns and Trends</w:t>
      </w:r>
    </w:p>
    <w:p w14:paraId="1BDAC1F6" w14:textId="77777777" w:rsidR="003B454B" w:rsidRPr="003B454B" w:rsidRDefault="003B454B" w:rsidP="003B454B">
      <w:pPr>
        <w:rPr>
          <w:rFonts w:ascii="Calibri" w:hAnsi="Calibri" w:cs="Calibri"/>
        </w:rPr>
      </w:pPr>
      <w:r w:rsidRPr="003B454B">
        <w:rPr>
          <w:rFonts w:ascii="Calibri" w:hAnsi="Calibri" w:cs="Calibri"/>
        </w:rPr>
        <w:t>After reviewing the extracted data from the report, a few clear patterns became noticeable. Looking first at employment outcomes, there is a consistent gap between Indigenous and non-Indigenous graduates. Both full-time employment and overall employment rates are slightly lower for Indigenous graduates. While the gap isn’t huge, it’s consistent enough to highlight that equal outcomes are still not fully achieved, despite ongoing efforts by universities.</w:t>
      </w:r>
    </w:p>
    <w:p w14:paraId="324FCB37" w14:textId="77777777" w:rsidR="003B454B" w:rsidRPr="003B454B" w:rsidRDefault="003B454B" w:rsidP="003B454B">
      <w:pPr>
        <w:rPr>
          <w:rFonts w:ascii="Calibri" w:hAnsi="Calibri" w:cs="Calibri"/>
        </w:rPr>
      </w:pPr>
    </w:p>
    <w:p w14:paraId="3A33D672" w14:textId="332D3A05" w:rsidR="003B454B" w:rsidRPr="003B454B" w:rsidRDefault="003B454B" w:rsidP="003B454B">
      <w:pPr>
        <w:rPr>
          <w:rFonts w:ascii="Calibri" w:hAnsi="Calibri" w:cs="Calibri"/>
        </w:rPr>
      </w:pPr>
      <w:r w:rsidRPr="003B454B">
        <w:rPr>
          <w:rFonts w:ascii="Calibri" w:hAnsi="Calibri" w:cs="Calibri"/>
        </w:rPr>
        <w:t>The salary data provided another interesting insight. At the three-year mark after graduation, Indigenous graduates are earning slightly more than their non-Indigenous peers. However, by the five-year point, the situation reverses, with non-Indigenous graduates pulling ahead. This could mean that Indigenous graduates secure stable positions earlier on, but face barriers when it comes to long-term career progression, pay growth, or advancement into higher-paying roles.</w:t>
      </w:r>
    </w:p>
    <w:p w14:paraId="262DB2AD" w14:textId="69B4163B" w:rsidR="004D5200" w:rsidRDefault="004D5200">
      <w:pPr>
        <w:rPr>
          <w:noProof/>
        </w:rPr>
      </w:pPr>
      <w:r w:rsidRPr="004D5200">
        <w:rPr>
          <w:rFonts w:ascii="Calibri" w:hAnsi="Calibri" w:cs="Calibri"/>
        </w:rPr>
        <w:lastRenderedPageBreak/>
        <w:drawing>
          <wp:inline distT="0" distB="0" distL="0" distR="0" wp14:anchorId="3DE7386A" wp14:editId="330DFAC3">
            <wp:extent cx="3886200" cy="2620795"/>
            <wp:effectExtent l="0" t="0" r="0" b="0"/>
            <wp:docPr id="1149544372" name="Picture 1" descr="A graph of an over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544372" name="Picture 1" descr="A graph of an over time&#10;&#10;Description automatically generated"/>
                    <pic:cNvPicPr/>
                  </pic:nvPicPr>
                  <pic:blipFill>
                    <a:blip r:embed="rId11"/>
                    <a:stretch>
                      <a:fillRect/>
                    </a:stretch>
                  </pic:blipFill>
                  <pic:spPr>
                    <a:xfrm>
                      <a:off x="0" y="0"/>
                      <a:ext cx="3915136" cy="2640309"/>
                    </a:xfrm>
                    <a:prstGeom prst="rect">
                      <a:avLst/>
                    </a:prstGeom>
                  </pic:spPr>
                </pic:pic>
              </a:graphicData>
            </a:graphic>
          </wp:inline>
        </w:drawing>
      </w:r>
      <w:r w:rsidRPr="004D5200">
        <w:rPr>
          <w:noProof/>
        </w:rPr>
        <w:t xml:space="preserve"> </w:t>
      </w:r>
      <w:r w:rsidRPr="004D5200">
        <w:rPr>
          <w:rFonts w:ascii="Calibri" w:hAnsi="Calibri" w:cs="Calibri"/>
        </w:rPr>
        <w:drawing>
          <wp:inline distT="0" distB="0" distL="0" distR="0" wp14:anchorId="5103F7D3" wp14:editId="608295A3">
            <wp:extent cx="3972910" cy="2836850"/>
            <wp:effectExtent l="0" t="0" r="2540" b="0"/>
            <wp:docPr id="2039705802"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05802" name="Picture 1" descr="A graph of a line graph&#10;&#10;Description automatically generated with medium confidence"/>
                    <pic:cNvPicPr/>
                  </pic:nvPicPr>
                  <pic:blipFill>
                    <a:blip r:embed="rId12"/>
                    <a:stretch>
                      <a:fillRect/>
                    </a:stretch>
                  </pic:blipFill>
                  <pic:spPr>
                    <a:xfrm>
                      <a:off x="0" y="0"/>
                      <a:ext cx="3988265" cy="2847814"/>
                    </a:xfrm>
                    <a:prstGeom prst="rect">
                      <a:avLst/>
                    </a:prstGeom>
                  </pic:spPr>
                </pic:pic>
              </a:graphicData>
            </a:graphic>
          </wp:inline>
        </w:drawing>
      </w:r>
    </w:p>
    <w:p w14:paraId="6DC68D1C" w14:textId="052A57F0" w:rsidR="004D5200" w:rsidRDefault="004D5200">
      <w:pPr>
        <w:rPr>
          <w:rFonts w:ascii="Calibri" w:hAnsi="Calibri" w:cs="Calibri"/>
        </w:rPr>
      </w:pPr>
      <w:r w:rsidRPr="004D5200">
        <w:rPr>
          <w:rFonts w:ascii="Calibri" w:hAnsi="Calibri" w:cs="Calibri"/>
        </w:rPr>
        <w:drawing>
          <wp:inline distT="0" distB="0" distL="0" distR="0" wp14:anchorId="447C375A" wp14:editId="37B3DF40">
            <wp:extent cx="4106917" cy="2977128"/>
            <wp:effectExtent l="0" t="0" r="0" b="0"/>
            <wp:docPr id="452962206" name="Picture 1" descr="A graph of a person share of indigenous applica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62206" name="Picture 1" descr="A graph of a person share of indigenous applicants&#10;&#10;Description automatically generated"/>
                    <pic:cNvPicPr/>
                  </pic:nvPicPr>
                  <pic:blipFill>
                    <a:blip r:embed="rId13"/>
                    <a:stretch>
                      <a:fillRect/>
                    </a:stretch>
                  </pic:blipFill>
                  <pic:spPr>
                    <a:xfrm>
                      <a:off x="0" y="0"/>
                      <a:ext cx="4154215" cy="3011415"/>
                    </a:xfrm>
                    <a:prstGeom prst="rect">
                      <a:avLst/>
                    </a:prstGeom>
                  </pic:spPr>
                </pic:pic>
              </a:graphicData>
            </a:graphic>
          </wp:inline>
        </w:drawing>
      </w:r>
    </w:p>
    <w:p w14:paraId="2EE33327" w14:textId="7912FB05" w:rsidR="004D5200" w:rsidRDefault="004D5200">
      <w:pPr>
        <w:rPr>
          <w:rFonts w:ascii="Calibri" w:hAnsi="Calibri" w:cs="Calibri"/>
        </w:rPr>
      </w:pPr>
      <w:r w:rsidRPr="004D5200">
        <w:rPr>
          <w:rFonts w:ascii="Calibri" w:hAnsi="Calibri" w:cs="Calibri"/>
        </w:rPr>
        <w:lastRenderedPageBreak/>
        <w:drawing>
          <wp:inline distT="0" distB="0" distL="0" distR="0" wp14:anchorId="6834D6BD" wp14:editId="3C29694B">
            <wp:extent cx="4255485" cy="2782614"/>
            <wp:effectExtent l="0" t="0" r="0" b="0"/>
            <wp:docPr id="1691570978"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570978" name="Picture 1" descr="A graph with blue and orange lines&#10;&#10;Description automatically generated"/>
                    <pic:cNvPicPr/>
                  </pic:nvPicPr>
                  <pic:blipFill>
                    <a:blip r:embed="rId14"/>
                    <a:stretch>
                      <a:fillRect/>
                    </a:stretch>
                  </pic:blipFill>
                  <pic:spPr>
                    <a:xfrm>
                      <a:off x="0" y="0"/>
                      <a:ext cx="4270375" cy="2792351"/>
                    </a:xfrm>
                    <a:prstGeom prst="rect">
                      <a:avLst/>
                    </a:prstGeom>
                  </pic:spPr>
                </pic:pic>
              </a:graphicData>
            </a:graphic>
          </wp:inline>
        </w:drawing>
      </w:r>
    </w:p>
    <w:p w14:paraId="2DF21644" w14:textId="41798ABB" w:rsidR="004D5200" w:rsidRDefault="004D5200">
      <w:pPr>
        <w:rPr>
          <w:rFonts w:ascii="Calibri" w:hAnsi="Calibri" w:cs="Calibri"/>
        </w:rPr>
      </w:pPr>
      <w:r w:rsidRPr="004D5200">
        <w:rPr>
          <w:rFonts w:ascii="Calibri" w:hAnsi="Calibri" w:cs="Calibri"/>
        </w:rPr>
        <w:drawing>
          <wp:inline distT="0" distB="0" distL="0" distR="0" wp14:anchorId="6ECBF8C7" wp14:editId="503B7571">
            <wp:extent cx="4255135" cy="2745613"/>
            <wp:effectExtent l="0" t="0" r="0" b="0"/>
            <wp:docPr id="931299943" name="Picture 1" descr="A graph of a number of people with numbers and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99943" name="Picture 1" descr="A graph of a number of people with numbers and a number of years&#10;&#10;Description automatically generated"/>
                    <pic:cNvPicPr/>
                  </pic:nvPicPr>
                  <pic:blipFill>
                    <a:blip r:embed="rId15"/>
                    <a:stretch>
                      <a:fillRect/>
                    </a:stretch>
                  </pic:blipFill>
                  <pic:spPr>
                    <a:xfrm>
                      <a:off x="0" y="0"/>
                      <a:ext cx="4283512" cy="2763923"/>
                    </a:xfrm>
                    <a:prstGeom prst="rect">
                      <a:avLst/>
                    </a:prstGeom>
                  </pic:spPr>
                </pic:pic>
              </a:graphicData>
            </a:graphic>
          </wp:inline>
        </w:drawing>
      </w:r>
    </w:p>
    <w:p w14:paraId="0E19F484" w14:textId="64F85F1E" w:rsidR="004D5200" w:rsidRDefault="004D5200">
      <w:pPr>
        <w:rPr>
          <w:rFonts w:ascii="Calibri" w:hAnsi="Calibri" w:cs="Calibri"/>
        </w:rPr>
      </w:pPr>
      <w:r w:rsidRPr="004D5200">
        <w:rPr>
          <w:rFonts w:ascii="Calibri" w:hAnsi="Calibri" w:cs="Calibri"/>
        </w:rPr>
        <w:drawing>
          <wp:inline distT="0" distB="0" distL="0" distR="0" wp14:anchorId="2765E973" wp14:editId="38520E49">
            <wp:extent cx="4203725" cy="2853558"/>
            <wp:effectExtent l="0" t="0" r="0" b="4445"/>
            <wp:docPr id="1448107660" name="Picture 1"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7660" name="Picture 1" descr="A graph of different colored squares&#10;&#10;Description automatically generated with medium confidence"/>
                    <pic:cNvPicPr/>
                  </pic:nvPicPr>
                  <pic:blipFill>
                    <a:blip r:embed="rId16"/>
                    <a:stretch>
                      <a:fillRect/>
                    </a:stretch>
                  </pic:blipFill>
                  <pic:spPr>
                    <a:xfrm>
                      <a:off x="0" y="0"/>
                      <a:ext cx="4235303" cy="2874994"/>
                    </a:xfrm>
                    <a:prstGeom prst="rect">
                      <a:avLst/>
                    </a:prstGeom>
                  </pic:spPr>
                </pic:pic>
              </a:graphicData>
            </a:graphic>
          </wp:inline>
        </w:drawing>
      </w:r>
    </w:p>
    <w:p w14:paraId="3AA04E08" w14:textId="4D06796E" w:rsidR="004D5200" w:rsidRDefault="004D5200">
      <w:pPr>
        <w:rPr>
          <w:rFonts w:ascii="Calibri" w:hAnsi="Calibri" w:cs="Calibri"/>
        </w:rPr>
      </w:pPr>
      <w:r w:rsidRPr="004D5200">
        <w:rPr>
          <w:rFonts w:ascii="Calibri" w:hAnsi="Calibri" w:cs="Calibri"/>
        </w:rPr>
        <w:lastRenderedPageBreak/>
        <w:drawing>
          <wp:inline distT="0" distB="0" distL="0" distR="0" wp14:anchorId="0C6D567E" wp14:editId="46D0095A">
            <wp:extent cx="4258197" cy="2924503"/>
            <wp:effectExtent l="0" t="0" r="0" b="0"/>
            <wp:docPr id="1379395017" name="Picture 1" descr="A graph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95017" name="Picture 1" descr="A graph of a group of people&#10;&#10;Description automatically generated"/>
                    <pic:cNvPicPr/>
                  </pic:nvPicPr>
                  <pic:blipFill>
                    <a:blip r:embed="rId17"/>
                    <a:stretch>
                      <a:fillRect/>
                    </a:stretch>
                  </pic:blipFill>
                  <pic:spPr>
                    <a:xfrm>
                      <a:off x="0" y="0"/>
                      <a:ext cx="4270325" cy="2932833"/>
                    </a:xfrm>
                    <a:prstGeom prst="rect">
                      <a:avLst/>
                    </a:prstGeom>
                  </pic:spPr>
                </pic:pic>
              </a:graphicData>
            </a:graphic>
          </wp:inline>
        </w:drawing>
      </w:r>
    </w:p>
    <w:p w14:paraId="420B589B" w14:textId="09D7176D" w:rsidR="004D5200" w:rsidRDefault="004D5200">
      <w:pPr>
        <w:rPr>
          <w:rFonts w:ascii="Calibri" w:hAnsi="Calibri" w:cs="Calibri"/>
        </w:rPr>
      </w:pPr>
      <w:r w:rsidRPr="004D5200">
        <w:rPr>
          <w:rFonts w:ascii="Calibri" w:hAnsi="Calibri" w:cs="Calibri"/>
        </w:rPr>
        <w:drawing>
          <wp:inline distT="0" distB="0" distL="0" distR="0" wp14:anchorId="1BAA6281" wp14:editId="19758091">
            <wp:extent cx="4257675" cy="2755271"/>
            <wp:effectExtent l="0" t="0" r="0" b="635"/>
            <wp:docPr id="292391909"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91909" name="Picture 1" descr="A graph with numbers and a line&#10;&#10;Description automatically generated"/>
                    <pic:cNvPicPr/>
                  </pic:nvPicPr>
                  <pic:blipFill>
                    <a:blip r:embed="rId18"/>
                    <a:stretch>
                      <a:fillRect/>
                    </a:stretch>
                  </pic:blipFill>
                  <pic:spPr>
                    <a:xfrm>
                      <a:off x="0" y="0"/>
                      <a:ext cx="4316439" cy="2793299"/>
                    </a:xfrm>
                    <a:prstGeom prst="rect">
                      <a:avLst/>
                    </a:prstGeom>
                  </pic:spPr>
                </pic:pic>
              </a:graphicData>
            </a:graphic>
          </wp:inline>
        </w:drawing>
      </w:r>
    </w:p>
    <w:p w14:paraId="6DD3E032" w14:textId="2F2C41CB" w:rsidR="0073242E" w:rsidRPr="00C92AC6" w:rsidRDefault="0073242E">
      <w:pPr>
        <w:rPr>
          <w:rFonts w:ascii="Calibri" w:hAnsi="Calibri" w:cs="Calibri"/>
          <w:i/>
          <w:iCs/>
          <w:u w:val="single"/>
        </w:rPr>
      </w:pPr>
      <w:r w:rsidRPr="00C92AC6">
        <w:rPr>
          <w:rFonts w:ascii="Calibri" w:hAnsi="Calibri" w:cs="Calibri"/>
          <w:i/>
          <w:iCs/>
          <w:u w:val="single"/>
        </w:rPr>
        <w:t>Insights of Analysed data</w:t>
      </w:r>
    </w:p>
    <w:p w14:paraId="17A432A7" w14:textId="58B274F0" w:rsidR="003B454B" w:rsidRPr="003B454B" w:rsidRDefault="003B454B" w:rsidP="003B454B">
      <w:pPr>
        <w:rPr>
          <w:rFonts w:ascii="Calibri" w:hAnsi="Calibri" w:cs="Calibri"/>
        </w:rPr>
      </w:pPr>
      <w:r w:rsidRPr="003B454B">
        <w:rPr>
          <w:rFonts w:ascii="Calibri" w:hAnsi="Calibri" w:cs="Calibri"/>
        </w:rPr>
        <w:t>From these findings, my interpretation is that while progress is being made through Indigenous strategies, challenges remain in the workforce outcomes of Indigenous graduates. The fact that Indigenous graduates start strong in salary but fall behind later suggests that targeted support programs may be helping at the graduate-entry level. However, the decline over time highlights systemic barriers that affect promotions, professional development, or leadership opportunities for Indigenous workers.</w:t>
      </w:r>
    </w:p>
    <w:p w14:paraId="277A79A7" w14:textId="715B5AAC" w:rsidR="003B454B" w:rsidRPr="003B454B" w:rsidRDefault="003B454B" w:rsidP="003B454B">
      <w:pPr>
        <w:rPr>
          <w:rFonts w:ascii="Calibri" w:hAnsi="Calibri" w:cs="Calibri"/>
        </w:rPr>
      </w:pPr>
      <w:r w:rsidRPr="003B454B">
        <w:rPr>
          <w:rFonts w:ascii="Calibri" w:hAnsi="Calibri" w:cs="Calibri"/>
        </w:rPr>
        <w:t>For universities, this means the focus cannot just stop at graduation. Supporting students into that first role is important but</w:t>
      </w:r>
      <w:r>
        <w:rPr>
          <w:rFonts w:ascii="Calibri" w:hAnsi="Calibri" w:cs="Calibri"/>
        </w:rPr>
        <w:t>,</w:t>
      </w:r>
      <w:r w:rsidRPr="003B454B">
        <w:rPr>
          <w:rFonts w:ascii="Calibri" w:hAnsi="Calibri" w:cs="Calibri"/>
        </w:rPr>
        <w:t xml:space="preserve"> ensuring that Indigenous graduates have equal chances for career progression, mentorship, and long-term development is just as critical. The continuing employment gap also shows that while participation is improving, structural inequalities in the labour market still need to be addressed.</w:t>
      </w:r>
    </w:p>
    <w:p w14:paraId="2099B225" w14:textId="77777777" w:rsidR="003B454B" w:rsidRPr="003B454B" w:rsidRDefault="003B454B" w:rsidP="003B454B">
      <w:pPr>
        <w:rPr>
          <w:rFonts w:ascii="Calibri" w:hAnsi="Calibri" w:cs="Calibri"/>
        </w:rPr>
      </w:pPr>
      <w:r w:rsidRPr="003B454B">
        <w:rPr>
          <w:rFonts w:ascii="Calibri" w:hAnsi="Calibri" w:cs="Calibri"/>
        </w:rPr>
        <w:lastRenderedPageBreak/>
        <w:t>Overall, the data suggests that the Indigenous Strategy has had positive effects, particularly in encouraging participation and entry into the workforce. However, the patterns also make it clear that long-term equity requires ongoing support beyond the university system, including industry partnerships and workplace reforms.</w:t>
      </w:r>
    </w:p>
    <w:p w14:paraId="4835EAD6" w14:textId="77777777" w:rsidR="003B454B" w:rsidRPr="003B454B" w:rsidRDefault="003B454B">
      <w:pPr>
        <w:rPr>
          <w:rFonts w:ascii="Calibri" w:hAnsi="Calibri" w:cs="Calibri"/>
          <w:b/>
          <w:bCs/>
          <w:u w:val="single"/>
        </w:rPr>
      </w:pPr>
    </w:p>
    <w:sectPr w:rsidR="003B454B" w:rsidRPr="003B4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809DB"/>
    <w:multiLevelType w:val="multilevel"/>
    <w:tmpl w:val="76EE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50FB7"/>
    <w:multiLevelType w:val="multilevel"/>
    <w:tmpl w:val="154A2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9709E"/>
    <w:multiLevelType w:val="multilevel"/>
    <w:tmpl w:val="4FA4A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0073F"/>
    <w:multiLevelType w:val="multilevel"/>
    <w:tmpl w:val="5DCCE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473DC"/>
    <w:multiLevelType w:val="multilevel"/>
    <w:tmpl w:val="18E8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F4CE7"/>
    <w:multiLevelType w:val="multilevel"/>
    <w:tmpl w:val="0DEC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4C2DBB"/>
    <w:multiLevelType w:val="multilevel"/>
    <w:tmpl w:val="210C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015828">
    <w:abstractNumId w:val="5"/>
  </w:num>
  <w:num w:numId="2" w16cid:durableId="1023475755">
    <w:abstractNumId w:val="3"/>
  </w:num>
  <w:num w:numId="3" w16cid:durableId="1873958312">
    <w:abstractNumId w:val="0"/>
  </w:num>
  <w:num w:numId="4" w16cid:durableId="487477778">
    <w:abstractNumId w:val="4"/>
  </w:num>
  <w:num w:numId="5" w16cid:durableId="882716094">
    <w:abstractNumId w:val="2"/>
  </w:num>
  <w:num w:numId="6" w16cid:durableId="1429428128">
    <w:abstractNumId w:val="1"/>
  </w:num>
  <w:num w:numId="7" w16cid:durableId="3741644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297"/>
    <w:rsid w:val="00011297"/>
    <w:rsid w:val="0018702D"/>
    <w:rsid w:val="002B6B4E"/>
    <w:rsid w:val="00345CCA"/>
    <w:rsid w:val="003B454B"/>
    <w:rsid w:val="004D5200"/>
    <w:rsid w:val="0073242E"/>
    <w:rsid w:val="0078257E"/>
    <w:rsid w:val="00C92AC6"/>
    <w:rsid w:val="00D47579"/>
    <w:rsid w:val="00DE6F60"/>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04EE"/>
  <w15:chartTrackingRefBased/>
  <w15:docId w15:val="{A0FF2DD4-7E8F-BC41-9A55-3BE2FC39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011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1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1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1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1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1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1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1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1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1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1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297"/>
    <w:rPr>
      <w:rFonts w:eastAsiaTheme="majorEastAsia" w:cstheme="majorBidi"/>
      <w:color w:val="272727" w:themeColor="text1" w:themeTint="D8"/>
    </w:rPr>
  </w:style>
  <w:style w:type="paragraph" w:styleId="Title">
    <w:name w:val="Title"/>
    <w:basedOn w:val="Normal"/>
    <w:next w:val="Normal"/>
    <w:link w:val="TitleChar"/>
    <w:uiPriority w:val="10"/>
    <w:qFormat/>
    <w:rsid w:val="00011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297"/>
    <w:pPr>
      <w:spacing w:before="160"/>
      <w:jc w:val="center"/>
    </w:pPr>
    <w:rPr>
      <w:i/>
      <w:iCs/>
      <w:color w:val="404040" w:themeColor="text1" w:themeTint="BF"/>
    </w:rPr>
  </w:style>
  <w:style w:type="character" w:customStyle="1" w:styleId="QuoteChar">
    <w:name w:val="Quote Char"/>
    <w:basedOn w:val="DefaultParagraphFont"/>
    <w:link w:val="Quote"/>
    <w:uiPriority w:val="29"/>
    <w:rsid w:val="00011297"/>
    <w:rPr>
      <w:rFonts w:cs="Arial Unicode MS"/>
      <w:i/>
      <w:iCs/>
      <w:color w:val="404040" w:themeColor="text1" w:themeTint="BF"/>
    </w:rPr>
  </w:style>
  <w:style w:type="paragraph" w:styleId="ListParagraph">
    <w:name w:val="List Paragraph"/>
    <w:basedOn w:val="Normal"/>
    <w:uiPriority w:val="34"/>
    <w:qFormat/>
    <w:rsid w:val="00011297"/>
    <w:pPr>
      <w:ind w:left="720"/>
      <w:contextualSpacing/>
    </w:pPr>
  </w:style>
  <w:style w:type="character" w:styleId="IntenseEmphasis">
    <w:name w:val="Intense Emphasis"/>
    <w:basedOn w:val="DefaultParagraphFont"/>
    <w:uiPriority w:val="21"/>
    <w:qFormat/>
    <w:rsid w:val="00011297"/>
    <w:rPr>
      <w:i/>
      <w:iCs/>
      <w:color w:val="0F4761" w:themeColor="accent1" w:themeShade="BF"/>
    </w:rPr>
  </w:style>
  <w:style w:type="paragraph" w:styleId="IntenseQuote">
    <w:name w:val="Intense Quote"/>
    <w:basedOn w:val="Normal"/>
    <w:next w:val="Normal"/>
    <w:link w:val="IntenseQuoteChar"/>
    <w:uiPriority w:val="30"/>
    <w:qFormat/>
    <w:rsid w:val="00011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1297"/>
    <w:rPr>
      <w:rFonts w:cs="Arial Unicode MS"/>
      <w:i/>
      <w:iCs/>
      <w:color w:val="0F4761" w:themeColor="accent1" w:themeShade="BF"/>
    </w:rPr>
  </w:style>
  <w:style w:type="character" w:styleId="IntenseReference">
    <w:name w:val="Intense Reference"/>
    <w:basedOn w:val="DefaultParagraphFont"/>
    <w:uiPriority w:val="32"/>
    <w:qFormat/>
    <w:rsid w:val="00011297"/>
    <w:rPr>
      <w:b/>
      <w:bCs/>
      <w:smallCaps/>
      <w:color w:val="0F4761" w:themeColor="accent1" w:themeShade="BF"/>
      <w:spacing w:val="5"/>
    </w:rPr>
  </w:style>
  <w:style w:type="character" w:styleId="Strong">
    <w:name w:val="Strong"/>
    <w:basedOn w:val="DefaultParagraphFont"/>
    <w:uiPriority w:val="22"/>
    <w:qFormat/>
    <w:rsid w:val="0018702D"/>
    <w:rPr>
      <w:b/>
      <w:bCs/>
    </w:rPr>
  </w:style>
  <w:style w:type="paragraph" w:styleId="NormalWeb">
    <w:name w:val="Normal (Web)"/>
    <w:basedOn w:val="Normal"/>
    <w:uiPriority w:val="99"/>
    <w:semiHidden/>
    <w:unhideWhenUsed/>
    <w:rsid w:val="0018702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18702D"/>
  </w:style>
  <w:style w:type="character" w:styleId="HTMLCode">
    <w:name w:val="HTML Code"/>
    <w:basedOn w:val="DefaultParagraphFont"/>
    <w:uiPriority w:val="99"/>
    <w:semiHidden/>
    <w:unhideWhenUsed/>
    <w:rsid w:val="0018702D"/>
    <w:rPr>
      <w:rFonts w:ascii="Courier New" w:eastAsia="Times New Roman" w:hAnsi="Courier New" w:cs="Courier New"/>
      <w:sz w:val="20"/>
      <w:szCs w:val="20"/>
    </w:rPr>
  </w:style>
  <w:style w:type="table" w:styleId="TableGrid">
    <w:name w:val="Table Grid"/>
    <w:basedOn w:val="TableNormal"/>
    <w:uiPriority w:val="39"/>
    <w:rsid w:val="00732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3B454B"/>
  </w:style>
  <w:style w:type="paragraph" w:customStyle="1" w:styleId="p1">
    <w:name w:val="p1"/>
    <w:basedOn w:val="Normal"/>
    <w:rsid w:val="00C92AC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2">
    <w:name w:val="p2"/>
    <w:basedOn w:val="Normal"/>
    <w:rsid w:val="00C92AC6"/>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9716">
      <w:bodyDiv w:val="1"/>
      <w:marLeft w:val="0"/>
      <w:marRight w:val="0"/>
      <w:marTop w:val="0"/>
      <w:marBottom w:val="0"/>
      <w:divBdr>
        <w:top w:val="none" w:sz="0" w:space="0" w:color="auto"/>
        <w:left w:val="none" w:sz="0" w:space="0" w:color="auto"/>
        <w:bottom w:val="none" w:sz="0" w:space="0" w:color="auto"/>
        <w:right w:val="none" w:sz="0" w:space="0" w:color="auto"/>
      </w:divBdr>
    </w:div>
    <w:div w:id="65346456">
      <w:bodyDiv w:val="1"/>
      <w:marLeft w:val="0"/>
      <w:marRight w:val="0"/>
      <w:marTop w:val="0"/>
      <w:marBottom w:val="0"/>
      <w:divBdr>
        <w:top w:val="none" w:sz="0" w:space="0" w:color="auto"/>
        <w:left w:val="none" w:sz="0" w:space="0" w:color="auto"/>
        <w:bottom w:val="none" w:sz="0" w:space="0" w:color="auto"/>
        <w:right w:val="none" w:sz="0" w:space="0" w:color="auto"/>
      </w:divBdr>
    </w:div>
    <w:div w:id="107893900">
      <w:bodyDiv w:val="1"/>
      <w:marLeft w:val="0"/>
      <w:marRight w:val="0"/>
      <w:marTop w:val="0"/>
      <w:marBottom w:val="0"/>
      <w:divBdr>
        <w:top w:val="none" w:sz="0" w:space="0" w:color="auto"/>
        <w:left w:val="none" w:sz="0" w:space="0" w:color="auto"/>
        <w:bottom w:val="none" w:sz="0" w:space="0" w:color="auto"/>
        <w:right w:val="none" w:sz="0" w:space="0" w:color="auto"/>
      </w:divBdr>
      <w:divsChild>
        <w:div w:id="1999990168">
          <w:marLeft w:val="0"/>
          <w:marRight w:val="0"/>
          <w:marTop w:val="0"/>
          <w:marBottom w:val="0"/>
          <w:divBdr>
            <w:top w:val="none" w:sz="0" w:space="0" w:color="auto"/>
            <w:left w:val="none" w:sz="0" w:space="0" w:color="auto"/>
            <w:bottom w:val="none" w:sz="0" w:space="0" w:color="auto"/>
            <w:right w:val="none" w:sz="0" w:space="0" w:color="auto"/>
          </w:divBdr>
          <w:divsChild>
            <w:div w:id="10607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6869">
      <w:bodyDiv w:val="1"/>
      <w:marLeft w:val="0"/>
      <w:marRight w:val="0"/>
      <w:marTop w:val="0"/>
      <w:marBottom w:val="0"/>
      <w:divBdr>
        <w:top w:val="none" w:sz="0" w:space="0" w:color="auto"/>
        <w:left w:val="none" w:sz="0" w:space="0" w:color="auto"/>
        <w:bottom w:val="none" w:sz="0" w:space="0" w:color="auto"/>
        <w:right w:val="none" w:sz="0" w:space="0" w:color="auto"/>
      </w:divBdr>
      <w:divsChild>
        <w:div w:id="779255677">
          <w:marLeft w:val="0"/>
          <w:marRight w:val="0"/>
          <w:marTop w:val="0"/>
          <w:marBottom w:val="0"/>
          <w:divBdr>
            <w:top w:val="none" w:sz="0" w:space="0" w:color="auto"/>
            <w:left w:val="none" w:sz="0" w:space="0" w:color="auto"/>
            <w:bottom w:val="none" w:sz="0" w:space="0" w:color="auto"/>
            <w:right w:val="none" w:sz="0" w:space="0" w:color="auto"/>
          </w:divBdr>
          <w:divsChild>
            <w:div w:id="1874146226">
              <w:marLeft w:val="0"/>
              <w:marRight w:val="0"/>
              <w:marTop w:val="0"/>
              <w:marBottom w:val="0"/>
              <w:divBdr>
                <w:top w:val="none" w:sz="0" w:space="0" w:color="auto"/>
                <w:left w:val="none" w:sz="0" w:space="0" w:color="auto"/>
                <w:bottom w:val="none" w:sz="0" w:space="0" w:color="auto"/>
                <w:right w:val="none" w:sz="0" w:space="0" w:color="auto"/>
              </w:divBdr>
            </w:div>
            <w:div w:id="942343473">
              <w:marLeft w:val="0"/>
              <w:marRight w:val="0"/>
              <w:marTop w:val="0"/>
              <w:marBottom w:val="0"/>
              <w:divBdr>
                <w:top w:val="none" w:sz="0" w:space="0" w:color="auto"/>
                <w:left w:val="none" w:sz="0" w:space="0" w:color="auto"/>
                <w:bottom w:val="none" w:sz="0" w:space="0" w:color="auto"/>
                <w:right w:val="none" w:sz="0" w:space="0" w:color="auto"/>
              </w:divBdr>
            </w:div>
            <w:div w:id="555817207">
              <w:marLeft w:val="0"/>
              <w:marRight w:val="0"/>
              <w:marTop w:val="0"/>
              <w:marBottom w:val="0"/>
              <w:divBdr>
                <w:top w:val="none" w:sz="0" w:space="0" w:color="auto"/>
                <w:left w:val="none" w:sz="0" w:space="0" w:color="auto"/>
                <w:bottom w:val="none" w:sz="0" w:space="0" w:color="auto"/>
                <w:right w:val="none" w:sz="0" w:space="0" w:color="auto"/>
              </w:divBdr>
            </w:div>
            <w:div w:id="11751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2895">
      <w:bodyDiv w:val="1"/>
      <w:marLeft w:val="0"/>
      <w:marRight w:val="0"/>
      <w:marTop w:val="0"/>
      <w:marBottom w:val="0"/>
      <w:divBdr>
        <w:top w:val="none" w:sz="0" w:space="0" w:color="auto"/>
        <w:left w:val="none" w:sz="0" w:space="0" w:color="auto"/>
        <w:bottom w:val="none" w:sz="0" w:space="0" w:color="auto"/>
        <w:right w:val="none" w:sz="0" w:space="0" w:color="auto"/>
      </w:divBdr>
    </w:div>
    <w:div w:id="496575934">
      <w:bodyDiv w:val="1"/>
      <w:marLeft w:val="0"/>
      <w:marRight w:val="0"/>
      <w:marTop w:val="0"/>
      <w:marBottom w:val="0"/>
      <w:divBdr>
        <w:top w:val="none" w:sz="0" w:space="0" w:color="auto"/>
        <w:left w:val="none" w:sz="0" w:space="0" w:color="auto"/>
        <w:bottom w:val="none" w:sz="0" w:space="0" w:color="auto"/>
        <w:right w:val="none" w:sz="0" w:space="0" w:color="auto"/>
      </w:divBdr>
    </w:div>
    <w:div w:id="542597573">
      <w:bodyDiv w:val="1"/>
      <w:marLeft w:val="0"/>
      <w:marRight w:val="0"/>
      <w:marTop w:val="0"/>
      <w:marBottom w:val="0"/>
      <w:divBdr>
        <w:top w:val="none" w:sz="0" w:space="0" w:color="auto"/>
        <w:left w:val="none" w:sz="0" w:space="0" w:color="auto"/>
        <w:bottom w:val="none" w:sz="0" w:space="0" w:color="auto"/>
        <w:right w:val="none" w:sz="0" w:space="0" w:color="auto"/>
      </w:divBdr>
    </w:div>
    <w:div w:id="658195563">
      <w:bodyDiv w:val="1"/>
      <w:marLeft w:val="0"/>
      <w:marRight w:val="0"/>
      <w:marTop w:val="0"/>
      <w:marBottom w:val="0"/>
      <w:divBdr>
        <w:top w:val="none" w:sz="0" w:space="0" w:color="auto"/>
        <w:left w:val="none" w:sz="0" w:space="0" w:color="auto"/>
        <w:bottom w:val="none" w:sz="0" w:space="0" w:color="auto"/>
        <w:right w:val="none" w:sz="0" w:space="0" w:color="auto"/>
      </w:divBdr>
    </w:div>
    <w:div w:id="687027885">
      <w:bodyDiv w:val="1"/>
      <w:marLeft w:val="0"/>
      <w:marRight w:val="0"/>
      <w:marTop w:val="0"/>
      <w:marBottom w:val="0"/>
      <w:divBdr>
        <w:top w:val="none" w:sz="0" w:space="0" w:color="auto"/>
        <w:left w:val="none" w:sz="0" w:space="0" w:color="auto"/>
        <w:bottom w:val="none" w:sz="0" w:space="0" w:color="auto"/>
        <w:right w:val="none" w:sz="0" w:space="0" w:color="auto"/>
      </w:divBdr>
    </w:div>
    <w:div w:id="838036198">
      <w:bodyDiv w:val="1"/>
      <w:marLeft w:val="0"/>
      <w:marRight w:val="0"/>
      <w:marTop w:val="0"/>
      <w:marBottom w:val="0"/>
      <w:divBdr>
        <w:top w:val="none" w:sz="0" w:space="0" w:color="auto"/>
        <w:left w:val="none" w:sz="0" w:space="0" w:color="auto"/>
        <w:bottom w:val="none" w:sz="0" w:space="0" w:color="auto"/>
        <w:right w:val="none" w:sz="0" w:space="0" w:color="auto"/>
      </w:divBdr>
    </w:div>
    <w:div w:id="855995620">
      <w:bodyDiv w:val="1"/>
      <w:marLeft w:val="0"/>
      <w:marRight w:val="0"/>
      <w:marTop w:val="0"/>
      <w:marBottom w:val="0"/>
      <w:divBdr>
        <w:top w:val="none" w:sz="0" w:space="0" w:color="auto"/>
        <w:left w:val="none" w:sz="0" w:space="0" w:color="auto"/>
        <w:bottom w:val="none" w:sz="0" w:space="0" w:color="auto"/>
        <w:right w:val="none" w:sz="0" w:space="0" w:color="auto"/>
      </w:divBdr>
    </w:div>
    <w:div w:id="1055589844">
      <w:bodyDiv w:val="1"/>
      <w:marLeft w:val="0"/>
      <w:marRight w:val="0"/>
      <w:marTop w:val="0"/>
      <w:marBottom w:val="0"/>
      <w:divBdr>
        <w:top w:val="none" w:sz="0" w:space="0" w:color="auto"/>
        <w:left w:val="none" w:sz="0" w:space="0" w:color="auto"/>
        <w:bottom w:val="none" w:sz="0" w:space="0" w:color="auto"/>
        <w:right w:val="none" w:sz="0" w:space="0" w:color="auto"/>
      </w:divBdr>
    </w:div>
    <w:div w:id="1095201144">
      <w:bodyDiv w:val="1"/>
      <w:marLeft w:val="0"/>
      <w:marRight w:val="0"/>
      <w:marTop w:val="0"/>
      <w:marBottom w:val="0"/>
      <w:divBdr>
        <w:top w:val="none" w:sz="0" w:space="0" w:color="auto"/>
        <w:left w:val="none" w:sz="0" w:space="0" w:color="auto"/>
        <w:bottom w:val="none" w:sz="0" w:space="0" w:color="auto"/>
        <w:right w:val="none" w:sz="0" w:space="0" w:color="auto"/>
      </w:divBdr>
    </w:div>
    <w:div w:id="1249580386">
      <w:bodyDiv w:val="1"/>
      <w:marLeft w:val="0"/>
      <w:marRight w:val="0"/>
      <w:marTop w:val="0"/>
      <w:marBottom w:val="0"/>
      <w:divBdr>
        <w:top w:val="none" w:sz="0" w:space="0" w:color="auto"/>
        <w:left w:val="none" w:sz="0" w:space="0" w:color="auto"/>
        <w:bottom w:val="none" w:sz="0" w:space="0" w:color="auto"/>
        <w:right w:val="none" w:sz="0" w:space="0" w:color="auto"/>
      </w:divBdr>
      <w:divsChild>
        <w:div w:id="2025739378">
          <w:marLeft w:val="0"/>
          <w:marRight w:val="0"/>
          <w:marTop w:val="0"/>
          <w:marBottom w:val="0"/>
          <w:divBdr>
            <w:top w:val="none" w:sz="0" w:space="0" w:color="auto"/>
            <w:left w:val="none" w:sz="0" w:space="0" w:color="auto"/>
            <w:bottom w:val="none" w:sz="0" w:space="0" w:color="auto"/>
            <w:right w:val="none" w:sz="0" w:space="0" w:color="auto"/>
          </w:divBdr>
          <w:divsChild>
            <w:div w:id="17654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21141">
      <w:bodyDiv w:val="1"/>
      <w:marLeft w:val="0"/>
      <w:marRight w:val="0"/>
      <w:marTop w:val="0"/>
      <w:marBottom w:val="0"/>
      <w:divBdr>
        <w:top w:val="none" w:sz="0" w:space="0" w:color="auto"/>
        <w:left w:val="none" w:sz="0" w:space="0" w:color="auto"/>
        <w:bottom w:val="none" w:sz="0" w:space="0" w:color="auto"/>
        <w:right w:val="none" w:sz="0" w:space="0" w:color="auto"/>
      </w:divBdr>
    </w:div>
    <w:div w:id="1354652086">
      <w:bodyDiv w:val="1"/>
      <w:marLeft w:val="0"/>
      <w:marRight w:val="0"/>
      <w:marTop w:val="0"/>
      <w:marBottom w:val="0"/>
      <w:divBdr>
        <w:top w:val="none" w:sz="0" w:space="0" w:color="auto"/>
        <w:left w:val="none" w:sz="0" w:space="0" w:color="auto"/>
        <w:bottom w:val="none" w:sz="0" w:space="0" w:color="auto"/>
        <w:right w:val="none" w:sz="0" w:space="0" w:color="auto"/>
      </w:divBdr>
    </w:div>
    <w:div w:id="1365331776">
      <w:bodyDiv w:val="1"/>
      <w:marLeft w:val="0"/>
      <w:marRight w:val="0"/>
      <w:marTop w:val="0"/>
      <w:marBottom w:val="0"/>
      <w:divBdr>
        <w:top w:val="none" w:sz="0" w:space="0" w:color="auto"/>
        <w:left w:val="none" w:sz="0" w:space="0" w:color="auto"/>
        <w:bottom w:val="none" w:sz="0" w:space="0" w:color="auto"/>
        <w:right w:val="none" w:sz="0" w:space="0" w:color="auto"/>
      </w:divBdr>
      <w:divsChild>
        <w:div w:id="132705329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16047490">
      <w:bodyDiv w:val="1"/>
      <w:marLeft w:val="0"/>
      <w:marRight w:val="0"/>
      <w:marTop w:val="0"/>
      <w:marBottom w:val="0"/>
      <w:divBdr>
        <w:top w:val="none" w:sz="0" w:space="0" w:color="auto"/>
        <w:left w:val="none" w:sz="0" w:space="0" w:color="auto"/>
        <w:bottom w:val="none" w:sz="0" w:space="0" w:color="auto"/>
        <w:right w:val="none" w:sz="0" w:space="0" w:color="auto"/>
      </w:divBdr>
    </w:div>
    <w:div w:id="1564179504">
      <w:bodyDiv w:val="1"/>
      <w:marLeft w:val="0"/>
      <w:marRight w:val="0"/>
      <w:marTop w:val="0"/>
      <w:marBottom w:val="0"/>
      <w:divBdr>
        <w:top w:val="none" w:sz="0" w:space="0" w:color="auto"/>
        <w:left w:val="none" w:sz="0" w:space="0" w:color="auto"/>
        <w:bottom w:val="none" w:sz="0" w:space="0" w:color="auto"/>
        <w:right w:val="none" w:sz="0" w:space="0" w:color="auto"/>
      </w:divBdr>
    </w:div>
    <w:div w:id="1682928485">
      <w:bodyDiv w:val="1"/>
      <w:marLeft w:val="0"/>
      <w:marRight w:val="0"/>
      <w:marTop w:val="0"/>
      <w:marBottom w:val="0"/>
      <w:divBdr>
        <w:top w:val="none" w:sz="0" w:space="0" w:color="auto"/>
        <w:left w:val="none" w:sz="0" w:space="0" w:color="auto"/>
        <w:bottom w:val="none" w:sz="0" w:space="0" w:color="auto"/>
        <w:right w:val="none" w:sz="0" w:space="0" w:color="auto"/>
      </w:divBdr>
    </w:div>
    <w:div w:id="1828130773">
      <w:bodyDiv w:val="1"/>
      <w:marLeft w:val="0"/>
      <w:marRight w:val="0"/>
      <w:marTop w:val="0"/>
      <w:marBottom w:val="0"/>
      <w:divBdr>
        <w:top w:val="none" w:sz="0" w:space="0" w:color="auto"/>
        <w:left w:val="none" w:sz="0" w:space="0" w:color="auto"/>
        <w:bottom w:val="none" w:sz="0" w:space="0" w:color="auto"/>
        <w:right w:val="none" w:sz="0" w:space="0" w:color="auto"/>
      </w:divBdr>
      <w:divsChild>
        <w:div w:id="132955701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914394782">
      <w:bodyDiv w:val="1"/>
      <w:marLeft w:val="0"/>
      <w:marRight w:val="0"/>
      <w:marTop w:val="0"/>
      <w:marBottom w:val="0"/>
      <w:divBdr>
        <w:top w:val="none" w:sz="0" w:space="0" w:color="auto"/>
        <w:left w:val="none" w:sz="0" w:space="0" w:color="auto"/>
        <w:bottom w:val="none" w:sz="0" w:space="0" w:color="auto"/>
        <w:right w:val="none" w:sz="0" w:space="0" w:color="auto"/>
      </w:divBdr>
    </w:div>
    <w:div w:id="1920019228">
      <w:bodyDiv w:val="1"/>
      <w:marLeft w:val="0"/>
      <w:marRight w:val="0"/>
      <w:marTop w:val="0"/>
      <w:marBottom w:val="0"/>
      <w:divBdr>
        <w:top w:val="none" w:sz="0" w:space="0" w:color="auto"/>
        <w:left w:val="none" w:sz="0" w:space="0" w:color="auto"/>
        <w:bottom w:val="none" w:sz="0" w:space="0" w:color="auto"/>
        <w:right w:val="none" w:sz="0" w:space="0" w:color="auto"/>
      </w:divBdr>
    </w:div>
    <w:div w:id="199282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SENURA PERERA</dc:creator>
  <cp:keywords/>
  <dc:description/>
  <cp:lastModifiedBy>VENU PALLAWELA</cp:lastModifiedBy>
  <cp:revision>8</cp:revision>
  <dcterms:created xsi:type="dcterms:W3CDTF">2025-09-17T20:47:00Z</dcterms:created>
  <dcterms:modified xsi:type="dcterms:W3CDTF">2025-09-18T20:03:00Z</dcterms:modified>
</cp:coreProperties>
</file>