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D8" w:rsidRDefault="007910D8" w:rsidP="007910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Русский язык в современном мире. Новая лексика и фразеология. </w:t>
      </w:r>
    </w:p>
    <w:p w:rsidR="00F87A99" w:rsidRDefault="007910D8" w:rsidP="007910D8">
      <w:pPr>
        <w:spacing w:line="240" w:lineRule="auto"/>
        <w:jc w:val="center"/>
        <w:rPr>
          <w:b/>
          <w:sz w:val="24"/>
          <w:szCs w:val="24"/>
        </w:rPr>
      </w:pPr>
      <w:r w:rsidRPr="007910D8">
        <w:rPr>
          <w:b/>
          <w:sz w:val="24"/>
          <w:szCs w:val="24"/>
        </w:rPr>
        <w:t>Стилистическая оценка новых слов.</w:t>
      </w:r>
    </w:p>
    <w:p w:rsidR="00BF13CD" w:rsidRDefault="00E924E3" w:rsidP="00534B01">
      <w:pPr>
        <w:spacing w:line="48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По мнению Д.Э. Розенталя и И.Б. Голуб</w:t>
      </w:r>
      <w:r w:rsidR="00AC5EE1">
        <w:rPr>
          <w:rStyle w:val="a5"/>
          <w:sz w:val="24"/>
          <w:szCs w:val="24"/>
        </w:rPr>
        <w:footnoteReference w:id="1"/>
      </w:r>
      <w:r>
        <w:rPr>
          <w:sz w:val="24"/>
          <w:szCs w:val="24"/>
        </w:rPr>
        <w:t xml:space="preserve"> </w:t>
      </w:r>
      <w:r w:rsidR="008E356F">
        <w:rPr>
          <w:sz w:val="24"/>
          <w:szCs w:val="24"/>
        </w:rPr>
        <w:t>термин «новое слово» не является эквивалентом термина «неологизм»</w:t>
      </w:r>
      <w:r w:rsidR="00FA3A35">
        <w:rPr>
          <w:rStyle w:val="a5"/>
          <w:sz w:val="24"/>
          <w:szCs w:val="24"/>
        </w:rPr>
        <w:footnoteReference w:id="2"/>
      </w:r>
      <w:r w:rsidR="00312B5C">
        <w:rPr>
          <w:sz w:val="24"/>
          <w:szCs w:val="24"/>
        </w:rPr>
        <w:t>: «Новые слова, которые только еще завоёвывают свои позиции в языке называются неологизмами… У новых слов, которые быстро завоевывают признание и закрепляются в язык, появляется одно очень любопытное свойство: они очень быстро «взрослеют» и выходят из состава неологизмов… Чтобы слово осознавалось как неологизм, оно должно сохранить оттенок свежести, необычности</w:t>
      </w:r>
      <w:r w:rsidR="004F0241">
        <w:rPr>
          <w:sz w:val="24"/>
          <w:szCs w:val="24"/>
        </w:rPr>
        <w:t>, а к некоторым новым словам мы так быстро привыкаем, что забываем об их особой судьбе</w:t>
      </w:r>
      <w:r w:rsidR="00312B5C">
        <w:rPr>
          <w:sz w:val="24"/>
          <w:szCs w:val="24"/>
        </w:rPr>
        <w:t xml:space="preserve">». </w:t>
      </w:r>
      <w:r w:rsidR="004F0241">
        <w:rPr>
          <w:sz w:val="24"/>
          <w:szCs w:val="24"/>
        </w:rPr>
        <w:t>Авторы описывают такой феномен</w:t>
      </w:r>
      <w:r w:rsidR="00FA3A35">
        <w:rPr>
          <w:rStyle w:val="a5"/>
          <w:sz w:val="24"/>
          <w:szCs w:val="24"/>
        </w:rPr>
        <w:footnoteReference w:id="3"/>
      </w:r>
      <w:r w:rsidR="00312B5C">
        <w:rPr>
          <w:sz w:val="24"/>
          <w:szCs w:val="24"/>
        </w:rPr>
        <w:t>: «…в языке можно наблюдать странные явления: синонимы, в разное время пришедшие в язык, ведут себя по-разному: один «не стареет»</w:t>
      </w:r>
      <w:r w:rsidR="004F0241">
        <w:rPr>
          <w:sz w:val="24"/>
          <w:szCs w:val="24"/>
        </w:rPr>
        <w:t>… , а другой быстро повзрослел и пополнил ряды ветеранов». В пример приводятся слова «телевидение», прочно вошедшее в наш обиход и почти не напоминающее о своем относительно недавнем происхождении, и слово «дальновидение» - про</w:t>
      </w:r>
      <w:r w:rsidR="00083FE1">
        <w:rPr>
          <w:sz w:val="24"/>
          <w:szCs w:val="24"/>
        </w:rPr>
        <w:t>фессионализм, появившийся ранее «телевидения», но так никогда и не ставший хоть сколько-нибудь популярным</w:t>
      </w:r>
      <w:r w:rsidR="00FA3A35">
        <w:rPr>
          <w:rStyle w:val="a5"/>
          <w:sz w:val="24"/>
          <w:szCs w:val="24"/>
        </w:rPr>
        <w:footnoteReference w:id="4"/>
      </w:r>
      <w:r w:rsidR="00083FE1">
        <w:rPr>
          <w:sz w:val="24"/>
          <w:szCs w:val="24"/>
        </w:rPr>
        <w:t>. Неологизмы делятся на индивидуально-с</w:t>
      </w:r>
      <w:r w:rsidR="00BF13CD">
        <w:rPr>
          <w:sz w:val="24"/>
          <w:szCs w:val="24"/>
        </w:rPr>
        <w:t>тилистические (окказионализмы),</w:t>
      </w:r>
      <w:r w:rsidR="00083FE1">
        <w:rPr>
          <w:sz w:val="24"/>
          <w:szCs w:val="24"/>
        </w:rPr>
        <w:t xml:space="preserve"> общеязыковые</w:t>
      </w:r>
      <w:r w:rsidR="00BF13CD">
        <w:rPr>
          <w:sz w:val="24"/>
          <w:szCs w:val="24"/>
        </w:rPr>
        <w:t xml:space="preserve"> неологизмы и лексико-семантические неологизмы</w:t>
      </w:r>
      <w:r w:rsidR="00083FE1">
        <w:rPr>
          <w:sz w:val="24"/>
          <w:szCs w:val="24"/>
        </w:rPr>
        <w:t xml:space="preserve">. </w:t>
      </w:r>
    </w:p>
    <w:p w:rsidR="00BF13CD" w:rsidRDefault="00083FE1" w:rsidP="00534B01">
      <w:pPr>
        <w:spacing w:line="48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Индивидуально-стилистические неологизмы в большом количестве встречаются в художественной литературе</w:t>
      </w:r>
      <w:r w:rsidR="00FA3A35">
        <w:rPr>
          <w:rStyle w:val="a5"/>
          <w:sz w:val="24"/>
          <w:szCs w:val="24"/>
        </w:rPr>
        <w:footnoteReference w:id="5"/>
      </w:r>
      <w:r>
        <w:rPr>
          <w:sz w:val="24"/>
          <w:szCs w:val="24"/>
        </w:rPr>
        <w:t>. «Какие же стилистические цели преследуют писатели, создавая новые слова? Первая и главная цель, к которой, очевидно, стремятся все художники слова, - создать яркий образ</w:t>
      </w:r>
      <w:r w:rsidR="00E04848">
        <w:rPr>
          <w:sz w:val="24"/>
          <w:szCs w:val="24"/>
        </w:rPr>
        <w:t xml:space="preserve">. Новые слова отличаются от обычных </w:t>
      </w:r>
      <w:r w:rsidR="00E04848">
        <w:rPr>
          <w:sz w:val="24"/>
          <w:szCs w:val="24"/>
        </w:rPr>
        <w:lastRenderedPageBreak/>
        <w:t>наименований первозданной свежестью… Индивидуально-стилистические неологизмы в сравнении с обычными словами нередко более ёмки по смыслу</w:t>
      </w:r>
      <w:r>
        <w:rPr>
          <w:sz w:val="24"/>
          <w:szCs w:val="24"/>
        </w:rPr>
        <w:t>»</w:t>
      </w:r>
      <w:r w:rsidR="00E924E3">
        <w:rPr>
          <w:sz w:val="24"/>
          <w:szCs w:val="24"/>
        </w:rPr>
        <w:t>,</w:t>
      </w:r>
      <w:r w:rsidR="00E04848">
        <w:rPr>
          <w:sz w:val="24"/>
          <w:szCs w:val="24"/>
        </w:rPr>
        <w:t xml:space="preserve"> - считают Розенталь и Голуб</w:t>
      </w:r>
      <w:r w:rsidR="00FA3A35">
        <w:rPr>
          <w:rStyle w:val="a5"/>
          <w:sz w:val="24"/>
          <w:szCs w:val="24"/>
        </w:rPr>
        <w:footnoteReference w:id="6"/>
      </w:r>
      <w:r w:rsidR="00F46594">
        <w:rPr>
          <w:sz w:val="24"/>
          <w:szCs w:val="24"/>
        </w:rPr>
        <w:t xml:space="preserve">. </w:t>
      </w:r>
      <w:r w:rsidR="00E924E3">
        <w:rPr>
          <w:sz w:val="24"/>
          <w:szCs w:val="24"/>
        </w:rPr>
        <w:t>В подтверждение своего тезиса они приводят</w:t>
      </w:r>
      <w:r w:rsidR="00E04848">
        <w:rPr>
          <w:sz w:val="24"/>
          <w:szCs w:val="24"/>
        </w:rPr>
        <w:t xml:space="preserve"> неологизмы В. Маяковского</w:t>
      </w:r>
      <w:r w:rsidR="00E924E3">
        <w:rPr>
          <w:rStyle w:val="a5"/>
          <w:sz w:val="24"/>
          <w:szCs w:val="24"/>
        </w:rPr>
        <w:footnoteReference w:id="7"/>
      </w:r>
      <w:r w:rsidR="00E04848">
        <w:rPr>
          <w:sz w:val="24"/>
          <w:szCs w:val="24"/>
        </w:rPr>
        <w:t>:</w:t>
      </w:r>
      <w:r w:rsidR="00F46594">
        <w:rPr>
          <w:sz w:val="24"/>
          <w:szCs w:val="24"/>
        </w:rPr>
        <w:t xml:space="preserve"> «</w:t>
      </w:r>
      <w:proofErr w:type="spellStart"/>
      <w:r w:rsidR="00F46594">
        <w:rPr>
          <w:sz w:val="24"/>
          <w:szCs w:val="24"/>
        </w:rPr>
        <w:t>штыкастый</w:t>
      </w:r>
      <w:proofErr w:type="spellEnd"/>
      <w:r w:rsidR="00F46594">
        <w:rPr>
          <w:sz w:val="24"/>
          <w:szCs w:val="24"/>
        </w:rPr>
        <w:t>» вместо «колючий», «</w:t>
      </w:r>
      <w:proofErr w:type="spellStart"/>
      <w:r w:rsidR="00F46594">
        <w:rPr>
          <w:sz w:val="24"/>
          <w:szCs w:val="24"/>
        </w:rPr>
        <w:t>кафейный</w:t>
      </w:r>
      <w:proofErr w:type="spellEnd"/>
      <w:r w:rsidR="00F46594">
        <w:rPr>
          <w:sz w:val="24"/>
          <w:szCs w:val="24"/>
        </w:rPr>
        <w:t>» (гомон), вместо «в кафе»</w:t>
      </w:r>
      <w:r w:rsidR="00E04848">
        <w:rPr>
          <w:sz w:val="24"/>
          <w:szCs w:val="24"/>
        </w:rPr>
        <w:t xml:space="preserve"> слово «</w:t>
      </w:r>
      <w:proofErr w:type="spellStart"/>
      <w:r w:rsidR="00E04848">
        <w:rPr>
          <w:sz w:val="24"/>
          <w:szCs w:val="24"/>
        </w:rPr>
        <w:t>прижаблен</w:t>
      </w:r>
      <w:proofErr w:type="spellEnd"/>
      <w:r w:rsidR="00E04848">
        <w:rPr>
          <w:sz w:val="24"/>
          <w:szCs w:val="24"/>
        </w:rPr>
        <w:t>» (город) заменяет «распластан, как жаба», «</w:t>
      </w:r>
      <w:proofErr w:type="spellStart"/>
      <w:r w:rsidR="00E04848">
        <w:rPr>
          <w:sz w:val="24"/>
          <w:szCs w:val="24"/>
        </w:rPr>
        <w:t>декабрый</w:t>
      </w:r>
      <w:proofErr w:type="spellEnd"/>
      <w:r w:rsidR="00E04848">
        <w:rPr>
          <w:sz w:val="24"/>
          <w:szCs w:val="24"/>
        </w:rPr>
        <w:t>» - «поэтическое определение настроения лирического героя, проявившегося в восприятии природы»</w:t>
      </w:r>
      <w:r w:rsidR="00FA3A35">
        <w:rPr>
          <w:rStyle w:val="a5"/>
          <w:sz w:val="24"/>
          <w:szCs w:val="24"/>
        </w:rPr>
        <w:footnoteReference w:id="8"/>
      </w:r>
      <w:r w:rsidR="00F46594">
        <w:rPr>
          <w:sz w:val="24"/>
          <w:szCs w:val="24"/>
        </w:rPr>
        <w:t>. Однако, как замечают авторы, в истории отечественной литературы можно найти множество неудачных примеров словотворчества, лишь затруднявшего понимание</w:t>
      </w:r>
      <w:r w:rsidR="005F2995">
        <w:rPr>
          <w:sz w:val="24"/>
          <w:szCs w:val="24"/>
        </w:rPr>
        <w:t xml:space="preserve"> произведения и вредившего общей эстетике. </w:t>
      </w:r>
    </w:p>
    <w:p w:rsidR="00D626F4" w:rsidRDefault="005F2995" w:rsidP="00534B01">
      <w:pPr>
        <w:spacing w:line="48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Общеязыковые неологизмы появляются в ответ на необходимость дать наименование новому предмету или явлению и их </w:t>
      </w:r>
      <w:proofErr w:type="spellStart"/>
      <w:r>
        <w:rPr>
          <w:sz w:val="24"/>
          <w:szCs w:val="24"/>
        </w:rPr>
        <w:t>закрепляемость</w:t>
      </w:r>
      <w:proofErr w:type="spellEnd"/>
      <w:r>
        <w:rPr>
          <w:sz w:val="24"/>
          <w:szCs w:val="24"/>
        </w:rPr>
        <w:t xml:space="preserve"> прежде всего зависит от наличия потребности в нем. Также важную роль играет </w:t>
      </w:r>
      <w:r w:rsidR="00BF13CD">
        <w:rPr>
          <w:sz w:val="24"/>
          <w:szCs w:val="24"/>
        </w:rPr>
        <w:t>эстетичность неологизма</w:t>
      </w:r>
      <w:r>
        <w:rPr>
          <w:sz w:val="24"/>
          <w:szCs w:val="24"/>
        </w:rPr>
        <w:t xml:space="preserve">: </w:t>
      </w:r>
      <w:r w:rsidR="00BF13CD">
        <w:rPr>
          <w:sz w:val="24"/>
          <w:szCs w:val="24"/>
        </w:rPr>
        <w:t xml:space="preserve">«Например, вместо слова учитель в 20-е годы стали употреблять слово </w:t>
      </w:r>
      <w:proofErr w:type="spellStart"/>
      <w:r w:rsidR="00BF13CD">
        <w:rPr>
          <w:sz w:val="24"/>
          <w:szCs w:val="24"/>
        </w:rPr>
        <w:t>шкраб</w:t>
      </w:r>
      <w:proofErr w:type="spellEnd"/>
      <w:r w:rsidR="00BF13CD">
        <w:rPr>
          <w:sz w:val="24"/>
          <w:szCs w:val="24"/>
        </w:rPr>
        <w:t xml:space="preserve"> (то есть сокращенно – школьный работник). Но такое неблагозвучное слово, конечно, не могло долго удерживаться в языке» </w:t>
      </w:r>
      <w:r>
        <w:rPr>
          <w:sz w:val="24"/>
          <w:szCs w:val="24"/>
        </w:rPr>
        <w:t>- этим историческим фактом авторы подтверждают свою мысль</w:t>
      </w:r>
      <w:r w:rsidR="00FA3A35">
        <w:rPr>
          <w:sz w:val="24"/>
          <w:szCs w:val="24"/>
        </w:rPr>
        <w:t>.</w:t>
      </w:r>
      <w:r w:rsidR="00FA3A35">
        <w:rPr>
          <w:rStyle w:val="a5"/>
          <w:sz w:val="24"/>
          <w:szCs w:val="24"/>
        </w:rPr>
        <w:footnoteReference w:id="9"/>
      </w:r>
    </w:p>
    <w:p w:rsidR="00BF13CD" w:rsidRDefault="00BF13CD" w:rsidP="00534B01">
      <w:pPr>
        <w:spacing w:line="48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Лексико-семантические неологизмы представляют собой уже существующие слова, получившие</w:t>
      </w:r>
      <w:r w:rsidR="00534B01">
        <w:rPr>
          <w:sz w:val="24"/>
          <w:szCs w:val="24"/>
        </w:rPr>
        <w:t xml:space="preserve"> новое значение:</w:t>
      </w:r>
      <w:r>
        <w:rPr>
          <w:sz w:val="24"/>
          <w:szCs w:val="24"/>
        </w:rPr>
        <w:t xml:space="preserve"> «П</w:t>
      </w:r>
      <w:r w:rsidRPr="00BF13CD">
        <w:rPr>
          <w:sz w:val="24"/>
          <w:szCs w:val="24"/>
        </w:rPr>
        <w:t>ионер в советское время приобрело значение «член детской организации», а прежде оно употреблялось как «первооткрыватель», да и сейчас ему иногда придают такой смысл, например: Пионеры ос</w:t>
      </w:r>
      <w:r w:rsidRPr="00BF13CD">
        <w:rPr>
          <w:sz w:val="24"/>
          <w:szCs w:val="24"/>
        </w:rPr>
        <w:softHyphen/>
        <w:t>воения космоса Ю. Гагарин, Г. Титов, В. Терешкова известны всему миру»</w:t>
      </w:r>
      <w:r w:rsidR="00534B01">
        <w:rPr>
          <w:sz w:val="24"/>
          <w:szCs w:val="24"/>
        </w:rPr>
        <w:t>.</w:t>
      </w:r>
      <w:r w:rsidR="00FA3A35">
        <w:rPr>
          <w:rStyle w:val="a5"/>
          <w:sz w:val="24"/>
          <w:szCs w:val="24"/>
        </w:rPr>
        <w:footnoteReference w:id="10"/>
      </w:r>
    </w:p>
    <w:p w:rsidR="00534B01" w:rsidRDefault="00534B01" w:rsidP="00534B01">
      <w:pPr>
        <w:spacing w:line="48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>К тому же, авторы отмечают такую группу слов как «потенциальные слова»</w:t>
      </w:r>
      <w:r w:rsidR="00FA3A35">
        <w:rPr>
          <w:rStyle w:val="a5"/>
          <w:sz w:val="24"/>
          <w:szCs w:val="24"/>
        </w:rPr>
        <w:footnoteReference w:id="11"/>
      </w:r>
      <w:r>
        <w:rPr>
          <w:sz w:val="24"/>
          <w:szCs w:val="24"/>
        </w:rPr>
        <w:t>. Лингвист Г.О. Винокур</w:t>
      </w:r>
      <w:r w:rsidR="00E924E3">
        <w:rPr>
          <w:rStyle w:val="a5"/>
          <w:sz w:val="24"/>
          <w:szCs w:val="24"/>
        </w:rPr>
        <w:footnoteReference w:id="12"/>
      </w:r>
      <w:r>
        <w:rPr>
          <w:sz w:val="24"/>
          <w:szCs w:val="24"/>
        </w:rPr>
        <w:t xml:space="preserve"> дал такое понятие этим словам</w:t>
      </w:r>
      <w:r w:rsidR="00E924E3">
        <w:rPr>
          <w:rStyle w:val="a5"/>
          <w:sz w:val="24"/>
          <w:szCs w:val="24"/>
        </w:rPr>
        <w:footnoteReference w:id="13"/>
      </w:r>
      <w:r>
        <w:rPr>
          <w:sz w:val="24"/>
          <w:szCs w:val="24"/>
        </w:rPr>
        <w:t>: «</w:t>
      </w:r>
      <w:r w:rsidR="00E924E3" w:rsidRPr="00E924E3">
        <w:rPr>
          <w:sz w:val="24"/>
          <w:szCs w:val="24"/>
        </w:rPr>
        <w:t>В каждом языке, наряду с употребляющимися в повседневной практике словами, существуют, кроме того, своего рода "потенциальные слова", т.е. слова, которых фактически нет, но которые могли бы быть, если бы того захотела историческая случайность. </w:t>
      </w:r>
      <w:r w:rsidR="00E924E3" w:rsidRPr="00E924E3">
        <w:rPr>
          <w:i/>
          <w:iCs/>
          <w:sz w:val="24"/>
          <w:szCs w:val="24"/>
        </w:rPr>
        <w:t>Слониха</w:t>
      </w:r>
      <w:r w:rsidR="00E924E3" w:rsidRPr="00E924E3">
        <w:rPr>
          <w:sz w:val="24"/>
          <w:szCs w:val="24"/>
        </w:rPr>
        <w:t> (при </w:t>
      </w:r>
      <w:r w:rsidR="00E924E3" w:rsidRPr="00E924E3">
        <w:rPr>
          <w:i/>
          <w:iCs/>
          <w:sz w:val="24"/>
          <w:szCs w:val="24"/>
        </w:rPr>
        <w:t>слон</w:t>
      </w:r>
      <w:r w:rsidR="00E924E3" w:rsidRPr="00E924E3">
        <w:rPr>
          <w:sz w:val="24"/>
          <w:szCs w:val="24"/>
        </w:rPr>
        <w:t>) - это слово реальное и историческое. Но рядом с ним, как его тень, возникает потенциальное слово </w:t>
      </w:r>
      <w:proofErr w:type="spellStart"/>
      <w:r w:rsidR="00E924E3" w:rsidRPr="00E924E3">
        <w:rPr>
          <w:i/>
          <w:iCs/>
          <w:sz w:val="24"/>
          <w:szCs w:val="24"/>
        </w:rPr>
        <w:t>китиха</w:t>
      </w:r>
      <w:proofErr w:type="spellEnd"/>
      <w:r w:rsidR="00E924E3" w:rsidRPr="00E924E3">
        <w:rPr>
          <w:sz w:val="24"/>
          <w:szCs w:val="24"/>
        </w:rPr>
        <w:t>, как женский род к </w:t>
      </w:r>
      <w:r w:rsidR="00E924E3" w:rsidRPr="00E924E3">
        <w:rPr>
          <w:i/>
          <w:iCs/>
          <w:sz w:val="24"/>
          <w:szCs w:val="24"/>
        </w:rPr>
        <w:t>кит</w:t>
      </w:r>
      <w:r w:rsidR="00E924E3">
        <w:rPr>
          <w:sz w:val="24"/>
          <w:szCs w:val="24"/>
        </w:rPr>
        <w:t>»</w:t>
      </w:r>
      <w:r w:rsidR="0030424F">
        <w:rPr>
          <w:sz w:val="24"/>
          <w:szCs w:val="24"/>
        </w:rPr>
        <w:t>.</w:t>
      </w:r>
      <w:r w:rsidR="0030424F">
        <w:rPr>
          <w:rStyle w:val="a5"/>
          <w:sz w:val="24"/>
          <w:szCs w:val="24"/>
        </w:rPr>
        <w:footnoteReference w:id="14"/>
      </w:r>
    </w:p>
    <w:p w:rsidR="002F3347" w:rsidRPr="00E924E3" w:rsidRDefault="002F3347" w:rsidP="00534B01">
      <w:pPr>
        <w:spacing w:line="48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Подводя итог, можно прийти к выводу, что лексика современного русского языка динамично развивается и диверсифицируется</w:t>
      </w:r>
      <w:bookmarkStart w:id="0" w:name="_GoBack"/>
      <w:bookmarkEnd w:id="0"/>
      <w:r>
        <w:rPr>
          <w:sz w:val="24"/>
          <w:szCs w:val="24"/>
        </w:rPr>
        <w:t>, обладает очень большим словотворческим потенциалом.</w:t>
      </w:r>
    </w:p>
    <w:sectPr w:rsidR="002F3347" w:rsidRPr="00E92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8FE" w:rsidRDefault="00C068FE" w:rsidP="00E924E3">
      <w:pPr>
        <w:spacing w:after="0" w:line="240" w:lineRule="auto"/>
      </w:pPr>
      <w:r>
        <w:separator/>
      </w:r>
    </w:p>
  </w:endnote>
  <w:endnote w:type="continuationSeparator" w:id="0">
    <w:p w:rsidR="00C068FE" w:rsidRDefault="00C068FE" w:rsidP="00E9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8FE" w:rsidRDefault="00C068FE" w:rsidP="00E924E3">
      <w:pPr>
        <w:spacing w:after="0" w:line="240" w:lineRule="auto"/>
      </w:pPr>
      <w:r>
        <w:separator/>
      </w:r>
    </w:p>
  </w:footnote>
  <w:footnote w:type="continuationSeparator" w:id="0">
    <w:p w:rsidR="00C068FE" w:rsidRDefault="00C068FE" w:rsidP="00E924E3">
      <w:pPr>
        <w:spacing w:after="0" w:line="240" w:lineRule="auto"/>
      </w:pPr>
      <w:r>
        <w:continuationSeparator/>
      </w:r>
    </w:p>
  </w:footnote>
  <w:footnote w:id="1">
    <w:p w:rsidR="00AC5EE1" w:rsidRDefault="00AC5EE1">
      <w:pPr>
        <w:pStyle w:val="a3"/>
      </w:pPr>
      <w:r>
        <w:rPr>
          <w:rStyle w:val="a5"/>
        </w:rPr>
        <w:footnoteRef/>
      </w:r>
      <w:r>
        <w:t xml:space="preserve"> Ирина Борисовна Го</w:t>
      </w:r>
      <w:r w:rsidRPr="00AC5EE1">
        <w:t>луб (род. </w:t>
      </w:r>
      <w:hyperlink r:id="rId1" w:tooltip="5 мая" w:history="1">
        <w:r w:rsidRPr="00AC5EE1">
          <w:t>5 мая</w:t>
        </w:r>
      </w:hyperlink>
      <w:r w:rsidRPr="00AC5EE1">
        <w:t> </w:t>
      </w:r>
      <w:hyperlink r:id="rId2" w:tooltip="1932 год" w:history="1">
        <w:r w:rsidRPr="00AC5EE1">
          <w:t>1932</w:t>
        </w:r>
      </w:hyperlink>
      <w:r w:rsidRPr="00AC5EE1">
        <w:t>) — советский и российский учёный-языковед</w:t>
      </w:r>
      <w:r>
        <w:t>, Дитмар Эльяшевич Розента</w:t>
      </w:r>
      <w:r w:rsidRPr="00AC5EE1">
        <w:t>ль (</w:t>
      </w:r>
      <w:hyperlink r:id="rId3" w:tooltip="1900 год" w:history="1">
        <w:r w:rsidRPr="00AC5EE1">
          <w:t>1900</w:t>
        </w:r>
      </w:hyperlink>
      <w:r>
        <w:t>-1</w:t>
      </w:r>
      <w:hyperlink r:id="rId4" w:tooltip="1994" w:history="1">
        <w:r w:rsidRPr="00AC5EE1">
          <w:t>994</w:t>
        </w:r>
      </w:hyperlink>
      <w:r w:rsidRPr="00AC5EE1">
        <w:t>) — советский и российский </w:t>
      </w:r>
      <w:hyperlink r:id="rId5" w:tooltip="Лингвист" w:history="1">
        <w:r w:rsidRPr="00AC5EE1">
          <w:t>лингвист</w:t>
        </w:r>
      </w:hyperlink>
    </w:p>
  </w:footnote>
  <w:footnote w:id="2">
    <w:p w:rsidR="00FA3A35" w:rsidRPr="00FA3A35" w:rsidRDefault="00FA3A35" w:rsidP="00FA3A35">
      <w:pPr>
        <w:pStyle w:val="a3"/>
      </w:pPr>
      <w:r w:rsidRPr="00FA3A35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AC5EE1">
        <w:t xml:space="preserve"> </w:t>
      </w:r>
      <w:r>
        <w:t>Д.</w:t>
      </w:r>
      <w:r w:rsidRPr="00FA3A35">
        <w:t>Э. Розенталь, И. Б. Голуб «Секреты стилистики. Правила хорошей речи» // Айрис-Пресс. 2006</w:t>
      </w:r>
      <w:r>
        <w:rPr>
          <w:rStyle w:val="a5"/>
          <w:vertAlign w:val="baseline"/>
        </w:rPr>
        <w:t>. -</w:t>
      </w:r>
      <w:r>
        <w:t xml:space="preserve"> с. </w:t>
      </w:r>
      <w:r>
        <w:rPr>
          <w:rStyle w:val="a5"/>
          <w:vertAlign w:val="baseline"/>
        </w:rPr>
        <w:t>107</w:t>
      </w:r>
    </w:p>
  </w:footnote>
  <w:footnote w:id="3">
    <w:p w:rsidR="00FA3A35" w:rsidRDefault="00FA3A35" w:rsidP="00FA3A35">
      <w:pPr>
        <w:pStyle w:val="a3"/>
      </w:pPr>
      <w:r>
        <w:rPr>
          <w:rStyle w:val="a5"/>
        </w:rPr>
        <w:footnoteRef/>
      </w:r>
      <w:r>
        <w:t xml:space="preserve"> Там же, с. 107</w:t>
      </w:r>
    </w:p>
  </w:footnote>
  <w:footnote w:id="4">
    <w:p w:rsidR="00FA3A35" w:rsidRDefault="00FA3A35">
      <w:pPr>
        <w:pStyle w:val="a3"/>
      </w:pPr>
      <w:r>
        <w:rPr>
          <w:rStyle w:val="a5"/>
        </w:rPr>
        <w:footnoteRef/>
      </w:r>
      <w:r>
        <w:t xml:space="preserve"> Там же, с. 108</w:t>
      </w:r>
    </w:p>
  </w:footnote>
  <w:footnote w:id="5">
    <w:p w:rsidR="00FA3A35" w:rsidRDefault="00FA3A35">
      <w:pPr>
        <w:pStyle w:val="a3"/>
      </w:pPr>
      <w:r>
        <w:rPr>
          <w:rStyle w:val="a5"/>
        </w:rPr>
        <w:footnoteRef/>
      </w:r>
      <w:r>
        <w:t xml:space="preserve"> Там же, с.108</w:t>
      </w:r>
    </w:p>
  </w:footnote>
  <w:footnote w:id="6">
    <w:p w:rsidR="00FA3A35" w:rsidRDefault="00FA3A35">
      <w:pPr>
        <w:pStyle w:val="a3"/>
      </w:pPr>
      <w:r>
        <w:rPr>
          <w:rStyle w:val="a5"/>
        </w:rPr>
        <w:footnoteRef/>
      </w:r>
      <w:r>
        <w:t xml:space="preserve"> Д.</w:t>
      </w:r>
      <w:r w:rsidRPr="00FA3A35">
        <w:t>Э. Розенталь, И. Б. Голуб «Секреты стилистики. Правила хорошей речи» // Айрис-Пресс. 2006</w:t>
      </w:r>
      <w:r>
        <w:rPr>
          <w:rStyle w:val="a5"/>
          <w:vertAlign w:val="baseline"/>
        </w:rPr>
        <w:t xml:space="preserve">. </w:t>
      </w:r>
      <w:r>
        <w:t>- с. 109</w:t>
      </w:r>
    </w:p>
  </w:footnote>
  <w:footnote w:id="7">
    <w:p w:rsidR="00E924E3" w:rsidRDefault="00E924E3">
      <w:pPr>
        <w:pStyle w:val="a3"/>
      </w:pPr>
      <w:r>
        <w:rPr>
          <w:rStyle w:val="a5"/>
        </w:rPr>
        <w:footnoteRef/>
      </w:r>
      <w:r>
        <w:t xml:space="preserve"> В.В. Маяковский – русский и советский поэт (1893-1930)</w:t>
      </w:r>
    </w:p>
  </w:footnote>
  <w:footnote w:id="8">
    <w:p w:rsidR="00FA3A35" w:rsidRDefault="00FA3A35">
      <w:pPr>
        <w:pStyle w:val="a3"/>
      </w:pPr>
      <w:r>
        <w:rPr>
          <w:rStyle w:val="a5"/>
        </w:rPr>
        <w:footnoteRef/>
      </w:r>
      <w:r>
        <w:t xml:space="preserve"> Там же, с. 109</w:t>
      </w:r>
    </w:p>
  </w:footnote>
  <w:footnote w:id="9">
    <w:p w:rsidR="00FA3A35" w:rsidRDefault="00FA3A35">
      <w:pPr>
        <w:pStyle w:val="a3"/>
      </w:pPr>
      <w:r>
        <w:rPr>
          <w:rStyle w:val="a5"/>
        </w:rPr>
        <w:footnoteRef/>
      </w:r>
      <w:r>
        <w:t xml:space="preserve"> Там же, с. 109</w:t>
      </w:r>
    </w:p>
  </w:footnote>
  <w:footnote w:id="10">
    <w:p w:rsidR="00FA3A35" w:rsidRPr="00FA3A35" w:rsidRDefault="00FA3A35">
      <w:pPr>
        <w:pStyle w:val="a3"/>
      </w:pPr>
      <w:r>
        <w:rPr>
          <w:rStyle w:val="a5"/>
        </w:rPr>
        <w:footnoteRef/>
      </w:r>
      <w:r>
        <w:t xml:space="preserve"> Там же, с. 110</w:t>
      </w:r>
    </w:p>
  </w:footnote>
  <w:footnote w:id="11">
    <w:p w:rsidR="00FA3A35" w:rsidRDefault="00FA3A35">
      <w:pPr>
        <w:pStyle w:val="a3"/>
      </w:pPr>
      <w:r>
        <w:rPr>
          <w:rStyle w:val="a5"/>
        </w:rPr>
        <w:footnoteRef/>
      </w:r>
      <w:r>
        <w:t xml:space="preserve"> Д.</w:t>
      </w:r>
      <w:r w:rsidRPr="00FA3A35">
        <w:t>Э. Розенталь, И. Б. Голуб «Секреты стилистики. Правила хорошей речи» // Айрис-Пресс. 2006</w:t>
      </w:r>
      <w:r>
        <w:rPr>
          <w:rStyle w:val="a5"/>
          <w:vertAlign w:val="baseline"/>
        </w:rPr>
        <w:t>.</w:t>
      </w:r>
      <w:r>
        <w:t xml:space="preserve"> – с.110</w:t>
      </w:r>
    </w:p>
  </w:footnote>
  <w:footnote w:id="12">
    <w:p w:rsidR="00E924E3" w:rsidRDefault="00E924E3">
      <w:pPr>
        <w:pStyle w:val="a3"/>
      </w:pPr>
      <w:r>
        <w:rPr>
          <w:rStyle w:val="a5"/>
        </w:rPr>
        <w:footnoteRef/>
      </w:r>
      <w:r>
        <w:t xml:space="preserve"> Г.О. Винокур – советский лингвист и литературовед (1896-1947)</w:t>
      </w:r>
    </w:p>
  </w:footnote>
  <w:footnote w:id="13">
    <w:p w:rsidR="00E924E3" w:rsidRDefault="00E924E3">
      <w:pPr>
        <w:pStyle w:val="a3"/>
      </w:pPr>
      <w:r>
        <w:rPr>
          <w:rStyle w:val="a5"/>
        </w:rPr>
        <w:footnoteRef/>
      </w:r>
      <w:r>
        <w:t xml:space="preserve"> Г.О. Винокур «</w:t>
      </w:r>
      <w:r w:rsidRPr="00E924E3">
        <w:t xml:space="preserve">О </w:t>
      </w:r>
      <w:r>
        <w:t>языке художественной литературы»</w:t>
      </w:r>
      <w:r w:rsidR="0030424F">
        <w:t>, с.326</w:t>
      </w:r>
      <w:r>
        <w:t xml:space="preserve"> // </w:t>
      </w:r>
      <w:r w:rsidR="0030424F">
        <w:t>Высшая школа.</w:t>
      </w:r>
      <w:r w:rsidRPr="00E924E3">
        <w:t xml:space="preserve"> 1991. </w:t>
      </w:r>
    </w:p>
  </w:footnote>
  <w:footnote w:id="14">
    <w:p w:rsidR="0030424F" w:rsidRDefault="0030424F">
      <w:pPr>
        <w:pStyle w:val="a3"/>
      </w:pPr>
      <w:r>
        <w:rPr>
          <w:rStyle w:val="a5"/>
        </w:rPr>
        <w:footnoteRef/>
      </w:r>
      <w:r>
        <w:t xml:space="preserve"> Курсив авторский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0794"/>
    <w:multiLevelType w:val="hybridMultilevel"/>
    <w:tmpl w:val="FE6E6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8B"/>
    <w:rsid w:val="00083FE1"/>
    <w:rsid w:val="001B60D4"/>
    <w:rsid w:val="002E1719"/>
    <w:rsid w:val="002F3347"/>
    <w:rsid w:val="0030424F"/>
    <w:rsid w:val="00312B5C"/>
    <w:rsid w:val="003E1331"/>
    <w:rsid w:val="004F0241"/>
    <w:rsid w:val="00534B01"/>
    <w:rsid w:val="005F2995"/>
    <w:rsid w:val="007910D8"/>
    <w:rsid w:val="007D1153"/>
    <w:rsid w:val="008B1CF2"/>
    <w:rsid w:val="008E356F"/>
    <w:rsid w:val="00A03948"/>
    <w:rsid w:val="00AA0B6B"/>
    <w:rsid w:val="00AC5EE1"/>
    <w:rsid w:val="00BF13CD"/>
    <w:rsid w:val="00C068FE"/>
    <w:rsid w:val="00C2048B"/>
    <w:rsid w:val="00D626F4"/>
    <w:rsid w:val="00D85E1C"/>
    <w:rsid w:val="00E04848"/>
    <w:rsid w:val="00E924E3"/>
    <w:rsid w:val="00F46594"/>
    <w:rsid w:val="00F87A99"/>
    <w:rsid w:val="00FA3A35"/>
    <w:rsid w:val="00FA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2C6D"/>
  <w15:chartTrackingRefBased/>
  <w15:docId w15:val="{9982D713-E0AB-4462-ADAC-FB462B4A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F13CD"/>
  </w:style>
  <w:style w:type="paragraph" w:styleId="a3">
    <w:name w:val="footnote text"/>
    <w:basedOn w:val="a"/>
    <w:link w:val="a4"/>
    <w:uiPriority w:val="99"/>
    <w:unhideWhenUsed/>
    <w:rsid w:val="00E924E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E924E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924E3"/>
    <w:rPr>
      <w:vertAlign w:val="superscript"/>
    </w:rPr>
  </w:style>
  <w:style w:type="character" w:styleId="a6">
    <w:name w:val="Emphasis"/>
    <w:basedOn w:val="a0"/>
    <w:uiPriority w:val="20"/>
    <w:qFormat/>
    <w:rsid w:val="00E924E3"/>
    <w:rPr>
      <w:i/>
      <w:iCs/>
    </w:rPr>
  </w:style>
  <w:style w:type="paragraph" w:styleId="a7">
    <w:name w:val="List Paragraph"/>
    <w:basedOn w:val="a"/>
    <w:uiPriority w:val="34"/>
    <w:qFormat/>
    <w:rsid w:val="002E1719"/>
    <w:pPr>
      <w:spacing w:after="200" w:line="276" w:lineRule="auto"/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AC5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u.wikipedia.org/wiki/1900_%D0%B3%D0%BE%D0%B4" TargetMode="External"/><Relationship Id="rId2" Type="http://schemas.openxmlformats.org/officeDocument/2006/relationships/hyperlink" Target="https://ru.wikipedia.org/wiki/1932_%D0%B3%D0%BE%D0%B4" TargetMode="External"/><Relationship Id="rId1" Type="http://schemas.openxmlformats.org/officeDocument/2006/relationships/hyperlink" Target="https://ru.wikipedia.org/wiki/5_%D0%BC%D0%B0%D1%8F" TargetMode="External"/><Relationship Id="rId5" Type="http://schemas.openxmlformats.org/officeDocument/2006/relationships/hyperlink" Target="https://ru.wikipedia.org/wiki/%D0%9B%D0%B8%D0%BD%D0%B3%D0%B2%D0%B8%D1%81%D1%82" TargetMode="External"/><Relationship Id="rId4" Type="http://schemas.openxmlformats.org/officeDocument/2006/relationships/hyperlink" Target="https://ru.wikipedia.org/wiki/19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BD250-5AA0-47AB-B466-49D5895F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РосСтэп</dc:creator>
  <cp:keywords/>
  <dc:description/>
  <cp:lastModifiedBy>РосСтэп</cp:lastModifiedBy>
  <cp:revision>8</cp:revision>
  <dcterms:created xsi:type="dcterms:W3CDTF">2016-12-08T18:36:00Z</dcterms:created>
  <dcterms:modified xsi:type="dcterms:W3CDTF">2016-12-15T19:41:00Z</dcterms:modified>
</cp:coreProperties>
</file>