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52"/>
          <w:szCs w:val="52"/>
          <w:rtl w:val="0"/>
        </w:rPr>
        <w:t xml:space="preserve">04 VP Batteries - Ecommerce Payment and Launch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Internal working document for the Digital Neighbour team. Confirm all items marked for approval before publication or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Ecommerce, Payment and Launch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Use the existing WordPress and WooCommerce foundation if a staging health check confirms it is secure and maintainable.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Do not begin with unrestricted online battery shipping. Launch a controlled hybrid model: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Enquiry and vehicle-confirmation for every automotive battery.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payment for approved SKUs and fulfilment methods.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Workshop pickup and clearly zoned local delivery first.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fitting booked or confirmed by the team.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Trade-account ordering handled separately from retail checkout.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Customer journeys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Urgent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Call or short form → confirm location and vehicle → test/quote → attend if available → fit → payment → recycle old battery.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Workshop retail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Find a battery or call → vehicle confirmation → workshop test → product and warranty explanation → fit/pay → recycle.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Online eligible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Select product → enter vehicle/application details → compatibility acknowledgement or staff approval → choose fulfilment → pay → confirmation and tax invoice.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Trade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Trade enquiry → business verification and approved terms → account pricing/order method → delivery/pickup → invoice/account payment.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Product eligibility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product may be sold online only when all are complete: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canonical SKU;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 title and image;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price and GST treatment;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stock or lead-time rule;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compatibility requirements;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warranty and use-case exclusions;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 and dimensions;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allowed fulfilment methods;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fitting availability;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 returns handling;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product status.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All other products should use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Enquire now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Confirm fitment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Payment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a New Zealand-supported gateway after comparing account ownership, fees, settlement, refunds and WooCommerce compatibility.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hosted card entry. Do not store card numbers on the VP Batteries site.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test mode first.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accepted cards and any bank-transfer/account options.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GST tax invoices.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 administrator access and use multi-factor authentication.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who can refund, change prices and view orders.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Trade credit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If VP Batteries wants online credit applications, obtain approved legal and accounting requirements before building the form. Potential fields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business name and NZBN;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trading name;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addresses and contacts;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accounts-payable email;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requested credit limit and terms;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references;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director/guarantor details where legally approved;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consent to credit checks;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 terms.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Do not collect sensitive credit information in a normal contact form or email attachment without an approved secure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Fulfilment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Define: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workshop pickup hours;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Christchurch delivery zones;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Canterbury mobile zones;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after-hours rules;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South Island freight-eligible products;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dangerous-goods carrier and packaging;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 price and free-delivery thresholds, if any;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happens if the customer selects the wrong battery;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old-battery return is required or optional.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Required policy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Terms and conditions.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Privacy policy.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 and pickup.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and cancellations.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Warranty policy.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account terms.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service and callout terms.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Battery safety and recycling.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current San Francisco returns placeholder must be removed.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Staging launch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backup and rollback plan.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WordPress, theme, plugin, PHP and licence audit.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Canonical product import.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Price, GST and stock approval.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 pages and policies.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gateway in test mode.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successful and failed payments.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refund, cancellation and stock restoration.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pickup, delivery and mobile-service orders.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retail and trade emails.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invoice details.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mobile layout, performance and accessibility.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analytics, call tracking and ecommerce events.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redirects, canonicals, sitemap, robots and noindex rules.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sign-off and timed launch.</w:t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Phase-two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Vehicle registration or make/model battery finder.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login and account reordering.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Saved fleet vehicles.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low-stock notifications.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request after completed orders.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Service-zone pricing automation.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Arial" w:cs="Arial" w:eastAsia="Arial" w:hAnsi="Arial"/>
      <w:b w:val="0"/>
      <w:b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Arial" w:cs="Arial" w:eastAsia="Arial" w:hAnsi="Arial"/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Arial" w:cs="Arial" w:eastAsia="Arial" w:hAnsi="Arial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