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이중 출품 개요(아래)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 개요(원고 미작성)</w:t>
      </w:r>
    </w:p>
    <w:p>
      <w:r>
        <w:rPr>
          <w:rFonts w:ascii="Malgun Gothic" w:hAnsi="Malgun Gothic" w:eastAsia="Malgun Gothic" w:cs="Malgun Gothic"/>
          <w:b w:val="0"/>
        </w:rPr>
        <w:t>부문 규정(팀 인원·제출물)을 원문으로 확인하기 전에는 쓰지 않는다. 가능하다면 다음과 같이 나눈다.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신규: `_submit/04-fintech-submit-2026-10-06.md` · `10-dic2026/draft.md` · `09-digitalsolveup/detailed-plan.md`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