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공공행정자료 결합 기반 상업용 공실 정보의 데이터 품질과 계산 재현성</w:t>
      </w:r>
    </w:p>
    <w:p>
      <w:pPr>
        <w:pStyle w:val="Subtitle"/>
        <w:jc w:val="center"/>
      </w:pPr>
      <w:r>
        <w:t>PlaceOS Page</w:t>
      </w:r>
    </w:p>
    <w:p>
      <w:pPr>
        <w:pStyle w:val="Heading1"/>
      </w:pPr>
      <w:r>
        <w:t>초록</w:t>
      </w:r>
    </w:p>
    <w:p>
      <w:r>
        <w:rPr>
          <w:rFonts w:ascii="Malgun Gothic" w:hAnsi="Malgun Gothic" w:eastAsia="Malgun Gothic" w:cs="Malgun Gothic"/>
          <w:b w:val="0"/>
          <w:i w:val="0"/>
          <w:color w:val="000000"/>
        </w:rPr>
        <w:t>공실을 창업·재창업 순환의 단절로 보고, 유동인구와 영업 유지가 엇갈리는 현장 관찰에서 물리적 입지와 디지털 접근성의 관계를 연구 질문으로 삼았다. 오프라인 상권을 창업가의 의사결정 환경으로 디지털화하려면 공간 출력의 신뢰 범위를 먼저 밝혀야 한다.</w:t>
      </w:r>
    </w:p>
    <w:p>
      <w:r>
        <w:rPr>
          <w:rFonts w:ascii="Malgun Gothic" w:hAnsi="Malgun Gothic" w:eastAsia="Malgun Gothic" w:cs="Malgun Gothic"/>
          <w:b w:val="0"/>
          <w:i w:val="0"/>
          <w:color w:val="000000"/>
        </w:rPr>
        <w:t xml:space="preserve">공공행정자료를 결합한 상업용 공실 정보는 건물·층 단위의 상세한 출력을 제공한다. 그러나 출력이 상세하다는 사실과 그 값이 현실의 공실 상태를 충실히 표상한다는 사실은 서로 다른 검증을 요구한다. 본 연구는 PlaceOS의 동결 가공 자료를 대상으로 구조 일관성, 고정 입력 계산 재현, 폴리곤 행 순서에 대한 민감도를 평가하고, 현실 대응(표상 충실성)은 별도의 미평가 항목으로 분리한다. 검사 범위는 66거점의 52,642개 마스터 폴리곤이며 규칙별 적용 분모와 미평가 항목을 구분하였다. 기존 반복 실행에서 마스터·커버리지·서빙 비교는 66/66 일치했고, 별도 셀 재합산과 Gold→서빙 비교에서도 일치를 확인하였다. 그러나 기존 순서 변형 시험 198회에서 거점 전체 집계의 변화가 없었음에도 65거점의 격자 소속 또는 분자·분모는 영향을 받았다. 이는 고정 입력의 재현과 공간 출력의 순서 불변성이 구분되어야 함을 보여준다. 독립 현실 정답과 원천 관측시점 정렬이 확보되지 않아 현실 공실 정확도 및 오류 수정 효과는 평가하지 않았다. 별도 조건 G의 후속 보강에서는 R-ONE 앵커와의 정렬 격차 중앙이 +9.6%p에서 +7.6%p로 축소됐으나 이는 독립 현실 정답에 대한 정확도 향상이 아니며, 현장 라벨 표본과 채점기 구축도 평가 완료가 아니다. 본 연구는 계산 재현의 성공을 공간적 안정성이나 현실 정확성으로 확대하지 않는 검증·보고 절차를 제시한다. </w:t>
      </w:r>
      <w:hyperlink w:anchor="source1">
        <w:r>
          <w:rPr>
            <w:rFonts w:ascii="Malgun Gothic" w:hAnsi="Malgun Gothic" w:eastAsia="Malgun Gothic" w:cs="Malgun Gothic"/>
            <w:color w:val="333333"/>
            <w:sz w:val="17"/>
          </w:rPr>
          <w:t>초록의 수치 근거: PAGE-D01·D03–D09, PAGE-U01·U02 [자료 1]</w:t>
        </w:r>
      </w:hyperlink>
    </w:p>
    <w:p>
      <w:r>
        <w:rPr>
          <w:rFonts w:ascii="Malgun Gothic" w:hAnsi="Malgun Gothic" w:eastAsia="Malgun Gothic" w:cs="Malgun Gothic"/>
          <w:b/>
          <w:i w:val="0"/>
          <w:color w:val="000000"/>
        </w:rPr>
        <w:t>주제어:</w:t>
      </w:r>
      <w:r>
        <w:rPr>
          <w:rFonts w:ascii="Malgun Gothic" w:hAnsi="Malgun Gothic" w:eastAsia="Malgun Gothic" w:cs="Malgun Gothic"/>
          <w:b w:val="0"/>
          <w:i w:val="0"/>
          <w:color w:val="000000"/>
        </w:rPr>
        <w:t xml:space="preserve"> 공공행정자료, 공실 정보, 데이터 품질, 계산 재현성, 표상 충실성, 순서 민감도</w:t>
      </w:r>
    </w:p>
    <w:p>
      <w:pPr>
        <w:pStyle w:val="Heading1"/>
      </w:pPr>
      <w:r>
        <w:t>1 서론</w:t>
      </w:r>
    </w:p>
    <w:p>
      <w:pPr>
        <w:pStyle w:val="Heading2"/>
      </w:pPr>
      <w:r>
        <w:t>1.1 문제의식</w:t>
      </w:r>
    </w:p>
    <w:p>
      <w:r>
        <w:rPr>
          <w:rFonts w:ascii="Malgun Gothic" w:hAnsi="Malgun Gothic" w:eastAsia="Malgun Gothic" w:cs="Malgun Gothic"/>
          <w:b w:val="0"/>
          <w:i w:val="0"/>
          <w:color w:val="000000"/>
        </w:rPr>
        <w:t>본 연구의 출발점은 ‘공실은 창업과 재창업의 사이클이 끊긴, 일종의 동맥경화다’라는 문제의식이다. 공실은 비어 있는 재고이면서 새로운 창업자가 기존 공간을 다시 활용하는 순환의 단절로 볼 수 있다. 연구자는 공실 현장 조사에서 유동인구가 많은 지역의 폐업과 유동인구가 적은 지역의 배달 기반 영업 유지를 관찰했다고 보고했다. 이 관찰은 표집·기간·성과 자료가 명세된 통계 결과가 아니라 연구 동기다.</w:t>
      </w:r>
    </w:p>
    <w:p>
      <w:r>
        <w:rPr>
          <w:rFonts w:ascii="Malgun Gothic" w:hAnsi="Malgun Gothic" w:eastAsia="Malgun Gothic" w:cs="Malgun Gothic"/>
          <w:b w:val="0"/>
          <w:i w:val="0"/>
          <w:color w:val="000000"/>
        </w:rPr>
        <w:t xml:space="preserve">여기서 물리적 입지보다 디지털 접근성 또는 IT/SNS/AI 검색이 오프라인 상권에 더 큰 영향을 줄 수 있는지 묻게 되었다. IS 문헌은 디지털 신호가 오프라인 성과와 연결되는 방식이 지역과 채널에 따라 달라짐을 보여 왔다. 지역에 매장이 들어서면 온라인 구매가 줄고(Forman 등, 2009), 모바일 이용에서는 가까운 매장이 더 자주 클릭되며(Ghose 등, 2013), 소비자가 올린 사진이 식당 생존의 선행지표가 될 수 있다(Zhang과 Luo, 2023). 그러나 이 연구들은 공실과 창업의 순환을 직접 다루지 않으므로 상대적 영향은 미검증 가설로 남긴다. PlaceOS는 오프라인 상권을 디지털화하여 창업가가 공간과 사업 조건을 비교하고 검증하는 의사결정 환경으로 상권을 새롭게 정의한다. 그러나 창업자의 디지털 접근을 돕는 지도가 출발점부터 실제 공간을 잘못 표현하면 이후 추천과 비용 비교도 잘못된 대상을 다루게 된다. Page 논문이 먼저 데이터 품질과 검증 경계를 다루는 이유다. </w:t>
      </w:r>
      <w:hyperlink w:anchor="source2">
        <w:r>
          <w:rPr>
            <w:rFonts w:ascii="Malgun Gothic" w:hAnsi="Malgun Gothic" w:eastAsia="Malgun Gothic" w:cs="Malgun Gothic"/>
            <w:color w:val="333333"/>
            <w:sz w:val="17"/>
          </w:rPr>
          <w:t>연구 동기의 출처와 검증 범위 [자료 2]</w:t>
        </w:r>
      </w:hyperlink>
    </w:p>
    <w:p>
      <w:r>
        <w:rPr>
          <w:rFonts w:ascii="Malgun Gothic" w:hAnsi="Malgun Gothic" w:eastAsia="Malgun Gothic" w:cs="Malgun Gothic"/>
          <w:b w:val="0"/>
          <w:i w:val="0"/>
          <w:color w:val="000000"/>
        </w:rPr>
        <w:t xml:space="preserve">PPPP의 대응은 Place→Platform, Product→Page, Price→Posting, Promotion→Program이다. Page는 선택한 상권 플랫폼 안에서 어떤 공간을 사업의 대상으로 검토할지 공실 지도·건물 및 층 정보로 표현하는 Product 역할이다. 이 제품의 계산 출력과 현장 상태의 차이를 명시하는 것이 본 연구의 과제이며, 디지털화가 공실 해소나 창업 성공을 일으켰다는 성과 주장은 하지 않는다. </w:t>
      </w:r>
      <w:hyperlink w:anchor="source2">
        <w:r>
          <w:rPr>
            <w:rFonts w:ascii="Malgun Gothic" w:hAnsi="Malgun Gothic" w:eastAsia="Malgun Gothic" w:cs="Malgun Gothic"/>
            <w:color w:val="333333"/>
            <w:sz w:val="17"/>
          </w:rPr>
          <w:t>기능 대응 [자료 2]</w:t>
        </w:r>
      </w:hyperlink>
    </w:p>
    <w:p>
      <w:r>
        <w:rPr>
          <w:rFonts w:ascii="Malgun Gothic" w:hAnsi="Malgun Gothic" w:eastAsia="Malgun Gothic" w:cs="Malgun Gothic"/>
          <w:b w:val="0"/>
          <w:i w:val="0"/>
          <w:color w:val="000000"/>
        </w:rPr>
        <w:t xml:space="preserve">상업 공간의 입점 검토에는 상권 전체의 공실 수준과 함께 건물·층별 상태에 관한 정보가 필요하다. 그러나 지역 단위 조사통계를 개별 건물의 상태로 직접 해석할 수는 없다. PlaceOS의 Page는 건축물대장·점포·인허가 자료를 결합하여 건물의 수용량과 활성 정보를 구성하고, 이를 공실 대리값과 공간 격자로 제공한다. 이때 지도에 상세한 값이 표시된다는 사실과 해당 위치의 실제 공실 상태를 확인했다는 사실은 구분해야 한다. 본 연구의 대상은 이러한 공공행정자료 결합으로 생성된 가공 산출물이다. </w:t>
      </w:r>
      <w:hyperlink w:anchor="source3">
        <w:r>
          <w:rPr>
            <w:rFonts w:ascii="Malgun Gothic" w:hAnsi="Malgun Gothic" w:eastAsia="Malgun Gothic" w:cs="Malgun Gothic"/>
            <w:color w:val="333333"/>
            <w:sz w:val="17"/>
          </w:rPr>
          <w:t>자료의 관측 단위와 파생 경로 [자료 3]</w:t>
        </w:r>
      </w:hyperlink>
    </w:p>
    <w:p>
      <w:r>
        <w:rPr>
          <w:rFonts w:ascii="Malgun Gothic" w:hAnsi="Malgun Gothic" w:eastAsia="Malgun Gothic" w:cs="Malgun Gothic"/>
          <w:b w:val="0"/>
          <w:i w:val="0"/>
          <w:color w:val="000000"/>
        </w:rPr>
        <w:t xml:space="preserve">IS 연구에서 데이터 품질은 정확도 하나가 아니라 사용 목적에 대한 적합성의 여러 차원으로 다루어져 왔고(Wang과 Strong, 1996), 정보시스템의 기본 목적은 현실의 일부를 충실히 표상하는 것으로 이해된다(Recker 등, 2019). 이 두 관점에서 ‘같은 입력으로 같은 결과가 재현된다’와 ‘그 결과가 현실을 충실히 표상한다’는 서로 다른 속성이다. 계산식과 식별자가 일관되는지, 같은 입력으로 같은 결과를 얻는지, 내용이 같은 입력의 순서를 바꾸어도 공간 출력이 유지되는지, 그리고 결과가 현실의 공실 상태와 일치하는지는 각각 다른 질문이며 서로를 대신하지 못한다. 본 연구는 이 간격을 하나의 가공 산출물에서 구체적으로 보이고, 현재 확보한 근거로 판정할 수 있는 질문에 분석 범위를 한정한다. </w:t>
      </w:r>
      <w:hyperlink w:anchor="source4">
        <w:r>
          <w:rPr>
            <w:rFonts w:ascii="Malgun Gothic" w:hAnsi="Malgun Gothic" w:eastAsia="Malgun Gothic" w:cs="Malgun Gothic"/>
            <w:color w:val="333333"/>
            <w:sz w:val="17"/>
          </w:rPr>
          <w:t>연구 범위와 변수 대응 [자료 4]</w:t>
        </w:r>
      </w:hyperlink>
    </w:p>
    <w:p>
      <w:pPr>
        <w:pStyle w:val="Heading2"/>
      </w:pPr>
      <w:r>
        <w:t>1.2 연구질문 RQ와 가설</w:t>
      </w:r>
    </w:p>
    <w:p>
      <w:r>
        <w:rPr>
          <w:rFonts w:ascii="Malgun Gothic" w:hAnsi="Malgun Gothic" w:eastAsia="Malgun Gothic" w:cs="Malgun Gothic"/>
          <w:b w:val="0"/>
          <w:i w:val="0"/>
          <w:color w:val="000000"/>
        </w:rPr>
        <w:t xml:space="preserve">본 연구는 동결한 PlaceOS 자료를 대상으로 다음을 묻는다. 첫째, 고정된 선택 입력에서 마스터와 서빙 응답을 재현할 수 있는가? 둘째, 같은 내용의 폴리곤을 다른 순서로 입력했을 때 거점 전체 집계와 격자 출력이 각각 유지되는가? 셋째, 구조·층 정보·관측시점에 관한 품질 항목 중 무엇을 검사할 수 있으며 무엇이 미평가로 남는가? 이 질문들은 보존 산출물과 기존 실행의 재검증을 대상으로 한다. 이미 관찰한 순서 민감도 결과를 사전등록된 확인 연구로 제시하지 않으며, 원천 자료의 전체 계보나 실제 공실 정확성을 검증한 것으로 확대하지 않는다. </w:t>
      </w:r>
      <w:hyperlink w:anchor="source4">
        <w:r>
          <w:rPr>
            <w:rFonts w:ascii="Malgun Gothic" w:hAnsi="Malgun Gothic" w:eastAsia="Malgun Gothic" w:cs="Malgun Gothic"/>
            <w:color w:val="333333"/>
            <w:sz w:val="17"/>
          </w:rPr>
          <w:t>연구 질문과 판정 절차 [자료 4]</w:t>
        </w:r>
      </w:hyperlink>
    </w:p>
    <w:p>
      <w:r>
        <w:rPr>
          <w:rFonts w:ascii="Malgun Gothic" w:hAnsi="Malgun Gothic" w:eastAsia="Malgun Gothic" w:cs="Malgun Gothic"/>
          <w:b w:val="0"/>
          <w:i w:val="0"/>
          <w:color w:val="000000"/>
        </w:rPr>
        <w:t>검증 대상을 분명히 하기 위해 위 질문을 다음과 같이 식별한다. H1–H3은 동결 자료에 대한 계산 명제로, 가능한 모든 입력에서의 성질을 증명하는 가설이 아니다. H4는 독립 현실 정답이 필요한 후속 가설이다. 이미 얻은 결과에 맞춰 명제를 정리했으므로 사전등록 확인 연구로 해석하지 않는다.</w:t>
      </w:r>
    </w:p>
    <w:p>
      <w:r>
        <w:rPr>
          <w:rFonts w:ascii="Malgun Gothic" w:hAnsi="Malgun Gothic" w:eastAsia="Malgun Gothic" w:cs="Malgun Gothic"/>
          <w:b/>
          <w:i w:val="0"/>
          <w:color w:val="000000"/>
        </w:rPr>
        <w:t>RQ1. 같은 선택 입력과 계산 조건에서 가공 산출물과 서빙 응답은 재현되는가?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H1:</w:t>
      </w:r>
      <w:r>
        <w:rPr>
          <w:rFonts w:ascii="Malgun Gothic" w:hAnsi="Malgun Gothic" w:eastAsia="Malgun Gothic" w:cs="Malgun Gothic"/>
          <w:b w:val="0"/>
          <w:i w:val="0"/>
          <w:color w:val="000000"/>
        </w:rPr>
        <w:t xml:space="preserve"> 동결 입력 반복에서 마스터, 커버리지 및 서빙 응답이 지정한 비교 기준에 따라 일치한다. 마스터는 바이트와 객체 값, 커버리지는 생성시각을 제외한 객체 값, 서빙은 전체 객체를 비교하며 어느 비교에서든 차이가 발견되면 해당 범위의 명제는 성립하지 않는다.</w:t>
      </w:r>
    </w:p>
    <w:p>
      <w:r>
        <w:rPr>
          <w:rFonts w:ascii="Malgun Gothic" w:hAnsi="Malgun Gothic" w:eastAsia="Malgun Gothic" w:cs="Malgun Gothic"/>
          <w:b/>
          <w:i w:val="0"/>
          <w:color w:val="000000"/>
        </w:rPr>
        <w:t>RQ2. 같은 폴리곤 내용의 입력 순서를 바꾸어도 거점 전체 집계는 유지되는가?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H2:</w:t>
      </w:r>
      <w:r>
        <w:rPr>
          <w:rFonts w:ascii="Malgun Gothic" w:hAnsi="Malgun Gothic" w:eastAsia="Malgun Gothic" w:cs="Malgun Gothic"/>
          <w:b w:val="0"/>
          <w:i w:val="0"/>
          <w:color w:val="000000"/>
        </w:rPr>
        <w:t xml:space="preserve"> 수행한 순서 변형 시험에서 거점 전체 집계의 변화가 없다. 검증 단위는 변형별 거점 집계이며, 관측한 변형에 한정해 판정한다.</w:t>
      </w:r>
    </w:p>
    <w:p>
      <w:r>
        <w:rPr>
          <w:rFonts w:ascii="Malgun Gothic" w:hAnsi="Malgun Gothic" w:eastAsia="Malgun Gothic" w:cs="Malgun Gothic"/>
          <w:b/>
          <w:i w:val="0"/>
          <w:color w:val="000000"/>
        </w:rPr>
        <w:t>RQ3. 거점 전체 집계가 유지될 때 격자별 공간 출력도 순서에 불변인가?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H3:</w:t>
      </w:r>
      <w:r>
        <w:rPr>
          <w:rFonts w:ascii="Malgun Gothic" w:hAnsi="Malgun Gothic" w:eastAsia="Malgun Gothic" w:cs="Malgun Gothic"/>
          <w:b w:val="0"/>
          <w:i w:val="0"/>
          <w:color w:val="000000"/>
        </w:rPr>
        <w:t xml:space="preserve"> 수행한 순서 변형 시험에서 격자 소속과 격자별 분자·분모가 모두 유지된다. 이 명제는 하나의 반례로도 반증될 수 있으며 거점 합계의 일치를 통과 기준으로 대신하지 않는다.</w:t>
      </w:r>
    </w:p>
    <w:p>
      <w:r>
        <w:rPr>
          <w:rFonts w:ascii="Malgun Gothic" w:hAnsi="Malgun Gothic" w:eastAsia="Malgun Gothic" w:cs="Malgun Gothic"/>
          <w:b/>
          <w:i w:val="0"/>
          <w:color w:val="000000"/>
        </w:rPr>
        <w:t>RQ4. 계산 공실 대리값은 같은 시점에 독립적으로 확인한 실제 공실과 부합하는가?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H4:</w:t>
      </w:r>
      <w:r>
        <w:rPr>
          <w:rFonts w:ascii="Malgun Gothic" w:hAnsi="Malgun Gothic" w:eastAsia="Malgun Gothic" w:cs="Malgun Gothic"/>
          <w:b w:val="0"/>
          <w:i w:val="0"/>
          <w:color w:val="000000"/>
        </w:rPr>
        <w:t xml:space="preserve"> 계산 공실 대리값은 같은 관측 단위·시점의 현장 참조값과 사전에 정한 허용오차 안에서 일치한다. 현재는 독립 참조값과 허용오차 기준이 확정되지 않았으므로 미검증 가설이다. 정답을 확보한 후에야 오차 측정과 가설 판정이 가능하다.</w:t>
      </w:r>
    </w:p>
    <w:p>
      <w:pPr>
        <w:pStyle w:val="Heading2"/>
      </w:pPr>
      <w:r>
        <w:t>1.3 연구의 기여와 범위</w:t>
      </w:r>
    </w:p>
    <w:p>
      <w:r>
        <w:rPr>
          <w:rFonts w:ascii="Malgun Gothic" w:hAnsi="Malgun Gothic" w:eastAsia="Malgun Gothic" w:cs="Malgun Gothic"/>
          <w:b w:val="0"/>
          <w:i w:val="0"/>
          <w:color w:val="000000"/>
        </w:rPr>
        <w:t xml:space="preserve">본 연구의 기여는 검사 결과를 관측 단위와 검증 범위에 연결해 제시하는 데 있다. 첫째, 표시 객체인 폴리곤, 집계 객체인 지번, 출력 객체인 격자를 구분하여 같은 지번의 값 차이를 곧바로 오류로 세지 않는다. 둘째, 고정 입력의 반복 재현과 입력 순서에 대한 불변성을 별도로 검사하여, 거점 합계의 일치만으로는 확인되지 않는 공간 출력의 민감도를 드러낸다. 셋째, 해시·보존 파일·실행 환경을 연결하되, 자료 접근 가능성과 전체 파이프라인 재현 여부를 별도로 명시한다. 넷째, 계산 속성과 표상 충실성을 분리해 어떤 검증이 어떤 주장을 지지하는지 표로 정리한다. 이는 조건 D의 사례 분석에서 도출한 검증 절차와 해석상의 기여이며, 다른 자료나 구현에서의 성능을 입증하는 주장은 아니다. </w:t>
      </w:r>
      <w:hyperlink w:anchor="source1">
        <w:r>
          <w:rPr>
            <w:rFonts w:ascii="Malgun Gothic" w:hAnsi="Malgun Gothic" w:eastAsia="Malgun Gothic" w:cs="Malgun Gothic"/>
            <w:color w:val="333333"/>
            <w:sz w:val="17"/>
          </w:rPr>
          <w:t>조건 D 근거와 해석 범위 [자료 1]</w:t>
        </w:r>
      </w:hyperlink>
    </w:p>
    <w:p>
      <w:r>
        <w:rPr>
          <w:rFonts w:ascii="Malgun Gothic" w:hAnsi="Malgun Gothic" w:eastAsia="Malgun Gothic" w:cs="Malgun Gothic"/>
          <w:b w:val="0"/>
          <w:i w:val="0"/>
          <w:color w:val="000000"/>
        </w:rPr>
        <w:t xml:space="preserve">현실 공실 정답이 없는 항목은 미평가로 남긴다. 기존 생활인구의 공간 해상도 분석은 원천과 연구 질문이 달라 본 연구의 결과에 합산하지 않는다. 다음 관련 연구는 데이터 품질과 계산 재현성의 개념·보고 절차를 중심으로 하며, 공실 연구 전체의 체계적 문헌고찰이나 최초성의 입증을 목적으로 하지 않는다. </w:t>
      </w:r>
      <w:hyperlink w:anchor="source5">
        <w:r>
          <w:rPr>
            <w:rFonts w:ascii="Malgun Gothic" w:hAnsi="Malgun Gothic" w:eastAsia="Malgun Gothic" w:cs="Malgun Gothic"/>
            <w:color w:val="333333"/>
            <w:sz w:val="17"/>
          </w:rPr>
          <w:t>문헌 확인 범위 [자료 5]</w:t>
        </w:r>
      </w:hyperlink>
    </w:p>
    <w:p>
      <w:pPr>
        <w:pStyle w:val="Heading1"/>
      </w:pPr>
      <w:r>
        <w:t>2 관련 연구와 이론적 틀</w:t>
      </w:r>
    </w:p>
    <w:p>
      <w:pPr>
        <w:pStyle w:val="Heading2"/>
      </w:pPr>
      <w:r>
        <w:t>2.1 정보 산출물의 품질: 다차원성과 전파</w:t>
      </w:r>
    </w:p>
    <w:p>
      <w:r>
        <w:rPr>
          <w:rFonts w:ascii="Malgun Gothic" w:hAnsi="Malgun Gothic" w:eastAsia="Malgun Gothic" w:cs="Malgun Gothic"/>
          <w:b w:val="0"/>
          <w:i w:val="0"/>
          <w:color w:val="000000"/>
        </w:rPr>
        <w:t>Wang과 Strong(1996)은 데이터 소비자의 관점에서 데이터 품질이 정확도를 넘어 다차원적임을 보이고 이를 내재적(intrinsic), 맥락적(contextual), 표현적(representational), 접근성(accessibility)의 네 범주로 조직했다. 내재적 품질은 데이터가 그 자체로 갖는 품질, 맥락적 품질은 과업 맥락에 맞아야 한다는 요구를 가리키며, 표현적·접근성 범주는 시스템의 역할을 강조한다. 본 연구는 이 범주를 검사 항목을 정리하는 틀로만 사용한다(3장).</w:t>
      </w:r>
    </w:p>
    <w:p>
      <w:r>
        <w:rPr>
          <w:rFonts w:ascii="Malgun Gothic" w:hAnsi="Malgun Gothic" w:eastAsia="Malgun Gothic" w:cs="Malgun Gothic"/>
          <w:b w:val="0"/>
          <w:i w:val="0"/>
          <w:color w:val="000000"/>
        </w:rPr>
        <w:t>Ballou 등(1998)은 정보 산출물(information product)을 정보 제조 시스템의 출력으로 보고, 산출물의 적시성·정확도·비용을 데이터 단위와 시스템 구성요소에 연결해 추적하는 모형을 제시했다. Parssian 등(2004)은 원천 데이터의 정확도와 완전성이 선택·투영·카테시안 곱 연산을 거쳐 파생 데이터의 품질에 어떻게 반영되는지를 정식화했다. 두 연구는 파생 산출물의 품질이 원천의 품질뿐 아니라 가공 연산에 의존함을 가리킨다. 본 연구의 가공 산출물(건물 폴리곤에서 지번 집계, 격자 출력으로 이어지는 결과)도 이러한 정보 산출물이다. 다만 위 연구들이 다루는 정확도·완전성 지표는 연산의 입력 순서에 대한 불변성을 직접 포착하지 않는다. 본 연구의 순서 민감도 결과는 가공 규칙, 곧 동일 지번의 중복을 제거할 때 먼저 만난 폴리곤을 쓰는 규칙이 정확도·완전성과 별개로 공간 출력의 속성을 바꾸는 사례다.</w:t>
      </w:r>
    </w:p>
    <w:p>
      <w:r>
        <w:rPr>
          <w:rFonts w:ascii="Malgun Gothic" w:hAnsi="Malgun Gothic" w:eastAsia="Malgun Gothic" w:cs="Malgun Gothic"/>
          <w:b w:val="0"/>
          <w:i w:val="0"/>
          <w:color w:val="000000"/>
        </w:rPr>
        <w:t>Vetrò 등(2016)은 공공 개방 데이터의 품질을 데이터셋 단위의 가장 세밀한 수준에서 측정하는 지표 체계를 제안하고 두 이탈리아 사례에 적용했다. 본 연구는 하나의 가공 산출물을 규칙별 적용 분모와 함께 보고한다는 점에서 이 방향과 닿아 있으나 지표 체계를 제안하지는 않는다.</w:t>
      </w:r>
    </w:p>
    <w:p>
      <w:pPr>
        <w:pStyle w:val="Heading2"/>
      </w:pPr>
      <w:r>
        <w:t>2.2 표상 이론: 계산된 값과 현실의 대응</w:t>
      </w:r>
    </w:p>
    <w:p>
      <w:r>
        <w:rPr>
          <w:rFonts w:ascii="Malgun Gothic" w:hAnsi="Malgun Gothic" w:eastAsia="Malgun Gothic" w:cs="Malgun Gothic"/>
          <w:b w:val="0"/>
          <w:i w:val="0"/>
          <w:color w:val="000000"/>
        </w:rPr>
        <w:t>표상 이론은 정보시스템의 기본 목적이 현실 세계의 현상을 충실히 표상하여 사용자가 그 현상을 직접 관찰하는 것보다 적은 비용으로 추론하도록 돕는 데 있다고 본다(Recker 등, 2019). Burton-Jones와 Grange(2013)는 이 이론에서 출발해 정보시스템이 사용자와 이해관계자가 이해해야 하는 현실의 일부를 표상하는 구조들로 이루어진다고 보고, 효과적 사용의 성격과 동인을 설명하는 모형을 도출했다. 이 관점에서 지도에 표시된 공실률은 현실의 표상이며, 표상의 충실성은 계산의 재현이나 내부 일관성으로 환원되지 않는다. 본 연구가 H1–H3(계산 속성)과 H4(현실 대응)를 구분하고 H4를 미검증으로 남기는 이론적 근거다.</w:t>
      </w:r>
    </w:p>
    <w:p>
      <w:pPr>
        <w:pStyle w:val="Heading2"/>
      </w:pPr>
      <w:r>
        <w:t>2.3 재현성: 계산 재현과 데이터 가용성</w:t>
      </w:r>
    </w:p>
    <w:p>
      <w:r>
        <w:rPr>
          <w:rFonts w:ascii="Malgun Gothic" w:hAnsi="Malgun Gothic" w:eastAsia="Malgun Gothic" w:cs="Malgun Gothic"/>
          <w:b w:val="0"/>
          <w:i w:val="0"/>
          <w:color w:val="000000"/>
        </w:rPr>
        <w:t>National Academies(2019)는 같은 입력과 계산 단계로 일관된 결과를 얻는 계산 재현성(reproducibility)과, 새 자료를 확보해 같은 질문의 결과를 확인하는 반복 검증(replicability)을 구분한다. Sandve 등(2013)은 결과의 생성 경로와 프로그램 버전, 중간 결과를 보존하고 주장과 근거 산출물을 연결할 것을 권고한다. Fišar 등(2024)은 Management Science 게재 논문의 재현성을 검토해, 데이터·코드 공개 정책이 도입된 뒤의 논문 가운데 데이터 접근과 하드웨어·소프트웨어 요건이 장애가 되지 않은 논문에서는 95% 이상이 완전 또는 대부분 재현됐으나 29%의 논문에서는 데이터의 일부를 검토자가 접근할 수 없었고 모든 논문을 포함하면 재현된 비율이 68%로 낮아졌다고 보고했다. 분야 간 재현율의 이질성도 주로 데이터 접근성의 차이에서 비롯됐다고 한다. 이는 본 연구가 환경별 자료 보유량과 재현 구간을 분리해 보고하는 이유를 뒷받침한다. Alsudais(2021)는 널리 쓰이는 공개 데이터셋에서 수집 과정의 체계적 오류를 문서화하고, 서로 다른 릴리스를 비교할 때 재현성 문제가 생김을 보였다. Marsden과 Pingry(2018)는 수치 데이터의 품질과 복제의 관계를 IS 연구의 맥락에서 논의한다.</w:t>
      </w:r>
    </w:p>
    <w:p>
      <w:pPr>
        <w:pStyle w:val="Heading2"/>
      </w:pPr>
      <w:r>
        <w:t>2.4 공개·공간 자료와 공실 추정</w:t>
      </w:r>
    </w:p>
    <w:p>
      <w:r>
        <w:rPr>
          <w:rFonts w:ascii="Malgun Gothic" w:hAnsi="Malgun Gothic" w:eastAsia="Malgun Gothic" w:cs="Malgun Gothic"/>
          <w:b w:val="0"/>
          <w:i w:val="0"/>
          <w:color w:val="000000"/>
        </w:rPr>
        <w:t>공간 자료 기반의 공실·부동산 추정에는 영상과 지리 피처를 활용한 연구가 있다. Du 등(2018)은 Jilin1-03 위성과 기타 지리 자료로 census tract 단위 주택 공실률을 모델링했고, Law 등(2019)은 거리뷰와 위성 영상에서 추출한 시각 피처가 런던의 주택가격 추정을 개선하며 보지 못한 자치구에도 일반화됨을 보였다. Li와 Long(2024)은 이동 센싱 이미지와 컴퓨터 비전으로 점포 공실을 추론했다(공개 데이터셋 설명으로 확인). 이들은 census 공실률, 거래가격, 영상에서 식별한 공실이라는 정답이 있는 설정이다. 본 연구의 상업용 공실 대리값은 행정자료를 결합해 계산한 파생값이고 독립 현장 정답이 없다. 따라서 이 연구들의 성능을 기준으로 삼지 않으며, 현장 라벨 설계(조건 G)에서 거리뷰의 촬영 시점과 확인 시점을 구분하는 근거로만 참고한다. 데이터 품질 측정 자체의 불확실성을 다룬 연구(Timmerman과 Bronselaer, 2019)는 검사 결과와 판정 가능성을 구분할 필요와 관련되지만, 본 연구의 판정 상태 구분은 그 연구의 모형을 적용한 것이 아니다.</w:t>
      </w:r>
    </w:p>
    <w:p>
      <w:pPr>
        <w:pStyle w:val="Heading2"/>
      </w:pPr>
      <w:r>
        <w:t>2.5 설계과학 평가의 관점</w:t>
      </w:r>
    </w:p>
    <w:p>
      <w:r>
        <w:rPr>
          <w:rFonts w:ascii="Malgun Gothic" w:hAnsi="Malgun Gothic" w:eastAsia="Malgun Gothic" w:cs="Malgun Gothic"/>
          <w:b w:val="0"/>
          <w:i w:val="0"/>
          <w:color w:val="000000"/>
        </w:rPr>
        <w:t>Hevner 등(2004)은 설계과학 연구를 이해·수행·평가하는 지침을 제시했고, Venable 등(2016)의 평가 틀(FEDS)은 평가 에피소드를 기능적 목적(형성적/총괄적)과 평가 환경(인공적/자연적)의 두 차원으로 구분한다. 본 연구의 조건 D는 동결 입력에서의 인공 환경 평가이며, 현실 대응(H4)은 자연 환경에서의 평가가 필요하다. 이 구분은 PlaceOS Page라는 산출물의 평가 중 현재 수행 가능한 구간을 명시하는 데 쓴다.</w:t>
      </w:r>
    </w:p>
    <w:p>
      <w:pPr>
        <w:pStyle w:val="Heading2"/>
      </w:pPr>
      <w:r>
        <w:t>2.6 본 연구의 위치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4"/>
        <w:gridCol w:w="1711"/>
        <w:gridCol w:w="4886"/>
      </w:tblGrid>
      <w:tr>
        <w:trPr>
          <w:cantSplit/>
          <w:tblHeader/>
        </w:trPr>
        <w:tc>
          <w:tcPr>
            <w:tcW w:type="dxa" w:w="2814"/>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문헌</w:t>
            </w:r>
          </w:p>
        </w:tc>
        <w:tc>
          <w:tcPr>
            <w:tcW w:type="dxa" w:w="1711"/>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게재지</w:t>
            </w:r>
          </w:p>
        </w:tc>
        <w:tc>
          <w:tcPr>
            <w:tcW w:type="dxa" w:w="4886"/>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확인한 핵심과 본 연구와의 관계</w:t>
            </w:r>
          </w:p>
        </w:tc>
      </w:tr>
      <w:tr>
        <w:trPr>
          <w:cantSplit/>
        </w:trPr>
        <w:tc>
          <w:tcPr>
            <w:tcW w:type="dxa" w:w="281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Wang과 Strong(1996)</w:t>
            </w:r>
          </w:p>
        </w:tc>
        <w:tc>
          <w:tcPr>
            <w:tcW w:type="dxa" w:w="1711"/>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JMIS</w:t>
            </w:r>
          </w:p>
        </w:tc>
        <w:tc>
          <w:tcPr>
            <w:tcW w:type="dxa" w:w="488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데이터 품질의 네 범주. 검사 항목을 정리하는 틀로 사용(3장)</w:t>
            </w:r>
          </w:p>
        </w:tc>
      </w:tr>
      <w:tr>
        <w:trPr>
          <w:cantSplit/>
        </w:trPr>
        <w:tc>
          <w:tcPr>
            <w:tcW w:type="dxa" w:w="281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Ballou 등(1998), Parssian 등(2004)</w:t>
            </w:r>
          </w:p>
        </w:tc>
        <w:tc>
          <w:tcPr>
            <w:tcW w:type="dxa" w:w="1711"/>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Management Science</w:t>
            </w:r>
          </w:p>
        </w:tc>
        <w:tc>
          <w:tcPr>
            <w:tcW w:type="dxa" w:w="488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파생 정보 산출물의 품질은 원천과 연산에 의존. 본 연구는 입력 순서 불변성이라는 별도 속성을 사례로 보인다</w:t>
            </w:r>
          </w:p>
        </w:tc>
      </w:tr>
      <w:tr>
        <w:trPr>
          <w:cantSplit/>
        </w:trPr>
        <w:tc>
          <w:tcPr>
            <w:tcW w:type="dxa" w:w="281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Burton-Jones와 Grange(2013), Recker 등(2019)</w:t>
            </w:r>
          </w:p>
        </w:tc>
        <w:tc>
          <w:tcPr>
            <w:tcW w:type="dxa" w:w="1711"/>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ISR, JAIS</w:t>
            </w:r>
          </w:p>
        </w:tc>
        <w:tc>
          <w:tcPr>
            <w:tcW w:type="dxa" w:w="488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표상 충실성. H4를 계산 속성과 분리하는 근거</w:t>
            </w:r>
          </w:p>
        </w:tc>
      </w:tr>
      <w:tr>
        <w:trPr>
          <w:cantSplit/>
        </w:trPr>
        <w:tc>
          <w:tcPr>
            <w:tcW w:type="dxa" w:w="281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Fišar 등(2024)</w:t>
            </w:r>
          </w:p>
        </w:tc>
        <w:tc>
          <w:tcPr>
            <w:tcW w:type="dxa" w:w="1711"/>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Management Science</w:t>
            </w:r>
          </w:p>
        </w:tc>
        <w:tc>
          <w:tcPr>
            <w:tcW w:type="dxa" w:w="488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재현율은 데이터 접근성에 좌우됨. 환경별 자료 보유량을 분리해 보고</w:t>
            </w:r>
          </w:p>
        </w:tc>
      </w:tr>
      <w:tr>
        <w:trPr>
          <w:cantSplit/>
        </w:trPr>
        <w:tc>
          <w:tcPr>
            <w:tcW w:type="dxa" w:w="281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Alsudais(2021)</w:t>
            </w:r>
          </w:p>
        </w:tc>
        <w:tc>
          <w:tcPr>
            <w:tcW w:type="dxa" w:w="1711"/>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Decision Support Systems</w:t>
            </w:r>
          </w:p>
        </w:tc>
        <w:tc>
          <w:tcPr>
            <w:tcW w:type="dxa" w:w="488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공개 데이터셋의 수집 오류와 릴리스 재현 문제. 객체 의미 대조와 릴리스 특정에 참고</w:t>
            </w:r>
          </w:p>
        </w:tc>
      </w:tr>
      <w:tr>
        <w:trPr>
          <w:cantSplit/>
        </w:trPr>
        <w:tc>
          <w:tcPr>
            <w:tcW w:type="dxa" w:w="281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Law 등(2019), Li와 Long(2024)</w:t>
            </w:r>
          </w:p>
        </w:tc>
        <w:tc>
          <w:tcPr>
            <w:tcW w:type="dxa" w:w="1711"/>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ACM TIST, CEUS</w:t>
            </w:r>
          </w:p>
        </w:tc>
        <w:tc>
          <w:tcPr>
            <w:tcW w:type="dxa" w:w="488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영상 기반 정답이 있는 공간 추정. H4의 현장 라벨 설계 참고</w:t>
            </w:r>
          </w:p>
        </w:tc>
      </w:tr>
    </w:tbl>
    <w:p>
      <w:pPr>
        <w:spacing w:after="0"/>
      </w:pPr>
    </w:p>
    <w:p>
      <w:pPr>
        <w:pStyle w:val="Heading1"/>
      </w:pPr>
      <w:r>
        <w:t>3 데이터와 평가 방법</w:t>
      </w:r>
    </w:p>
    <w:p>
      <w:pPr>
        <w:pStyle w:val="Heading2"/>
      </w:pPr>
      <w:r>
        <w:t>3.1 원천과 범위</w:t>
      </w:r>
    </w:p>
    <w:p>
      <w:r>
        <w:rPr>
          <w:rFonts w:ascii="Malgun Gothic" w:hAnsi="Malgun Gothic" w:eastAsia="Malgun Gothic" w:cs="Malgun Gothic"/>
          <w:b w:val="0"/>
          <w:i w:val="0"/>
          <w:color w:val="000000"/>
        </w:rPr>
        <w:t xml:space="preserve">분석 대상은 조건 D 인벤토리로 특정한 66거점의 가공 마스터이며, 표시 객체는 52,642개 폴리곤이다. 이 범위는 해당 입력 묶음의 검사 프레임으로, 현재 운영 범위나 서울의 전체 상업용 건물 모집단을 뜻하지 않는다. 층 정보 검사는 적용 가능한 30,912개 폴리곤을 대상으로 하므로 전체 마스터 검사와 분모를 구분한다. </w:t>
      </w:r>
      <w:hyperlink w:anchor="source1">
        <w:r>
          <w:rPr>
            <w:rFonts w:ascii="Malgun Gothic" w:hAnsi="Malgun Gothic" w:eastAsia="Malgun Gothic" w:cs="Malgun Gothic"/>
            <w:color w:val="333333"/>
            <w:sz w:val="17"/>
          </w:rPr>
          <w:t>근거: PAGE-D01·D02 [자료 1]</w:t>
        </w:r>
      </w:hyperlink>
    </w:p>
    <w:p>
      <w:r>
        <w:rPr>
          <w:rFonts w:ascii="Malgun Gothic" w:hAnsi="Malgun Gothic" w:eastAsia="Malgun Gothic" w:cs="Malgun Gothic"/>
          <w:b w:val="0"/>
          <w:i w:val="0"/>
          <w:color w:val="000000"/>
        </w:rPr>
        <w:t xml:space="preserve">자료 구성에는 건축HUB 건축물대장, 소상공인 상가정보, 서울 인허가 자료와 건물 폴리곤·층 속성의 가공물이 사용된다. 점포 식별자·건물 식별자·지번 키 및 좌표의 폴리곤 귀속을 통해 속성이 결합된다. 건축물대장과 점포·인허가 자료는 각각 행정적 건물 정보와 영업 상태 정보를 제공하며, 결합 후의 수용량·활성값·공실률은 PlaceOS의 파생값이다. 이를 현장 확인을 마친 빈 호실이나 실제 임대 가능 매물 목록으로 간주하지 않는다. </w:t>
      </w:r>
      <w:hyperlink w:anchor="source3">
        <w:r>
          <w:rPr>
            <w:rFonts w:ascii="Malgun Gothic" w:hAnsi="Malgun Gothic" w:eastAsia="Malgun Gothic" w:cs="Malgun Gothic"/>
            <w:color w:val="333333"/>
            <w:sz w:val="17"/>
          </w:rPr>
          <w:t>원천·연결 키·출처 구분 [자료 3]</w:t>
        </w:r>
      </w:hyperlink>
    </w:p>
    <w:p>
      <w:r>
        <w:rPr>
          <w:rFonts w:ascii="Malgun Gothic" w:hAnsi="Malgun Gothic" w:eastAsia="Malgun Gothic" w:cs="Malgun Gothic"/>
          <w:b w:val="0"/>
          <w:i w:val="0"/>
          <w:color w:val="000000"/>
        </w:rPr>
        <w:t xml:space="preserve">분석에서 사용하는 주요 단위와 변수는 다음과 같다. 단위 간 관계가 일대일이라고 가정하지 않으며, 폴리곤 수를 독립된 지번 수나 호실 수로 바꾸어 해석하지 않는다. </w:t>
      </w:r>
      <w:hyperlink w:anchor="source4">
        <w:r>
          <w:rPr>
            <w:rFonts w:ascii="Malgun Gothic" w:hAnsi="Malgun Gothic" w:eastAsia="Malgun Gothic" w:cs="Malgun Gothic"/>
            <w:color w:val="333333"/>
            <w:sz w:val="17"/>
          </w:rPr>
          <w:t>변수 정의와 분석 시 처리 [자료 4]</w:t>
        </w:r>
      </w:hyperlink>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8"/>
        <w:gridCol w:w="3713"/>
        <w:gridCol w:w="4390"/>
      </w:tblGrid>
      <w:tr>
        <w:trPr>
          <w:cantSplit/>
          <w:tblHeader/>
        </w:trPr>
        <w:tc>
          <w:tcPr>
            <w:tcW w:type="dxa" w:w="130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분석 대상</w:t>
            </w:r>
          </w:p>
        </w:tc>
        <w:tc>
          <w:tcPr>
            <w:tcW w:type="dxa" w:w="3713"/>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주요 변수</w:t>
            </w:r>
          </w:p>
        </w:tc>
        <w:tc>
          <w:tcPr>
            <w:tcW w:type="dxa" w:w="4390"/>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본 연구에서의 의미</w:t>
            </w:r>
          </w:p>
        </w:tc>
      </w:tr>
      <w:tr>
        <w:trPr>
          <w:cantSplit/>
        </w:trPr>
        <w:tc>
          <w:tcPr>
            <w:tcW w:type="dxa" w:w="130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표시 객체</w:t>
            </w:r>
          </w:p>
        </w:tc>
        <w:tc>
          <w:tcPr>
            <w:tcW w:type="dxa" w:w="3713"/>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id</w:t>
            </w:r>
            <w:r>
              <w:rPr>
                <w:rFonts w:ascii="Malgun Gothic" w:hAnsi="Malgun Gothic" w:eastAsia="Malgun Gothic" w:cs="Malgun Gothic"/>
                <w:b w:val="0"/>
                <w:i w:val="0"/>
                <w:color w:val="000000"/>
                <w:sz w:val="18"/>
              </w:rPr>
              <w:t>, 폴리곤 도형</w:t>
            </w:r>
          </w:p>
        </w:tc>
        <w:tc>
          <w:tcPr>
            <w:tcW w:type="dxa" w:w="439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지도에 표시되는 객체의 식별과 기본 구조</w:t>
            </w:r>
          </w:p>
        </w:tc>
      </w:tr>
      <w:tr>
        <w:trPr>
          <w:cantSplit/>
        </w:trPr>
        <w:tc>
          <w:tcPr>
            <w:tcW w:type="dxa" w:w="130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집계 객체</w:t>
            </w:r>
          </w:p>
        </w:tc>
        <w:tc>
          <w:tcPr>
            <w:tcW w:type="dxa" w:w="3713"/>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pnu</w:t>
            </w:r>
            <w:r>
              <w:rPr>
                <w:rFonts w:ascii="Malgun Gothic" w:hAnsi="Malgun Gothic" w:eastAsia="Malgun Gothic" w:cs="Malgun Gothic"/>
                <w:b w:val="0"/>
                <w:i w:val="0"/>
                <w:color w:val="000000"/>
                <w:sz w:val="18"/>
              </w:rPr>
              <w:t xml:space="preserve">, </w:t>
            </w:r>
            <w:r>
              <w:rPr>
                <w:rFonts w:ascii="Malgun Gothic" w:hAnsi="Malgun Gothic" w:eastAsia="Malgun Gothic" w:cs="Malgun Gothic"/>
                <w:b w:val="0"/>
                <w:i w:val="0"/>
                <w:color w:val="000000"/>
                <w:sz w:val="18"/>
              </w:rPr>
              <w:t>source</w:t>
            </w:r>
            <w:r>
              <w:rPr>
                <w:rFonts w:ascii="Malgun Gothic" w:hAnsi="Malgun Gothic" w:eastAsia="Malgun Gothic" w:cs="Malgun Gothic"/>
                <w:b w:val="0"/>
                <w:i w:val="0"/>
                <w:color w:val="000000"/>
                <w:sz w:val="18"/>
              </w:rPr>
              <w:t xml:space="preserve">, </w:t>
            </w:r>
            <w:r>
              <w:rPr>
                <w:rFonts w:ascii="Malgun Gothic" w:hAnsi="Malgun Gothic" w:eastAsia="Malgun Gothic" w:cs="Malgun Gothic"/>
                <w:b w:val="0"/>
                <w:i w:val="0"/>
                <w:color w:val="000000"/>
                <w:sz w:val="18"/>
              </w:rPr>
              <w:t>capacity_method</w:t>
            </w:r>
          </w:p>
        </w:tc>
        <w:tc>
          <w:tcPr>
            <w:tcW w:type="dxa" w:w="439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지번과 현행 출처·수용량 경로. 대표 집계 포함 여부는 기존 규칙을 유지</w:t>
            </w:r>
          </w:p>
        </w:tc>
      </w:tr>
      <w:tr>
        <w:trPr>
          <w:cantSplit/>
        </w:trPr>
        <w:tc>
          <w:tcPr>
            <w:tcW w:type="dxa" w:w="130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계산 공실</w:t>
            </w:r>
          </w:p>
        </w:tc>
        <w:tc>
          <w:tcPr>
            <w:tcW w:type="dxa" w:w="3713"/>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capacity</w:t>
            </w:r>
            <w:r>
              <w:rPr>
                <w:rFonts w:ascii="Malgun Gothic" w:hAnsi="Malgun Gothic" w:eastAsia="Malgun Gothic" w:cs="Malgun Gothic"/>
                <w:b w:val="0"/>
                <w:i w:val="0"/>
                <w:color w:val="000000"/>
                <w:sz w:val="18"/>
              </w:rPr>
              <w:t xml:space="preserve">, </w:t>
            </w:r>
            <w:r>
              <w:rPr>
                <w:rFonts w:ascii="Malgun Gothic" w:hAnsi="Malgun Gothic" w:eastAsia="Malgun Gothic" w:cs="Malgun Gothic"/>
                <w:b w:val="0"/>
                <w:i w:val="0"/>
                <w:color w:val="000000"/>
                <w:sz w:val="18"/>
              </w:rPr>
              <w:t>active</w:t>
            </w:r>
            <w:r>
              <w:rPr>
                <w:rFonts w:ascii="Malgun Gothic" w:hAnsi="Malgun Gothic" w:eastAsia="Malgun Gothic" w:cs="Malgun Gothic"/>
                <w:b w:val="0"/>
                <w:i w:val="0"/>
                <w:color w:val="000000"/>
                <w:sz w:val="18"/>
              </w:rPr>
              <w:t xml:space="preserve">, </w:t>
            </w:r>
            <w:r>
              <w:rPr>
                <w:rFonts w:ascii="Malgun Gothic" w:hAnsi="Malgun Gothic" w:eastAsia="Malgun Gothic" w:cs="Malgun Gothic"/>
                <w:b w:val="0"/>
                <w:i w:val="0"/>
                <w:color w:val="000000"/>
                <w:sz w:val="18"/>
              </w:rPr>
              <w:t>vacancy_rate</w:t>
            </w:r>
          </w:p>
        </w:tc>
        <w:tc>
          <w:tcPr>
            <w:tcW w:type="dxa" w:w="439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수용량과 활성 정보에서 계산한 대리값. 독립 현실 정답 아님</w:t>
            </w:r>
          </w:p>
        </w:tc>
      </w:tr>
      <w:tr>
        <w:trPr>
          <w:cantSplit/>
        </w:trPr>
        <w:tc>
          <w:tcPr>
            <w:tcW w:type="dxa" w:w="130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공간 출력</w:t>
            </w:r>
          </w:p>
        </w:tc>
        <w:tc>
          <w:tcPr>
            <w:tcW w:type="dxa" w:w="3713"/>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 xml:space="preserve">셀 </w:t>
            </w:r>
            <w:r>
              <w:rPr>
                <w:rFonts w:ascii="Malgun Gothic" w:hAnsi="Malgun Gothic" w:eastAsia="Malgun Gothic" w:cs="Malgun Gothic"/>
                <w:b w:val="0"/>
                <w:i w:val="0"/>
                <w:color w:val="000000"/>
                <w:sz w:val="18"/>
              </w:rPr>
              <w:t>(i,j)</w:t>
            </w:r>
            <w:r>
              <w:rPr>
                <w:rFonts w:ascii="Malgun Gothic" w:hAnsi="Malgun Gothic" w:eastAsia="Malgun Gothic" w:cs="Malgun Gothic"/>
                <w:b w:val="0"/>
                <w:i w:val="0"/>
                <w:color w:val="000000"/>
                <w:sz w:val="18"/>
              </w:rPr>
              <w:t xml:space="preserve">, </w:t>
            </w:r>
            <w:r>
              <w:rPr>
                <w:rFonts w:ascii="Malgun Gothic" w:hAnsi="Malgun Gothic" w:eastAsia="Malgun Gothic" w:cs="Malgun Gothic"/>
                <w:b w:val="0"/>
                <w:i w:val="0"/>
                <w:color w:val="000000"/>
                <w:sz w:val="18"/>
              </w:rPr>
              <w:t>capacity</w:t>
            </w:r>
            <w:r>
              <w:rPr>
                <w:rFonts w:ascii="Malgun Gothic" w:hAnsi="Malgun Gothic" w:eastAsia="Malgun Gothic" w:cs="Malgun Gothic"/>
                <w:b w:val="0"/>
                <w:i w:val="0"/>
                <w:color w:val="000000"/>
                <w:sz w:val="18"/>
              </w:rPr>
              <w:t xml:space="preserve">, </w:t>
            </w:r>
            <w:r>
              <w:rPr>
                <w:rFonts w:ascii="Malgun Gothic" w:hAnsi="Malgun Gothic" w:eastAsia="Malgun Gothic" w:cs="Malgun Gothic"/>
                <w:b w:val="0"/>
                <w:i w:val="0"/>
                <w:color w:val="000000"/>
                <w:sz w:val="18"/>
              </w:rPr>
              <w:t>stores</w:t>
            </w:r>
            <w:r>
              <w:rPr>
                <w:rFonts w:ascii="Malgun Gothic" w:hAnsi="Malgun Gothic" w:eastAsia="Malgun Gothic" w:cs="Malgun Gothic"/>
                <w:b w:val="0"/>
                <w:i w:val="0"/>
                <w:color w:val="000000"/>
                <w:sz w:val="18"/>
              </w:rPr>
              <w:t xml:space="preserve">, </w:t>
            </w:r>
            <w:r>
              <w:rPr>
                <w:rFonts w:ascii="Malgun Gothic" w:hAnsi="Malgun Gothic" w:eastAsia="Malgun Gothic" w:cs="Malgun Gothic"/>
                <w:b w:val="0"/>
                <w:i w:val="0"/>
                <w:color w:val="000000"/>
                <w:sz w:val="18"/>
              </w:rPr>
              <w:t>vac_n</w:t>
            </w:r>
            <w:r>
              <w:rPr>
                <w:rFonts w:ascii="Malgun Gothic" w:hAnsi="Malgun Gothic" w:eastAsia="Malgun Gothic" w:cs="Malgun Gothic"/>
                <w:b w:val="0"/>
                <w:i w:val="0"/>
                <w:color w:val="000000"/>
                <w:sz w:val="18"/>
              </w:rPr>
              <w:t xml:space="preserve">, </w:t>
            </w:r>
            <w:r>
              <w:rPr>
                <w:rFonts w:ascii="Malgun Gothic" w:hAnsi="Malgun Gothic" w:eastAsia="Malgun Gothic" w:cs="Malgun Gothic"/>
                <w:b w:val="0"/>
                <w:i w:val="0"/>
                <w:color w:val="000000"/>
                <w:sz w:val="18"/>
              </w:rPr>
              <w:t>v</w:t>
            </w:r>
          </w:p>
        </w:tc>
        <w:tc>
          <w:tcPr>
            <w:tcW w:type="dxa" w:w="439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격자 소속 및 격자별 분자·분모·표시값의 비교 대상</w:t>
            </w:r>
          </w:p>
        </w:tc>
      </w:tr>
      <w:tr>
        <w:trPr>
          <w:cantSplit/>
        </w:trPr>
        <w:tc>
          <w:tcPr>
            <w:tcW w:type="dxa" w:w="130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층 미확정 영향</w:t>
            </w:r>
          </w:p>
        </w:tc>
        <w:tc>
          <w:tcPr>
            <w:tcW w:type="dxa" w:w="3713"/>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 xml:space="preserve">공실 상·하한, </w:t>
            </w:r>
            <w:r>
              <w:rPr>
                <w:rFonts w:ascii="Malgun Gothic" w:hAnsi="Malgun Gothic" w:eastAsia="Malgun Gothic" w:cs="Malgun Gothic"/>
                <w:b w:val="0"/>
                <w:i w:val="0"/>
                <w:color w:val="000000"/>
                <w:sz w:val="18"/>
              </w:rPr>
              <w:t>range_width_pp</w:t>
            </w:r>
          </w:p>
        </w:tc>
        <w:tc>
          <w:tcPr>
            <w:tcW w:type="dxa" w:w="439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층 미확정 정보의 배정에 따른 계산 범위</w:t>
            </w:r>
          </w:p>
        </w:tc>
      </w:tr>
      <w:tr>
        <w:trPr>
          <w:cantSplit/>
        </w:trPr>
        <w:tc>
          <w:tcPr>
            <w:tcW w:type="dxa" w:w="130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시점·버전</w:t>
            </w:r>
          </w:p>
        </w:tc>
        <w:tc>
          <w:tcPr>
            <w:tcW w:type="dxa" w:w="3713"/>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 xml:space="preserve">관측시점, 보관 경로, </w:t>
            </w:r>
            <w:r>
              <w:rPr>
                <w:rFonts w:ascii="Malgun Gothic" w:hAnsi="Malgun Gothic" w:eastAsia="Malgun Gothic" w:cs="Malgun Gothic"/>
                <w:b w:val="0"/>
                <w:i w:val="0"/>
                <w:color w:val="000000"/>
                <w:sz w:val="18"/>
              </w:rPr>
              <w:t>built_at</w:t>
            </w:r>
            <w:r>
              <w:rPr>
                <w:rFonts w:ascii="Malgun Gothic" w:hAnsi="Malgun Gothic" w:eastAsia="Malgun Gothic" w:cs="Malgun Gothic"/>
                <w:b w:val="0"/>
                <w:i w:val="0"/>
                <w:color w:val="000000"/>
                <w:sz w:val="18"/>
              </w:rPr>
              <w:t>, 파일 해시</w:t>
            </w:r>
          </w:p>
        </w:tc>
        <w:tc>
          <w:tcPr>
            <w:tcW w:type="dxa" w:w="439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현실의 관측시점과 파일 보관·가공 이력을 구별하는 메타데이터</w:t>
            </w:r>
          </w:p>
        </w:tc>
      </w:tr>
    </w:tbl>
    <w:p>
      <w:pPr>
        <w:spacing w:after="0"/>
      </w:pPr>
    </w:p>
    <w:p>
      <w:r>
        <w:rPr>
          <w:rFonts w:ascii="Malgun Gothic" w:hAnsi="Malgun Gothic" w:eastAsia="Malgun Gothic" w:cs="Malgun Gothic"/>
          <w:b w:val="0"/>
          <w:i w:val="0"/>
          <w:color w:val="000000"/>
        </w:rPr>
        <w:t xml:space="preserve">원본·중간물·가공물은 인벤토리의 경로와 선택 규칙으로 연결한다. 저장소의 계층 명칭만으로 모든 자료가 동일한 가공 단계를 거쳤다고 가정하지 않으며, 현재 입력으로 산출물을 재생성한 사실을 과거 생성 계보의 완전한 복원으로 해석하지 않는다. 인벤토리 포착과 파일 해시는 검사 입력을 식별하는 근거다. 관측시점이 빠진 원천에 대해서는 보관 폴더 날짜나 </w:t>
      </w:r>
      <w:r>
        <w:rPr>
          <w:rFonts w:ascii="Malgun Gothic" w:hAnsi="Malgun Gothic" w:eastAsia="Malgun Gothic" w:cs="Malgun Gothic"/>
          <w:b w:val="0"/>
          <w:i w:val="0"/>
          <w:color w:val="000000"/>
        </w:rPr>
        <w:t>built_at</w:t>
      </w:r>
      <w:r>
        <w:rPr>
          <w:rFonts w:ascii="Malgun Gothic" w:hAnsi="Malgun Gothic" w:eastAsia="Malgun Gothic" w:cs="Malgun Gothic"/>
          <w:b w:val="0"/>
          <w:i w:val="0"/>
          <w:color w:val="000000"/>
        </w:rPr>
        <w:t xml:space="preserve">을 관측일로 대입하지 않는다. </w:t>
      </w:r>
      <w:hyperlink w:anchor="source6">
        <w:r>
          <w:rPr>
            <w:rFonts w:ascii="Malgun Gothic" w:hAnsi="Malgun Gothic" w:eastAsia="Malgun Gothic" w:cs="Malgun Gothic"/>
            <w:color w:val="333333"/>
            <w:sz w:val="17"/>
          </w:rPr>
          <w:t>입력 인벤토리 [자료 6]</w:t>
        </w:r>
      </w:hyperlink>
      <w:r>
        <w:rPr>
          <w:rFonts w:ascii="Malgun Gothic" w:hAnsi="Malgun Gothic" w:eastAsia="Malgun Gothic" w:cs="Malgun Gothic"/>
          <w:b w:val="0"/>
          <w:i w:val="0"/>
          <w:color w:val="000000"/>
        </w:rPr>
        <w:t xml:space="preserve">, </w:t>
      </w:r>
      <w:hyperlink w:anchor="source7">
        <w:r>
          <w:rPr>
            <w:rFonts w:ascii="Malgun Gothic" w:hAnsi="Malgun Gothic" w:eastAsia="Malgun Gothic" w:cs="Malgun Gothic"/>
            <w:color w:val="333333"/>
            <w:sz w:val="17"/>
          </w:rPr>
          <w:t>실행 범위 [자료 7]</w:t>
        </w:r>
      </w:hyperlink>
    </w:p>
    <w:p>
      <w:pPr>
        <w:pStyle w:val="Heading2"/>
      </w:pPr>
      <w:r>
        <w:t>3.2 R-ONE 앵커의 위치와 해석 범위</w:t>
      </w:r>
    </w:p>
    <w:p>
      <w:r>
        <w:rPr>
          <w:rFonts w:ascii="Malgun Gothic" w:hAnsi="Malgun Gothic" w:eastAsia="Malgun Gothic" w:cs="Malgun Gothic"/>
          <w:b w:val="0"/>
          <w:i w:val="0"/>
          <w:color w:val="000000"/>
        </w:rPr>
        <w:t xml:space="preserve">R-ONE 자료는 한국부동산원의 지역·분기 단위 조사통계로, Page의 건물·지번 단위 파생값과 관측 단위가 다르다. 같은 R-ONE 분류지역이 여러 거점에 연결될 수 있으므로 거점별 매핑을 독립된 조사 관측으로 세지 않는다. 앵커는 외부 집계통계와의 대조 맥락을 제공하지만 개별 건물이나 호실의 공실 정답을 대신하지 않는다. </w:t>
      </w:r>
      <w:hyperlink w:anchor="source3">
        <w:r>
          <w:rPr>
            <w:rFonts w:ascii="Malgun Gothic" w:hAnsi="Malgun Gothic" w:eastAsia="Malgun Gothic" w:cs="Malgun Gothic"/>
            <w:color w:val="333333"/>
            <w:sz w:val="17"/>
          </w:rPr>
          <w:t>R-ONE 원천·단위·연결 키 [자료 3]</w:t>
        </w:r>
      </w:hyperlink>
    </w:p>
    <w:p>
      <w:r>
        <w:rPr>
          <w:rFonts w:ascii="Malgun Gothic" w:hAnsi="Malgun Gothic" w:eastAsia="Malgun Gothic" w:cs="Malgun Gothic"/>
          <w:b w:val="0"/>
          <w:i w:val="0"/>
          <w:color w:val="000000"/>
        </w:rPr>
        <w:t xml:space="preserve">본 연구는 현행 앵커 해석과 집계 제외 규칙을 변경하지 않는다. 고정 입력 재현에서 앵커를 포함한 서빙 응답의 일치 여부를 확인한 것은 응답 계산의 재현에 관한 결과다. 앵커와의 격차가 없다는 주장이나 실제 공실률 추정의 타당성 검증으로 해석하지 않으며, 조건 D 결과에는 앵커 격차에 관한 새로운 수치나 정확도 평가를 제시하지 않는다. </w:t>
      </w:r>
      <w:hyperlink w:anchor="source7">
        <w:r>
          <w:rPr>
            <w:rFonts w:ascii="Malgun Gothic" w:hAnsi="Malgun Gothic" w:eastAsia="Malgun Gothic" w:cs="Malgun Gothic"/>
            <w:color w:val="333333"/>
            <w:sz w:val="17"/>
          </w:rPr>
          <w:t>서빙 비교 범위 [자료 7]</w:t>
        </w:r>
      </w:hyperlink>
      <w:r>
        <w:rPr>
          <w:rFonts w:ascii="Malgun Gothic" w:hAnsi="Malgun Gothic" w:eastAsia="Malgun Gothic" w:cs="Malgun Gothic"/>
          <w:b w:val="0"/>
          <w:i w:val="0"/>
          <w:color w:val="000000"/>
        </w:rPr>
        <w:t xml:space="preserve">, </w:t>
      </w:r>
      <w:hyperlink w:anchor="source1">
        <w:r>
          <w:rPr>
            <w:rFonts w:ascii="Malgun Gothic" w:hAnsi="Malgun Gothic" w:eastAsia="Malgun Gothic" w:cs="Malgun Gothic"/>
            <w:color w:val="333333"/>
            <w:sz w:val="17"/>
          </w:rPr>
          <w:t>근거: PAGE-D04·D09 [자료 1]</w:t>
        </w:r>
      </w:hyperlink>
    </w:p>
    <w:p>
      <w:pPr>
        <w:pStyle w:val="Heading2"/>
      </w:pPr>
      <w:r>
        <w:t>3.3 서빙 목록의 단일 출처</w:t>
      </w:r>
    </w:p>
    <w:p>
      <w:r>
        <w:rPr>
          <w:rFonts w:ascii="Malgun Gothic" w:hAnsi="Malgun Gothic" w:eastAsia="Malgun Gothic" w:cs="Malgun Gothic"/>
          <w:b w:val="0"/>
          <w:i w:val="0"/>
          <w:color w:val="000000"/>
        </w:rPr>
        <w:t xml:space="preserve">거점 선택 기준은 </w:t>
      </w:r>
      <w:r>
        <w:rPr>
          <w:rFonts w:ascii="Malgun Gothic" w:hAnsi="Malgun Gothic" w:eastAsia="Malgun Gothic" w:cs="Malgun Gothic"/>
          <w:b w:val="0"/>
          <w:i w:val="0"/>
          <w:color w:val="000000"/>
        </w:rPr>
        <w:t>data/config/page_hubs.py</w:t>
      </w:r>
      <w:r>
        <w:rPr>
          <w:rFonts w:ascii="Malgun Gothic" w:hAnsi="Malgun Gothic" w:eastAsia="Malgun Gothic" w:cs="Malgun Gothic"/>
          <w:b w:val="0"/>
          <w:i w:val="0"/>
          <w:color w:val="000000"/>
        </w:rPr>
        <w:t xml:space="preserve">의 </w:t>
      </w:r>
      <w:r>
        <w:rPr>
          <w:rFonts w:ascii="Malgun Gothic" w:hAnsi="Malgun Gothic" w:eastAsia="Malgun Gothic" w:cs="Malgun Gothic"/>
          <w:b w:val="0"/>
          <w:i w:val="0"/>
          <w:color w:val="000000"/>
        </w:rPr>
        <w:t>ACTIVE_HUBS</w:t>
      </w:r>
      <w:r>
        <w:rPr>
          <w:rFonts w:ascii="Malgun Gothic" w:hAnsi="Malgun Gothic" w:eastAsia="Malgun Gothic" w:cs="Malgun Gothic"/>
          <w:b w:val="0"/>
          <w:i w:val="0"/>
          <w:color w:val="000000"/>
        </w:rPr>
        <w:t xml:space="preserve">이며, 연구의 분석 범위는 실행 당시 인벤토리에 포착한 목록으로 고정한다. Gold 디렉터리에 남아 있는 커버리지 파일의 수를 세어 연구 모집단을 다시 정의하지 않는다. 서빙 목록 밖의 산출물이 존재할 수 있기 때문이다. 이후 레지스트리나 자료가 변경되더라도 조건 D의 결과에 새 거점을 소급하여 포함하지 않는다. </w:t>
      </w:r>
      <w:hyperlink w:anchor="source8">
        <w:r>
          <w:rPr>
            <w:rFonts w:ascii="Malgun Gothic" w:hAnsi="Malgun Gothic" w:eastAsia="Malgun Gothic" w:cs="Malgun Gothic"/>
            <w:color w:val="333333"/>
            <w:sz w:val="17"/>
          </w:rPr>
          <w:t>거점 레지스트리 [자료 8]</w:t>
        </w:r>
      </w:hyperlink>
      <w:r>
        <w:rPr>
          <w:rFonts w:ascii="Malgun Gothic" w:hAnsi="Malgun Gothic" w:eastAsia="Malgun Gothic" w:cs="Malgun Gothic"/>
          <w:b w:val="0"/>
          <w:i w:val="0"/>
          <w:color w:val="000000"/>
        </w:rPr>
        <w:t xml:space="preserve">, </w:t>
      </w:r>
      <w:hyperlink w:anchor="source6">
        <w:r>
          <w:rPr>
            <w:rFonts w:ascii="Malgun Gothic" w:hAnsi="Malgun Gothic" w:eastAsia="Malgun Gothic" w:cs="Malgun Gothic"/>
            <w:color w:val="333333"/>
            <w:sz w:val="17"/>
          </w:rPr>
          <w:t>동결 입력 명세 [자료 6]</w:t>
        </w:r>
      </w:hyperlink>
    </w:p>
    <w:p>
      <w:r>
        <w:rPr>
          <w:rFonts w:ascii="Malgun Gothic" w:hAnsi="Malgun Gothic" w:eastAsia="Malgun Gothic" w:cs="Malgun Gothic"/>
          <w:b w:val="0"/>
          <w:i w:val="0"/>
          <w:color w:val="000000"/>
        </w:rPr>
        <w:t xml:space="preserve">재현 자료는 파일 목록·해시·선택 경로와 실행 환경을 함께 제공한다. 다만 목록에 등재된 파일의 실제 보유 범위는 실행 환경마다 다르다. 이전 새 체크아웃과 원본을 보유한 PC의 재검증은 별도 기록으로 다루며, 같은 계산 결과가 나왔다는 이유로 입력 가용성이나 코드 바이트까지 동일했다고 간주하지 않는다. 이 구분은 재현 가능한 실행 구간을 명시하기 위한 것으로, 파일 해시의 존재 자체를 자료 접근이나 원천 재수집 가능성의 증거로 사용하지 않는다. </w:t>
      </w:r>
      <w:hyperlink w:anchor="source1">
        <w:r>
          <w:rPr>
            <w:rFonts w:ascii="Malgun Gothic" w:hAnsi="Malgun Gothic" w:eastAsia="Malgun Gothic" w:cs="Malgun Gothic"/>
            <w:color w:val="333333"/>
            <w:sz w:val="17"/>
          </w:rPr>
          <w:t>근거: PAGE-D09–D12 [자료 1]</w:t>
        </w:r>
      </w:hyperlink>
      <w:r>
        <w:rPr>
          <w:rFonts w:ascii="Malgun Gothic" w:hAnsi="Malgun Gothic" w:eastAsia="Malgun Gothic" w:cs="Malgun Gothic"/>
          <w:b w:val="0"/>
          <w:i w:val="0"/>
          <w:color w:val="000000"/>
        </w:rPr>
        <w:t xml:space="preserve">, </w:t>
      </w:r>
      <w:hyperlink w:anchor="source9">
        <w:r>
          <w:rPr>
            <w:rFonts w:ascii="Malgun Gothic" w:hAnsi="Malgun Gothic" w:eastAsia="Malgun Gothic" w:cs="Malgun Gothic"/>
            <w:color w:val="333333"/>
            <w:sz w:val="17"/>
          </w:rPr>
          <w:t>환경별 실행 기록 [자료 9]</w:t>
        </w:r>
      </w:hyperlink>
    </w:p>
    <w:p>
      <w:pPr>
        <w:pStyle w:val="Heading2"/>
      </w:pPr>
      <w:r>
        <w:t>3.4 구조 일관성·계산 재현성·순서 민감도의 평가 절차</w:t>
      </w:r>
    </w:p>
    <w:p>
      <w:r>
        <w:rPr>
          <w:rFonts w:ascii="Malgun Gothic" w:hAnsi="Malgun Gothic" w:eastAsia="Malgun Gothic" w:cs="Malgun Gothic"/>
          <w:b w:val="0"/>
          <w:i w:val="0"/>
          <w:color w:val="000000"/>
        </w:rPr>
        <w:t xml:space="preserve">본 연구는 공공행정자료를 결합한 가공 산출물의 계산적 성질을 평가한다. Alsudais의 저자 공개본에서 확인한 객체 의미 대조와 릴리스 특정의 절차를 참고하되, 원문 자료와 PlaceOS 자료의 관측 단위가 같다고 가정하지 않는다. 원문 검토의 판본·페이지와 적용 변경은 </w:t>
      </w:r>
      <w:hyperlink w:anchor="source10">
        <w:r>
          <w:rPr>
            <w:rFonts w:ascii="Malgun Gothic" w:hAnsi="Malgun Gothic" w:eastAsia="Malgun Gothic" w:cs="Malgun Gothic"/>
            <w:color w:val="333333"/>
            <w:sz w:val="17"/>
          </w:rPr>
          <w:t>방법 근거표 [자료 10]</w:t>
        </w:r>
      </w:hyperlink>
      <w:r>
        <w:rPr>
          <w:rFonts w:ascii="Malgun Gothic" w:hAnsi="Malgun Gothic" w:eastAsia="Malgun Gothic" w:cs="Malgun Gothic"/>
          <w:b w:val="0"/>
          <w:i w:val="0"/>
          <w:color w:val="000000"/>
        </w:rPr>
        <w:t>에 기록한다. 출판본 및 별도 부록 대조는 미완료이며, 원문의 수치나 통계 검정 결과를 성능 기준으로 사용하지 않는다.</w:t>
      </w:r>
    </w:p>
    <w:p>
      <w:r>
        <w:rPr>
          <w:rFonts w:ascii="Malgun Gothic" w:hAnsi="Malgun Gothic" w:eastAsia="Malgun Gothic" w:cs="Malgun Gothic"/>
          <w:b w:val="0"/>
          <w:i w:val="0"/>
          <w:color w:val="000000"/>
        </w:rPr>
        <w:t>분석 입력은 원천 경로·선택 규칙·파일 해시를 가진 인벤토리로 특정한다. 표시 객체인 폴리곤과 집계 객체인 지번을 구분하고, 현행 출처·분모·도형 조건을 통과하는 지번만 대표 집계에 포함한다. 원천 관측 시점이 없으면 보관일이나 가공일로 대체하지 않는다. 구조 검사는 식별자, 분자·분모 범위, 계산식 및 층 정보의 일관성을 대상으로 하며, 규칙별 적용 분모와 미평가를 함께 보고한다. 동일 지번 내 서로 다른 폴리곤의 값 차이를 확정 오류로 취급하지 않는다.</w:t>
      </w:r>
    </w:p>
    <w:p>
      <w:r>
        <w:rPr>
          <w:rFonts w:ascii="Malgun Gothic" w:hAnsi="Malgun Gothic" w:eastAsia="Malgun Gothic" w:cs="Malgun Gothic"/>
          <w:b w:val="0"/>
          <w:i w:val="0"/>
          <w:color w:val="000000"/>
        </w:rPr>
        <w:t>재현성은 고정 입력 반복과 새 체크아웃의 서빙 실행으로 평가한다. 반복 마스터는 바이트와 객체 값을 각각 비교하며, 커버리지의 생성시각은 사전에 지정한 제외 항목으로 구분한다. 서빙 응답은 필드를 제외하지 않고 전체 객체를 비교한다. 별도의 검산은 저장된 셀의 수용량·활성값·공실량을 합산하여 거점 응답과 대조한다. 새 체크아웃 시험은 배포 Gold에서 서빙까지의 재현 범위이며, 원천 재수집부터의 전체 파이프라인 재현과 구분한다. 실행기·환경·입력 및 로드한 코드의 해시는 함께 보존한다.</w:t>
      </w:r>
    </w:p>
    <w:p>
      <w:r>
        <w:rPr>
          <w:rFonts w:ascii="Malgun Gothic" w:hAnsi="Malgun Gothic" w:eastAsia="Malgun Gothic" w:cs="Malgun Gothic"/>
          <w:b w:val="0"/>
          <w:i w:val="0"/>
          <w:color w:val="000000"/>
        </w:rPr>
        <w:t xml:space="preserve">순서 민감도는 내용이 같은 폴리곤을 역순·식별자 순·고정 난수 순으로 입력한 기존 탐색 시험을 대상으로 한다. 거점 전체 집계, 격자 진입·이탈, 공통 격자의 분자·분모 변화를 구분하고, 반복 변형을 독립 표본으로 세지 않는다. 층 미확정 정보에 따른 공실 상·하한은 배정 가능한 범위이며 통계적 신뢰구간이 아니다. 이미 관찰한 결과에 대한 분석임을 밝히고 사전등록 가설검정으로 소급하지 않는다. 독립 현장 정답이 없어 현실 공실 정확도·오류 수정 효과는 추정하지 않는다. 본 절의 실행 범위와 수치 근거는 </w:t>
      </w:r>
      <w:hyperlink w:anchor="source1">
        <w:r>
          <w:rPr>
            <w:rFonts w:ascii="Malgun Gothic" w:hAnsi="Malgun Gothic" w:eastAsia="Malgun Gothic" w:cs="Malgun Gothic"/>
            <w:color w:val="333333"/>
            <w:sz w:val="17"/>
          </w:rPr>
          <w:t>근거 인덱스 조건 D [자료 1]</w:t>
        </w:r>
      </w:hyperlink>
      <w:r>
        <w:rPr>
          <w:rFonts w:ascii="Malgun Gothic" w:hAnsi="Malgun Gothic" w:eastAsia="Malgun Gothic" w:cs="Malgun Gothic"/>
          <w:b w:val="0"/>
          <w:i w:val="0"/>
          <w:color w:val="000000"/>
        </w:rPr>
        <w:t xml:space="preserve">와 </w:t>
      </w:r>
      <w:hyperlink w:anchor="source9">
        <w:r>
          <w:rPr>
            <w:rFonts w:ascii="Malgun Gothic" w:hAnsi="Malgun Gothic" w:eastAsia="Malgun Gothic" w:cs="Malgun Gothic"/>
            <w:color w:val="333333"/>
            <w:sz w:val="17"/>
          </w:rPr>
          <w:t>재검증 기록 [자료 9]</w:t>
        </w:r>
      </w:hyperlink>
      <w:r>
        <w:rPr>
          <w:rFonts w:ascii="Malgun Gothic" w:hAnsi="Malgun Gothic" w:eastAsia="Malgun Gothic" w:cs="Malgun Gothic"/>
          <w:b w:val="0"/>
          <w:i w:val="0"/>
          <w:color w:val="000000"/>
        </w:rPr>
        <w:t>에 연결한다.</w:t>
      </w:r>
    </w:p>
    <w:p>
      <w:r>
        <w:rPr>
          <w:rFonts w:ascii="Malgun Gothic" w:hAnsi="Malgun Gothic" w:eastAsia="Malgun Gothic" w:cs="Malgun Gothic"/>
          <w:b w:val="0"/>
          <w:i w:val="0"/>
          <w:color w:val="000000"/>
        </w:rPr>
        <w:t>검사 항목은 Wang과 Strong(1996)의 범주에 맞추어 다음과 같이 정리한다. 이 대응은 범주 수준에서 본 연구의 검사를 분류한 것이며 원 프레임의 차원별 척도를 적용한 것은 아니다.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12"/>
        <w:gridCol w:w="3443"/>
        <w:gridCol w:w="4656"/>
      </w:tblGrid>
      <w:tr>
        <w:trPr>
          <w:cantSplit/>
          <w:tblHeader/>
        </w:trPr>
        <w:tc>
          <w:tcPr>
            <w:tcW w:type="dxa" w:w="1312"/>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품질 범주</w:t>
            </w:r>
          </w:p>
        </w:tc>
        <w:tc>
          <w:tcPr>
            <w:tcW w:type="dxa" w:w="3443"/>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본 연구의 검사</w:t>
            </w:r>
          </w:p>
        </w:tc>
        <w:tc>
          <w:tcPr>
            <w:tcW w:type="dxa" w:w="4656"/>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상태</w:t>
            </w:r>
          </w:p>
        </w:tc>
      </w:tr>
      <w:tr>
        <w:trPr>
          <w:cantSplit/>
        </w:trPr>
        <w:tc>
          <w:tcPr>
            <w:tcW w:type="dxa" w:w="131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내재적</w:t>
            </w:r>
          </w:p>
        </w:tc>
        <w:tc>
          <w:tcPr>
            <w:tcW w:type="dxa" w:w="3443"/>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구조 일관성(식별자·계산식·층 정보)과 현실 공실과의 일치(H4)</w:t>
            </w:r>
          </w:p>
        </w:tc>
        <w:tc>
          <w:tcPr>
            <w:tcW w:type="dxa" w:w="465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일관성은 검사 범위에서 통과, 현실 일치는 미검증</w:t>
            </w:r>
          </w:p>
        </w:tc>
      </w:tr>
      <w:tr>
        <w:trPr>
          <w:cantSplit/>
        </w:trPr>
        <w:tc>
          <w:tcPr>
            <w:tcW w:type="dxa" w:w="131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맥락적</w:t>
            </w:r>
          </w:p>
        </w:tc>
        <w:tc>
          <w:tcPr>
            <w:tcW w:type="dxa" w:w="3443"/>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원천 관측시점 정렬과 층 미확정에 따른 범위</w:t>
            </w:r>
          </w:p>
        </w:tc>
        <w:tc>
          <w:tcPr>
            <w:tcW w:type="dxa" w:w="465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시점 정렬은 66거점 평가 불가, 범위 폭은 계산 범위로 보고</w:t>
            </w:r>
          </w:p>
        </w:tc>
      </w:tr>
      <w:tr>
        <w:trPr>
          <w:cantSplit/>
        </w:trPr>
        <w:tc>
          <w:tcPr>
            <w:tcW w:type="dxa" w:w="131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표현적</w:t>
            </w:r>
          </w:p>
        </w:tc>
        <w:tc>
          <w:tcPr>
            <w:tcW w:type="dxa" w:w="3443"/>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폴리곤·지번·격자의 구분과 순서 민감도</w:t>
            </w:r>
          </w:p>
        </w:tc>
        <w:tc>
          <w:tcPr>
            <w:tcW w:type="dxa" w:w="465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동일 지번 차이는 확정 오류로 세지 않음, 격자 출력은 순서 불변이 아님</w:t>
            </w:r>
          </w:p>
        </w:tc>
      </w:tr>
      <w:tr>
        <w:trPr>
          <w:cantSplit/>
        </w:trPr>
        <w:tc>
          <w:tcPr>
            <w:tcW w:type="dxa" w:w="1312"/>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접근성</w:t>
            </w:r>
          </w:p>
        </w:tc>
        <w:tc>
          <w:tcPr>
            <w:tcW w:type="dxa" w:w="3443"/>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환경별 자료 보유와 재현 구간</w:t>
            </w:r>
          </w:p>
        </w:tc>
        <w:tc>
          <w:tcPr>
            <w:tcW w:type="dxa" w:w="465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새 체크아웃은 946개 중 265개 보유, PC 재검증은 946개 보유</w:t>
            </w:r>
          </w:p>
        </w:tc>
      </w:tr>
    </w:tbl>
    <w:p>
      <w:pPr>
        <w:spacing w:after="0"/>
      </w:pPr>
    </w:p>
    <w:p>
      <w:pPr>
        <w:pStyle w:val="Heading1"/>
      </w:pPr>
      <w:r>
        <w:t>4 조건 D 결과</w:t>
      </w:r>
    </w:p>
    <w:p>
      <w:pPr>
        <w:pStyle w:val="Heading2"/>
      </w:pPr>
      <w:r>
        <w:t>4.1 구조 일관성 검사</w:t>
      </w:r>
    </w:p>
    <w:p>
      <w:r>
        <w:rPr>
          <w:rFonts w:ascii="Malgun Gothic" w:hAnsi="Malgun Gothic" w:eastAsia="Malgun Gothic" w:cs="Malgun Gothic"/>
          <w:b w:val="0"/>
          <w:i w:val="0"/>
          <w:color w:val="000000"/>
        </w:rPr>
        <w:t xml:space="preserve">동결된 가공 마스터의 검사 범위는 66거점, 52,642 폴리곤이다. 식별자·계산식에 대한 구조 감사와 층 정보 검사는 적용 분모를 구분하며, 층 정보 검사의 대상은 30,912 폴리곤이다. 이 결과는 가공 산출물 내부의 일관성에 관한 것으로, 구조 검사 통과가 현실 공실 정답 확인을 뜻하지 않는다. 같은 지번의 서로 다른 폴리곤도 자동으로 확정 오류라고 부르지 않는다. </w:t>
      </w:r>
      <w:hyperlink w:anchor="source1">
        <w:r>
          <w:rPr>
            <w:rFonts w:ascii="Malgun Gothic" w:hAnsi="Malgun Gothic" w:eastAsia="Malgun Gothic" w:cs="Malgun Gothic"/>
            <w:color w:val="333333"/>
            <w:sz w:val="17"/>
          </w:rPr>
          <w:t>근거: PAGE-D01·D02 및 조건 D의 동일 지번 판정 제한 [자료 1]</w:t>
        </w:r>
      </w:hyperlink>
    </w:p>
    <w:p>
      <w:pPr>
        <w:pStyle w:val="Heading2"/>
      </w:pPr>
      <w:r>
        <w:t>4.2 고정 입력 계산 재현</w:t>
      </w:r>
    </w:p>
    <w:p>
      <w:r>
        <w:rPr>
          <w:rFonts w:ascii="Malgun Gothic" w:hAnsi="Malgun Gothic" w:eastAsia="Malgun Gothic" w:cs="Malgun Gothic"/>
          <w:b w:val="0"/>
          <w:i w:val="0"/>
          <w:color w:val="000000"/>
        </w:rPr>
        <w:t xml:space="preserve">기존 별도 프로세스 반복에서는 마스터·커버리지·서빙이 66/66 일치했다. 마스터는 바이트와 객체 값을 비교했고, 커버리지는 생성시각인 </w:t>
      </w:r>
      <w:r>
        <w:rPr>
          <w:rFonts w:ascii="Malgun Gothic" w:hAnsi="Malgun Gothic" w:eastAsia="Malgun Gothic" w:cs="Malgun Gothic"/>
          <w:b w:val="0"/>
          <w:i w:val="0"/>
          <w:color w:val="000000"/>
        </w:rPr>
        <w:t>built_at</w:t>
      </w:r>
      <w:r>
        <w:rPr>
          <w:rFonts w:ascii="Malgun Gothic" w:hAnsi="Malgun Gothic" w:eastAsia="Malgun Gothic" w:cs="Malgun Gothic"/>
          <w:b w:val="0"/>
          <w:i w:val="0"/>
          <w:color w:val="000000"/>
        </w:rPr>
        <w:t xml:space="preserve">만 제외했으며, 서빙은 전체 응답 객체를 비교했다. 보존 서빙 사본 비교와 셀 독립 재합산도 각각 66/66 통과했다. 이때 독립 재합산은 저장된 셀의 수용량·활성값·공실량을 다시 합산한 계산 검산이며, 독립 현장 조사나 독립 연구팀의 재현을 의미하지 않는다. </w:t>
      </w:r>
      <w:hyperlink w:anchor="source1">
        <w:r>
          <w:rPr>
            <w:rFonts w:ascii="Malgun Gothic" w:hAnsi="Malgun Gothic" w:eastAsia="Malgun Gothic" w:cs="Malgun Gothic"/>
            <w:color w:val="333333"/>
            <w:sz w:val="17"/>
          </w:rPr>
          <w:t>근거: PAGE-D04·D08 [자료 1]</w:t>
        </w:r>
      </w:hyperlink>
    </w:p>
    <w:p>
      <w:r>
        <w:rPr>
          <w:rFonts w:ascii="Malgun Gothic" w:hAnsi="Malgun Gothic" w:eastAsia="Malgun Gothic" w:cs="Malgun Gothic"/>
          <w:b w:val="0"/>
          <w:i w:val="0"/>
          <w:color w:val="000000"/>
        </w:rPr>
        <w:t xml:space="preserve">이전 새 체크아웃에서는 보존 감사 파일 224개가 해시와 일치했고, Gold→서빙 비교가 66/66 일치했다. 해당 체크아웃의 원본 인벤토리 946개 중 보유는 265개, 미보유는 681개였다. 검증 범위는 Gold→서빙이며 Bronze→Silver→Gold 전체 재현이 아니다. 이번 PC 작업 디렉터리의 재검증에서도 서빙 비교·셀 재합산·Gold→서빙 비교는 각각 66/66 통과했다. 다만 PC의 원본·감사 파일 보유 범위는 이전 체크아웃과 다르므로 실행 기록을 분리했다. 이 PC 실행을 새로운 체크아웃 시험이나 원천 재수집으로 세지 않는다. </w:t>
      </w:r>
      <w:hyperlink w:anchor="source1">
        <w:r>
          <w:rPr>
            <w:rFonts w:ascii="Malgun Gothic" w:hAnsi="Malgun Gothic" w:eastAsia="Malgun Gothic" w:cs="Malgun Gothic"/>
            <w:color w:val="333333"/>
            <w:sz w:val="17"/>
          </w:rPr>
          <w:t>근거: PAGE-D09–D12 [자료 1]</w:t>
        </w:r>
      </w:hyperlink>
      <w:r>
        <w:rPr>
          <w:rFonts w:ascii="Malgun Gothic" w:hAnsi="Malgun Gothic" w:eastAsia="Malgun Gothic" w:cs="Malgun Gothic"/>
          <w:b w:val="0"/>
          <w:i w:val="0"/>
          <w:color w:val="000000"/>
        </w:rPr>
        <w:t xml:space="preserve">, </w:t>
      </w:r>
      <w:hyperlink w:anchor="source9">
        <w:r>
          <w:rPr>
            <w:rFonts w:ascii="Malgun Gothic" w:hAnsi="Malgun Gothic" w:eastAsia="Malgun Gothic" w:cs="Malgun Gothic"/>
            <w:color w:val="333333"/>
            <w:sz w:val="17"/>
          </w:rPr>
          <w:t>환경별 실행 기록 [자료 9]</w:t>
        </w:r>
      </w:hyperlink>
    </w:p>
    <w:p>
      <w:pPr>
        <w:pStyle w:val="Heading2"/>
      </w:pPr>
      <w:r>
        <w:t>4.3 순서 민감도</w:t>
      </w:r>
    </w:p>
    <w:p>
      <w:r>
        <w:rPr>
          <w:rFonts w:ascii="Malgun Gothic" w:hAnsi="Malgun Gothic" w:eastAsia="Malgun Gothic" w:cs="Malgun Gothic"/>
          <w:b w:val="0"/>
          <w:i w:val="0"/>
          <w:color w:val="000000"/>
        </w:rPr>
        <w:t xml:space="preserve">기존 행 순서 시험 198회에서 거점 전체 집계 변화는 0회였지만, 65거점에서 격자 소속 또는 분자·분모 영향이 있었다. 따라서 이 입력 묶음에서 전체 집계가 같았다는 사실만으로 격자 출력까지 순서에 불변이라고 판단할 수 없다. 이 시험들은 동일 내용을 역순·식별자 순·고정 난수 순으로 변형한 기존 사후 탐색 결과이며, 독립 표본이나 사전등록 가설검정이 아니다. 현실 위치 오차나 오류 수정 효과도 이 결과로 추정하지 않는다. </w:t>
      </w:r>
      <w:hyperlink w:anchor="source1">
        <w:r>
          <w:rPr>
            <w:rFonts w:ascii="Malgun Gothic" w:hAnsi="Malgun Gothic" w:eastAsia="Malgun Gothic" w:cs="Malgun Gothic"/>
            <w:color w:val="333333"/>
            <w:sz w:val="17"/>
          </w:rPr>
          <w:t>근거: PAGE-D05 [자료 1]</w:t>
        </w:r>
      </w:hyperlink>
      <w:r>
        <w:rPr>
          <w:rFonts w:ascii="Malgun Gothic" w:hAnsi="Malgun Gothic" w:eastAsia="Malgun Gothic" w:cs="Malgun Gothic"/>
          <w:b w:val="0"/>
          <w:i w:val="0"/>
          <w:color w:val="000000"/>
        </w:rPr>
        <w:t xml:space="preserve">, </w:t>
      </w:r>
      <w:hyperlink w:anchor="source9">
        <w:r>
          <w:rPr>
            <w:rFonts w:ascii="Malgun Gothic" w:hAnsi="Malgun Gothic" w:eastAsia="Malgun Gothic" w:cs="Malgun Gothic"/>
            <w:color w:val="333333"/>
            <w:sz w:val="17"/>
          </w:rPr>
          <w:t>순서 시험 재집계 [자료 9]</w:t>
        </w:r>
      </w:hyperlink>
    </w:p>
    <w:p>
      <w:pPr>
        <w:pStyle w:val="Heading2"/>
      </w:pPr>
      <w:r>
        <w:t>4.4 층 정보 미확정에 따른 범위</w:t>
      </w:r>
    </w:p>
    <w:p>
      <w:r>
        <w:rPr>
          <w:rFonts w:ascii="Malgun Gothic" w:hAnsi="Malgun Gothic" w:eastAsia="Malgun Gothic" w:cs="Malgun Gothic"/>
          <w:b w:val="0"/>
          <w:i w:val="0"/>
          <w:color w:val="000000"/>
        </w:rPr>
        <w:t xml:space="preserve">층 배정에 따른 공실 범위 폭은 중앙값 16.235267101643892%p, 최댓값 34.38818565400844%p였다. 이는 층 정보 부족에 따라 배정 가능한 상·하한의 계산 범위이며, 통계적 신뢰구간이나 현실 공실 오차의 추정치가 아니다. 원문 연구의 수치·확률분포·임계값을 이 범위의 성능 기준으로 사용하지 않았다. </w:t>
      </w:r>
      <w:hyperlink w:anchor="source1">
        <w:r>
          <w:rPr>
            <w:rFonts w:ascii="Malgun Gothic" w:hAnsi="Malgun Gothic" w:eastAsia="Malgun Gothic" w:cs="Malgun Gothic"/>
            <w:color w:val="333333"/>
            <w:sz w:val="17"/>
          </w:rPr>
          <w:t>근거: PAGE-D06 [자료 1]</w:t>
        </w:r>
      </w:hyperlink>
      <w:r>
        <w:rPr>
          <w:rFonts w:ascii="Malgun Gothic" w:hAnsi="Malgun Gothic" w:eastAsia="Malgun Gothic" w:cs="Malgun Gothic"/>
          <w:b w:val="0"/>
          <w:i w:val="0"/>
          <w:color w:val="000000"/>
        </w:rPr>
        <w:t xml:space="preserve">, </w:t>
      </w:r>
      <w:hyperlink w:anchor="source10">
        <w:r>
          <w:rPr>
            <w:rFonts w:ascii="Malgun Gothic" w:hAnsi="Malgun Gothic" w:eastAsia="Malgun Gothic" w:cs="Malgun Gothic"/>
            <w:color w:val="333333"/>
            <w:sz w:val="17"/>
          </w:rPr>
          <w:t>방법 적용 제한 [자료 10]</w:t>
        </w:r>
      </w:hyperlink>
    </w:p>
    <w:p>
      <w:pPr>
        <w:pStyle w:val="Heading2"/>
      </w:pPr>
      <w:r>
        <w:t>4.5 검증 범위와 미평가 항목</w:t>
      </w:r>
    </w:p>
    <w:p>
      <w:r>
        <w:rPr>
          <w:rFonts w:ascii="Malgun Gothic" w:hAnsi="Malgun Gothic" w:eastAsia="Malgun Gothic" w:cs="Malgun Gothic"/>
          <w:b w:val="0"/>
          <w:i w:val="0"/>
          <w:color w:val="000000"/>
        </w:rPr>
        <w:t xml:space="preserve">독립 검토용 표본 211개는 전부 </w:t>
      </w:r>
      <w:r>
        <w:rPr>
          <w:rFonts w:ascii="Malgun Gothic" w:hAnsi="Malgun Gothic" w:eastAsia="Malgun Gothic" w:cs="Malgun Gothic"/>
          <w:b w:val="0"/>
          <w:i w:val="0"/>
          <w:color w:val="000000"/>
        </w:rPr>
        <w:t>unresolved</w:t>
      </w:r>
      <w:r>
        <w:rPr>
          <w:rFonts w:ascii="Malgun Gothic" w:hAnsi="Malgun Gothic" w:eastAsia="Malgun Gothic" w:cs="Malgun Gothic"/>
          <w:b w:val="0"/>
          <w:i w:val="0"/>
          <w:color w:val="000000"/>
        </w:rPr>
        <w:t xml:space="preserve">이며, 독립 현장 정답이 없으므로 현실 공실 정확도와 오류 수정 효과는 추정하지 않는다. 원천 관측 시점 정렬은 66거점에서 평가 불가였다. 누락된 관측 시점을 보관일 또는 가공일로 대체하지 않으며, 계산 재현 성공을 최신성·동시점 현실 확인으로 확대하지 않는다. </w:t>
      </w:r>
      <w:hyperlink w:anchor="source1">
        <w:r>
          <w:rPr>
            <w:rFonts w:ascii="Malgun Gothic" w:hAnsi="Malgun Gothic" w:eastAsia="Malgun Gothic" w:cs="Malgun Gothic"/>
            <w:color w:val="333333"/>
            <w:sz w:val="17"/>
          </w:rPr>
          <w:t>근거: PAGE-D03·D07 [자료 1]</w:t>
        </w:r>
      </w:hyperlink>
    </w:p>
    <w:p>
      <w:r>
        <w:rPr>
          <w:rFonts w:ascii="Malgun Gothic" w:hAnsi="Malgun Gothic" w:eastAsia="Malgun Gothic" w:cs="Malgun Gothic"/>
          <w:b w:val="0"/>
          <w:i w:val="0"/>
          <w:color w:val="000000"/>
        </w:rPr>
        <w:t xml:space="preserve">핵심 문헌인 Alsudais의 최종본·별도 부록·저자 원자료·코드와 보조문헌인 Marsden·Pingry 및 Timmerman·Bronselaer의 전체 본문은 미확보다. 공개본에서 발견한 불일치는 최종 출판본의 확정 오류로 판정하지 않는다. 본 결과는 조건 D의 동결 입력과 계산 절차에 한정하며, 기존 유동·해상도 분석과 결합한 효과, 전체 파이프라인 재현, 클라우드 실행, 독립 팀 재현은 주장하지 않는다. </w:t>
      </w:r>
      <w:hyperlink w:anchor="source5">
        <w:r>
          <w:rPr>
            <w:rFonts w:ascii="Malgun Gothic" w:hAnsi="Malgun Gothic" w:eastAsia="Malgun Gothic" w:cs="Malgun Gothic"/>
            <w:color w:val="333333"/>
            <w:sz w:val="17"/>
          </w:rPr>
          <w:t>문헌 확인 범위 [자료 5]</w:t>
        </w:r>
      </w:hyperlink>
      <w:r>
        <w:rPr>
          <w:rFonts w:ascii="Malgun Gothic" w:hAnsi="Malgun Gothic" w:eastAsia="Malgun Gothic" w:cs="Malgun Gothic"/>
          <w:b w:val="0"/>
          <w:i w:val="0"/>
          <w:color w:val="000000"/>
        </w:rPr>
        <w:t xml:space="preserve">, </w:t>
      </w:r>
      <w:hyperlink w:anchor="source1">
        <w:r>
          <w:rPr>
            <w:rFonts w:ascii="Malgun Gothic" w:hAnsi="Malgun Gothic" w:eastAsia="Malgun Gothic" w:cs="Malgun Gothic"/>
            <w:color w:val="333333"/>
            <w:sz w:val="17"/>
          </w:rPr>
          <w:t>조건 D 해석 범위 [자료 1]</w:t>
        </w:r>
      </w:hyperlink>
      <w:r>
        <w:rPr>
          <w:rFonts w:ascii="Malgun Gothic" w:hAnsi="Malgun Gothic" w:eastAsia="Malgun Gothic" w:cs="Malgun Gothic"/>
          <w:b w:val="0"/>
          <w:i w:val="0"/>
          <w:color w:val="000000"/>
        </w:rPr>
        <w:t xml:space="preserve">, </w:t>
      </w:r>
      <w:hyperlink w:anchor="source9">
        <w:r>
          <w:rPr>
            <w:rFonts w:ascii="Malgun Gothic" w:hAnsi="Malgun Gothic" w:eastAsia="Malgun Gothic" w:cs="Malgun Gothic"/>
            <w:color w:val="333333"/>
            <w:sz w:val="17"/>
          </w:rPr>
          <w:t>미평가 항목 [자료 9]</w:t>
        </w:r>
      </w:hyperlink>
    </w:p>
    <w:p>
      <w:pPr>
        <w:pStyle w:val="Heading2"/>
      </w:pPr>
      <w:r>
        <w:t>4.6 가설 검증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5"/>
        <w:gridCol w:w="2018"/>
        <w:gridCol w:w="5778"/>
      </w:tblGrid>
      <w:tr>
        <w:trPr>
          <w:cantSplit/>
          <w:tblHeader/>
        </w:trPr>
        <w:tc>
          <w:tcPr>
            <w:tcW w:type="dxa" w:w="1615"/>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가설</w:t>
            </w:r>
          </w:p>
        </w:tc>
        <w:tc>
          <w:tcPr>
            <w:tcW w:type="dxa" w:w="201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판정</w:t>
            </w:r>
          </w:p>
        </w:tc>
        <w:tc>
          <w:tcPr>
            <w:tcW w:type="dxa" w:w="5778"/>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근거와 판정 범위</w:t>
            </w:r>
          </w:p>
        </w:tc>
      </w:tr>
      <w:tr>
        <w:trPr>
          <w:cantSplit/>
        </w:trPr>
        <w:tc>
          <w:tcPr>
            <w:tcW w:type="dxa" w:w="1615"/>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H1 고정 입력 계산 재현</w:t>
            </w:r>
          </w:p>
        </w:tc>
        <w:tc>
          <w:tcPr>
            <w:tcW w:type="dxa" w:w="201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검사 범위에서 지지</w:t>
            </w:r>
          </w:p>
        </w:tc>
        <w:tc>
          <w:tcPr>
            <w:tcW w:type="dxa" w:w="577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마스터·커버리지·서빙 반복 66/66 일치. 커버리지 생성시각 제외 등 지정한 비교 기준에 한정</w:t>
            </w:r>
          </w:p>
        </w:tc>
      </w:tr>
      <w:tr>
        <w:trPr>
          <w:cantSplit/>
        </w:trPr>
        <w:tc>
          <w:tcPr>
            <w:tcW w:type="dxa" w:w="1615"/>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H2 거점 전체 집계의 순서 불변성</w:t>
            </w:r>
          </w:p>
        </w:tc>
        <w:tc>
          <w:tcPr>
            <w:tcW w:type="dxa" w:w="201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관측한 변형에서 지지</w:t>
            </w:r>
          </w:p>
        </w:tc>
        <w:tc>
          <w:tcPr>
            <w:tcW w:type="dxa" w:w="577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기존 순서 시험 198회에서 거점 전체 집계 변화 0회. 모든 가능한 순서에 대한 증명 아님</w:t>
            </w:r>
          </w:p>
        </w:tc>
      </w:tr>
      <w:tr>
        <w:trPr>
          <w:cantSplit/>
        </w:trPr>
        <w:tc>
          <w:tcPr>
            <w:tcW w:type="dxa" w:w="1615"/>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H3 격자 출력의 순서 불변성</w:t>
            </w:r>
          </w:p>
        </w:tc>
        <w:tc>
          <w:tcPr>
            <w:tcW w:type="dxa" w:w="201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반증</w:t>
            </w:r>
          </w:p>
        </w:tc>
        <w:tc>
          <w:tcPr>
            <w:tcW w:type="dxa" w:w="577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65거점에서 격자 소속 또는 분자·분모 영향 확인. 거점 합계 일치가 공간 출력의 불변성을 함의하지 않음</w:t>
            </w:r>
          </w:p>
        </w:tc>
      </w:tr>
      <w:tr>
        <w:trPr>
          <w:cantSplit/>
        </w:trPr>
        <w:tc>
          <w:tcPr>
            <w:tcW w:type="dxa" w:w="1615"/>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H4 현실 공실과의 일치</w:t>
            </w:r>
          </w:p>
        </w:tc>
        <w:tc>
          <w:tcPr>
            <w:tcW w:type="dxa" w:w="201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미검증</w:t>
            </w:r>
          </w:p>
        </w:tc>
        <w:tc>
          <w:tcPr>
            <w:tcW w:type="dxa" w:w="5778"/>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독립 검토 표본 211개가 모두 unresolved. 동시점 참조 정답·허용오차가 없어 정확도 판정 불가</w:t>
            </w:r>
          </w:p>
        </w:tc>
      </w:tr>
    </w:tbl>
    <w:p>
      <w:pPr>
        <w:spacing w:after="0"/>
      </w:pPr>
    </w:p>
    <w:p>
      <w:r>
        <w:rPr>
          <w:rFonts w:ascii="Malgun Gothic" w:hAnsi="Malgun Gothic" w:eastAsia="Malgun Gothic" w:cs="Malgun Gothic"/>
          <w:b w:val="0"/>
          <w:i w:val="0"/>
          <w:color w:val="000000"/>
        </w:rPr>
        <w:t xml:space="preserve">H1–H3의 판정은 계산 일치 및 반례 탐색이며 표본 모집단에 대한 유의확률 검정이 아니다. 따라서 p값을 새로 부여하지 않는다. 특히 H3의 반증은 어떤 격자 배치가 현실에 더 가까운지를 알려주지 않는다. H4의 미검증은 H1의 지지로 해소되지 않는다. </w:t>
      </w:r>
      <w:hyperlink w:anchor="source1">
        <w:r>
          <w:rPr>
            <w:rFonts w:ascii="Malgun Gothic" w:hAnsi="Malgun Gothic" w:eastAsia="Malgun Gothic" w:cs="Malgun Gothic"/>
            <w:color w:val="333333"/>
            <w:sz w:val="17"/>
          </w:rPr>
          <w:t>검증 근거: PAGE-D03·D04·D05·D07·D08·D09 [자료 1]</w:t>
        </w:r>
      </w:hyperlink>
    </w:p>
    <w:p>
      <w:pPr>
        <w:pStyle w:val="Heading1"/>
      </w:pPr>
      <w:r>
        <w:t>5 논의</w:t>
      </w:r>
    </w:p>
    <w:p>
      <w:pPr>
        <w:pStyle w:val="Heading2"/>
      </w:pPr>
      <w:r>
        <w:t>5.1 반복 재현과 공간 출력의 불변성</w:t>
      </w:r>
    </w:p>
    <w:p>
      <w:r>
        <w:rPr>
          <w:rFonts w:ascii="Malgun Gothic" w:hAnsi="Malgun Gothic" w:eastAsia="Malgun Gothic" w:cs="Malgun Gothic"/>
          <w:b w:val="0"/>
          <w:i w:val="0"/>
          <w:color w:val="000000"/>
        </w:rPr>
        <w:t xml:space="preserve">고정 입력의 반복 일치와 순서 변형에 따른 격자 변화는 모순되지 않는다. 전자는 같은 입력과 계산 조건에서 결과가 다시 생성되는지를 묻고, 후자는 내용이 같은 자료의 나열 순서가 출력에 영향을 주는지를 묻는다. 조건 D에서는 반복 재현이 확인되었지만 순서 변형에 따라 격자 출력이 달라졌다. 따라서 재현성을 주장할 때는 입력 순서도 고정 조건에 포함되는지, 비교 대상이 거점 합계인지 전체 공간 응답인지를 밝혀야 한다. </w:t>
      </w:r>
      <w:hyperlink w:anchor="source1">
        <w:r>
          <w:rPr>
            <w:rFonts w:ascii="Malgun Gothic" w:hAnsi="Malgun Gothic" w:eastAsia="Malgun Gothic" w:cs="Malgun Gothic"/>
            <w:color w:val="333333"/>
            <w:sz w:val="17"/>
          </w:rPr>
          <w:t>근거: PAGE-D04·D05·D08 [자료 1]</w:t>
        </w:r>
      </w:hyperlink>
    </w:p>
    <w:p>
      <w:r>
        <w:rPr>
          <w:rFonts w:ascii="Malgun Gothic" w:hAnsi="Malgun Gothic" w:eastAsia="Malgun Gothic" w:cs="Malgun Gothic"/>
          <w:b w:val="0"/>
          <w:i w:val="0"/>
          <w:color w:val="000000"/>
        </w:rPr>
        <w:t xml:space="preserve">기존 실행 기록은 지번 중복 제거 시 먼저 만난 폴리곤의 위치를 셀 배정에 사용하는 경로를 순서 민감도의 설명으로 제시한다. 같은 지번에 귀속되는 집계량이 유지되더라도 대표 위치가 달라지면 격자 소속과 격자별 분자·분모가 달라질 수 있다. 정보 산출물의 품질을 원천의 정확도·완전성과 연산의 함수로 보는 관점(Ballou 등, 1998; Parssian 등, 2004)에서 이 사례는, 연산 규칙이 정확도·완전성 지표에 나타나지 않는 방식으로 산출물의 공간 속성을 바꿀 수 있음을 보여준다. 이 관찰은 전체 집계 검사와 공간 출력 검사를 함께 두어야 할 이유가 된다. 다만 어떤 대표 위치가 현실을 더 잘 나타내는지는 독립 참조자료가 없으므로 판정할 수 없다. 본 연구는 위치 선택 규칙을 변경하거나 변경 후 정확도 개선을 측정하지 않았다. </w:t>
      </w:r>
      <w:hyperlink w:anchor="source7">
        <w:r>
          <w:rPr>
            <w:rFonts w:ascii="Malgun Gothic" w:hAnsi="Malgun Gothic" w:eastAsia="Malgun Gothic" w:cs="Malgun Gothic"/>
            <w:color w:val="333333"/>
            <w:sz w:val="17"/>
          </w:rPr>
          <w:t>기존 순서 민감도 분석 [자료 7]</w:t>
        </w:r>
      </w:hyperlink>
    </w:p>
    <w:p>
      <w:pPr>
        <w:pStyle w:val="Heading2"/>
      </w:pPr>
      <w:r>
        <w:t>5.2 검사 단위와 오류 판정의 구분</w:t>
      </w:r>
    </w:p>
    <w:p>
      <w:r>
        <w:rPr>
          <w:rFonts w:ascii="Malgun Gothic" w:hAnsi="Malgun Gothic" w:eastAsia="Malgun Gothic" w:cs="Malgun Gothic"/>
          <w:b w:val="0"/>
          <w:i w:val="0"/>
          <w:color w:val="000000"/>
        </w:rPr>
        <w:t xml:space="preserve">데이터 품질 검사는 비교하는 객체의 의미에 따라 해석해야 한다. 동일한 지번에 속한 폴리곤이 서로 다른 건물을 나타낼 수 있으므로, 지번 키가 같다는 이유로 모든 속성의 동일성을 요구하면 서로 다른 대상을 오류로 표시할 수 있다. 조건 D의 동일 지번 진단 역시 후속 분류와 현행 집계 포함 여부를 함께 검토했으며, 표시된 차이를 확정 오류로 등재하지 않았다. 이는 진단 규칙에 걸린 객체 수와 독립적으로 확인된 오류 수를 구분해야 함을 보여준다. </w:t>
      </w:r>
      <w:hyperlink w:anchor="source1">
        <w:r>
          <w:rPr>
            <w:rFonts w:ascii="Malgun Gothic" w:hAnsi="Malgun Gothic" w:eastAsia="Malgun Gothic" w:cs="Malgun Gothic"/>
            <w:color w:val="333333"/>
            <w:sz w:val="17"/>
          </w:rPr>
          <w:t>동일 지번 판정 제한 [자료 1]</w:t>
        </w:r>
      </w:hyperlink>
    </w:p>
    <w:p>
      <w:r>
        <w:rPr>
          <w:rFonts w:ascii="Malgun Gothic" w:hAnsi="Malgun Gothic" w:eastAsia="Malgun Gothic" w:cs="Malgun Gothic"/>
          <w:b w:val="0"/>
          <w:i w:val="0"/>
          <w:color w:val="000000"/>
        </w:rPr>
        <w:t xml:space="preserve">층 정보의 상·하한도 같은 원칙으로 읽어야 한다. 이 범위는 층이 특정되지 않은 활성 정보를 어떻게 배정하는가에 따라 달라지는 계산값이다. 범위 폭이 있다는 사실은 현재 자료가 단일한 층 배정을 정하지 못한다는 뜻이며, 실제 공실률이 특정 확률로 그 안에 포함된다는 뜻은 아니다. 따라서 이를 오차 막대나 통계적 신뢰구간으로 표시하려면 별도의 관측·확률 모형이 필요하다. 본 연구에서는 그러한 모형을 도입하지 않고 배정 가능한 범위라는 의미를 유지한다. </w:t>
      </w:r>
      <w:hyperlink w:anchor="source1">
        <w:r>
          <w:rPr>
            <w:rFonts w:ascii="Malgun Gothic" w:hAnsi="Malgun Gothic" w:eastAsia="Malgun Gothic" w:cs="Malgun Gothic"/>
            <w:color w:val="333333"/>
            <w:sz w:val="17"/>
          </w:rPr>
          <w:t>근거: PAGE-D06 [자료 1]</w:t>
        </w:r>
      </w:hyperlink>
      <w:r>
        <w:rPr>
          <w:rFonts w:ascii="Malgun Gothic" w:hAnsi="Malgun Gothic" w:eastAsia="Malgun Gothic" w:cs="Malgun Gothic"/>
          <w:b w:val="0"/>
          <w:i w:val="0"/>
          <w:color w:val="000000"/>
        </w:rPr>
        <w:t xml:space="preserve">, </w:t>
      </w:r>
      <w:hyperlink w:anchor="source4">
        <w:r>
          <w:rPr>
            <w:rFonts w:ascii="Malgun Gothic" w:hAnsi="Malgun Gothic" w:eastAsia="Malgun Gothic" w:cs="Malgun Gothic"/>
            <w:color w:val="333333"/>
            <w:sz w:val="17"/>
          </w:rPr>
          <w:t>변수 정의 [자료 4]</w:t>
        </w:r>
      </w:hyperlink>
    </w:p>
    <w:p>
      <w:pPr>
        <w:pStyle w:val="Heading2"/>
      </w:pPr>
      <w:r>
        <w:t>5.3 재현 패키지의 범위와 자료 가용성</w:t>
      </w:r>
    </w:p>
    <w:p>
      <w:r>
        <w:rPr>
          <w:rFonts w:ascii="Malgun Gothic" w:hAnsi="Malgun Gothic" w:eastAsia="Malgun Gothic" w:cs="Malgun Gothic"/>
          <w:b w:val="0"/>
          <w:i w:val="0"/>
          <w:color w:val="000000"/>
        </w:rPr>
        <w:t xml:space="preserve">Gold에서 서빙까지의 재현은 배포된 가공 자료가 보존 응답으로 이어지는 계산 경로를 확인한다. 반면 원천부터의 재현에는 당시 선택된 원본, 중간 가공물, 코드와 환경을 함께 확보해야 한다. 이전 새 체크아웃에 일부 원본이 없고 기존 파일을 보유한 PC에서는 원본 해시를 확인할 수 있었다는 사실은, 재현 결과와 자료 가용성을 환경별로 보고할 필요를 보여준다. 어느 환경의 파일 보유량도 다른 환경의 보유량을 대신하지 않는다. 이 구분은 학술지 논문의 재현율이 데이터 접근성에 크게 좌우된다는 보고(Fišar 등, 2024)와 같은 방향이다. </w:t>
      </w:r>
      <w:hyperlink w:anchor="source1">
        <w:r>
          <w:rPr>
            <w:rFonts w:ascii="Malgun Gothic" w:hAnsi="Malgun Gothic" w:eastAsia="Malgun Gothic" w:cs="Malgun Gothic"/>
            <w:color w:val="333333"/>
            <w:sz w:val="17"/>
          </w:rPr>
          <w:t>근거: PAGE-D09–D12 [자료 1]</w:t>
        </w:r>
      </w:hyperlink>
    </w:p>
    <w:p>
      <w:r>
        <w:rPr>
          <w:rFonts w:ascii="Malgun Gothic" w:hAnsi="Malgun Gothic" w:eastAsia="Malgun Gothic" w:cs="Malgun Gothic"/>
          <w:b w:val="0"/>
          <w:i w:val="0"/>
          <w:color w:val="000000"/>
        </w:rPr>
        <w:t xml:space="preserve">이 사례에서 해시는 사용한 파일의 동일성을 대조하는 장치이며, 원천의 관측시점·완전성·접근권까지 보증하는 장치는 아니다. 논문의 재현 가능 범위는 입력 목록, 실제 접근 가능한 파일, 실행 구간, 비교 대상과 제외 필드를 함께 기술할 때 구체화된다. 동일한 응답을 얻었더라도 실행기나 로드 코드의 해시가 다르면 그 차이를 보존해야 한다. 기존 검증 기록이 환경별 차이를 별도로 남긴 이유도 여기에 있다. </w:t>
      </w:r>
      <w:hyperlink w:anchor="source9">
        <w:r>
          <w:rPr>
            <w:rFonts w:ascii="Malgun Gothic" w:hAnsi="Malgun Gothic" w:eastAsia="Malgun Gothic" w:cs="Malgun Gothic"/>
            <w:color w:val="333333"/>
            <w:sz w:val="17"/>
          </w:rPr>
          <w:t>환경별 실행 기록 [자료 9]</w:t>
        </w:r>
      </w:hyperlink>
    </w:p>
    <w:p>
      <w:pPr>
        <w:pStyle w:val="Heading2"/>
      </w:pPr>
      <w:r>
        <w:t>5.4 데이터 제품과 후속 평가에 대한 함의</w:t>
      </w:r>
    </w:p>
    <w:p>
      <w:r>
        <w:rPr>
          <w:rFonts w:ascii="Malgun Gothic" w:hAnsi="Malgun Gothic" w:eastAsia="Malgun Gothic" w:cs="Malgun Gothic"/>
          <w:b w:val="0"/>
          <w:i w:val="0"/>
          <w:color w:val="000000"/>
        </w:rPr>
        <w:t xml:space="preserve">본 사례는 데이터 제품의 품질 설명에서 출처, 계산의 재현 여부, 공간 출력의 민감도, 현실 정답 대조 여부를 구별할 필요를 시사한다. 구조 검사 통과나 응답 재현을 포괄적인 정확도 보증으로 제시하면, 사용자는 검사되지 않은 건물·층별 공실 상태까지 확인된 것으로 받아들일 수 있다. 따라서 검증 설명은 어떤 객체와 계산 경로를 확인했는지, 어떤 항목은 미평가인지 함께 제시해야 한다. 이는 본 연구 결과에 대한 설계상의 함의이며, 그러한 설명이 사용자 판단을 개선하는 효과까지 검증한 것은 아니다. </w:t>
      </w:r>
      <w:hyperlink w:anchor="source1">
        <w:r>
          <w:rPr>
            <w:rFonts w:ascii="Malgun Gothic" w:hAnsi="Malgun Gothic" w:eastAsia="Malgun Gothic" w:cs="Malgun Gothic"/>
            <w:color w:val="333333"/>
            <w:sz w:val="17"/>
          </w:rPr>
          <w:t>조건 D 해석 범위 [자료 1]</w:t>
        </w:r>
      </w:hyperlink>
    </w:p>
    <w:p>
      <w:r>
        <w:rPr>
          <w:rFonts w:ascii="Malgun Gothic" w:hAnsi="Malgun Gothic" w:eastAsia="Malgun Gothic" w:cs="Malgun Gothic"/>
          <w:b w:val="0"/>
          <w:i w:val="0"/>
          <w:color w:val="000000"/>
        </w:rPr>
        <w:t xml:space="preserve">현실 정확도 연구를 후속으로 수행하려면 관측시점이 맞는 참조자료와 독립 검토자를 확보하고, 검토자의 역할 및 불일치 처리 절차를 먼저 정해야 한다. 현재 미판정 표본을 자동 구조 검사 결과로 채우거나 기존 AI 판독 자료를 독립 사람 정답으로 바꾸어 사용할 수는 없다. 거리 이미지 기반의 공간 추정(Law 등, 2019; Li와 Long, 2024)은 이러한 정답 설계의 선례가 되지만, 이미지의 촬영 시점이 확인 시점과 다를 수 있다는 점을 별도로 다루어야 한다. 생활인구 해상도 개선에 관한 기존 분석 또한 본 연구와 원천·분모·과제가 달라 별도로 다룬다. 이 논문은 그 분석과 조건 D를 결합한 개선 효과를 주장하지 않는다. </w:t>
      </w:r>
      <w:hyperlink w:anchor="source4">
        <w:r>
          <w:rPr>
            <w:rFonts w:ascii="Malgun Gothic" w:hAnsi="Malgun Gothic" w:eastAsia="Malgun Gothic" w:cs="Malgun Gothic"/>
            <w:color w:val="333333"/>
            <w:sz w:val="17"/>
          </w:rPr>
          <w:t>후속 현실 검증의 조건 [자료 4]</w:t>
        </w:r>
      </w:hyperlink>
      <w:r>
        <w:rPr>
          <w:rFonts w:ascii="Malgun Gothic" w:hAnsi="Malgun Gothic" w:eastAsia="Malgun Gothic" w:cs="Malgun Gothic"/>
          <w:b w:val="0"/>
          <w:i w:val="0"/>
          <w:color w:val="000000"/>
        </w:rPr>
        <w:t xml:space="preserve">, </w:t>
      </w:r>
      <w:hyperlink w:anchor="source7">
        <w:r>
          <w:rPr>
            <w:rFonts w:ascii="Malgun Gothic" w:hAnsi="Malgun Gothic" w:eastAsia="Malgun Gothic" w:cs="Malgun Gothic"/>
            <w:color w:val="333333"/>
            <w:sz w:val="17"/>
          </w:rPr>
          <w:t>기존 검토 자료의 한계 [자료 7]</w:t>
        </w:r>
      </w:hyperlink>
    </w:p>
    <w:p>
      <w:pPr>
        <w:pStyle w:val="Heading2"/>
      </w:pPr>
      <w:r>
        <w:t>5.5 최근 원천 보강과 앵커 대조: 조건 D와 별도인 조건 G</w:t>
      </w:r>
    </w:p>
    <w:p>
      <w:r>
        <w:rPr>
          <w:rFonts w:ascii="Malgun Gothic" w:hAnsi="Malgun Gothic" w:eastAsia="Malgun Gothic" w:cs="Malgun Gothic"/>
          <w:b w:val="0"/>
          <w:i w:val="0"/>
          <w:color w:val="000000"/>
        </w:rPr>
        <w:t xml:space="preserve">현행 Page는 서빙 81거점으로 확장됐지만, 이 논문의 구조 감사·반복 재현·순서 민감도 결과는 동결 조건 D의 결과로 유지한다. 최근 점포·대장 갱신과 학원 층 근거, 인허가 보강에 따른 대조는 조건 G의 보존 스냅샷 분석으로 별도 기술한다. 조건 D의 결과표를 새 거점 수로 바꾸거나 두 모집단을 합치지 않는다. </w:t>
      </w:r>
      <w:hyperlink w:anchor="source2">
        <w:r>
          <w:rPr>
            <w:rFonts w:ascii="Malgun Gothic" w:hAnsi="Malgun Gothic" w:eastAsia="Malgun Gothic" w:cs="Malgun Gothic"/>
            <w:color w:val="333333"/>
            <w:sz w:val="17"/>
          </w:rPr>
          <w:t>근거: COMMON-U02·PAGE-U01 [자료 2]</w:t>
        </w:r>
      </w:hyperlink>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34"/>
        <w:gridCol w:w="2788"/>
        <w:gridCol w:w="2788"/>
      </w:tblGrid>
      <w:tr>
        <w:trPr>
          <w:cantSplit/>
          <w:tblHeader/>
        </w:trPr>
        <w:tc>
          <w:tcPr>
            <w:tcW w:type="dxa" w:w="3834"/>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조건 G의 앵커 대조</w:t>
            </w:r>
          </w:p>
        </w:tc>
        <w:tc>
          <w:tcPr>
            <w:tcW w:type="dxa" w:w="278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갱신 전</w:t>
            </w:r>
          </w:p>
        </w:tc>
        <w:tc>
          <w:tcPr>
            <w:tcW w:type="dxa" w:w="278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후속 보강 후</w:t>
            </w:r>
          </w:p>
        </w:tc>
      </w:tr>
      <w:tr>
        <w:trPr>
          <w:cantSplit/>
        </w:trPr>
        <w:tc>
          <w:tcPr>
            <w:tcW w:type="dxa" w:w="383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정렬 격차 중앙</w:t>
            </w:r>
          </w:p>
        </w:tc>
        <w:tc>
          <w:tcPr>
            <w:tcW w:type="dxa" w:w="278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+9.6%p</w:t>
            </w:r>
          </w:p>
        </w:tc>
        <w:tc>
          <w:tcPr>
            <w:tcW w:type="dxa" w:w="278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+7.6%p</w:t>
            </w:r>
          </w:p>
        </w:tc>
      </w:tr>
      <w:tr>
        <w:trPr>
          <w:cantSplit/>
        </w:trPr>
        <w:tc>
          <w:tcPr>
            <w:tcW w:type="dxa" w:w="383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절대 격차 &gt;10%p 거점</w:t>
            </w:r>
          </w:p>
        </w:tc>
        <w:tc>
          <w:tcPr>
            <w:tcW w:type="dxa" w:w="278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39</w:t>
            </w:r>
          </w:p>
        </w:tc>
        <w:tc>
          <w:tcPr>
            <w:tcW w:type="dxa" w:w="278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31</w:t>
            </w:r>
          </w:p>
        </w:tc>
      </w:tr>
      <w:tr>
        <w:trPr>
          <w:cantSplit/>
        </w:trPr>
        <w:tc>
          <w:tcPr>
            <w:tcW w:type="dxa" w:w="383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양의 격차 거점</w:t>
            </w:r>
          </w:p>
        </w:tc>
        <w:tc>
          <w:tcPr>
            <w:tcW w:type="dxa" w:w="278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70</w:t>
            </w:r>
          </w:p>
        </w:tc>
        <w:tc>
          <w:tcPr>
            <w:tcW w:type="dxa" w:w="278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70</w:t>
            </w:r>
          </w:p>
        </w:tc>
      </w:tr>
      <w:tr>
        <w:trPr>
          <w:cantSplit/>
        </w:trPr>
        <w:tc>
          <w:tcPr>
            <w:tcW w:type="dxa" w:w="3834"/>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앵커가 층 밴드 안인 거점</w:t>
            </w:r>
          </w:p>
        </w:tc>
        <w:tc>
          <w:tcPr>
            <w:tcW w:type="dxa" w:w="278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8</w:t>
            </w:r>
          </w:p>
        </w:tc>
        <w:tc>
          <w:tcPr>
            <w:tcW w:type="dxa" w:w="278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8</w:t>
            </w:r>
          </w:p>
        </w:tc>
      </w:tr>
    </w:tbl>
    <w:p>
      <w:pPr>
        <w:spacing w:after="0"/>
      </w:pPr>
    </w:p>
    <w:p>
      <w:r>
        <w:rPr>
          <w:rFonts w:ascii="Malgun Gothic" w:hAnsi="Malgun Gothic" w:eastAsia="Malgun Gothic" w:cs="Malgun Gothic"/>
          <w:b w:val="0"/>
          <w:i w:val="0"/>
          <w:color w:val="000000"/>
        </w:rPr>
        <w:t xml:space="preserve">이 표의 정렬 격차는 보존된 정렬 대표값과 R-ONE 앵커의 차이다. 앵커가 바뀌지 않은 상태에서 격차 중앙은 축소됐지만, 개별 건물·층의 실제 공실 오차가 감소했다는 결과는 아니다. 점포 갱신만으로 거점별 격차가 일관되게 줄지 않았고, 학원 층 근거 보강이 확인 점유 정보를 더한 경로로 기록됐다. 이는 개발 과정의 순차 보강 기록으로, 각 단계의 효과를 독립 무작위 비교로 식별한 실험은 아니다. 양의 격차와 층 밴드 밖 앵커가 남아 있다는 사실도 함께 보고한다. </w:t>
      </w:r>
      <w:hyperlink w:anchor="source2">
        <w:r>
          <w:rPr>
            <w:rFonts w:ascii="Malgun Gothic" w:hAnsi="Malgun Gothic" w:eastAsia="Malgun Gothic" w:cs="Malgun Gothic"/>
            <w:color w:val="333333"/>
            <w:sz w:val="17"/>
          </w:rPr>
          <w:t>근거: PAGE-U01 [자료 2]</w:t>
        </w:r>
      </w:hyperlink>
      <w:r>
        <w:rPr>
          <w:rFonts w:ascii="Malgun Gothic" w:hAnsi="Malgun Gothic" w:eastAsia="Malgun Gothic" w:cs="Malgun Gothic"/>
          <w:b w:val="0"/>
          <w:i w:val="0"/>
          <w:color w:val="000000"/>
        </w:rPr>
        <w:t xml:space="preserve">, </w:t>
      </w:r>
      <w:hyperlink w:anchor="source11">
        <w:r>
          <w:rPr>
            <w:rFonts w:ascii="Malgun Gothic" w:hAnsi="Malgun Gothic" w:eastAsia="Malgun Gothic" w:cs="Malgun Gothic"/>
            <w:color w:val="333333"/>
            <w:sz w:val="17"/>
          </w:rPr>
          <w:t>보강 단계와 잔여 한계 [자료 11]</w:t>
        </w:r>
      </w:hyperlink>
    </w:p>
    <w:p>
      <w:r>
        <w:rPr>
          <w:rFonts w:ascii="Malgun Gothic" w:hAnsi="Malgun Gothic" w:eastAsia="Malgun Gothic" w:cs="Malgun Gothic"/>
          <w:b w:val="0"/>
          <w:i w:val="0"/>
          <w:color w:val="000000"/>
        </w:rPr>
        <w:t xml:space="preserve">후속 현실 검증을 위한 고유 지번·층 모집단은 78,511층이며, 8계층에서 458층·76거점의 표본을 설계했다. 예측과 계층 정보를 가린 라벨 입력 화면, 확인 방법·날짜 기록 및 채점기가 마련됐다. 이는 표본 설계와 수집 준비의 진전으로, 독립 라벨 수집이나 정밀도·재현율 평가 완료를 뜻하지 않는다. 거리뷰의 촬영 시점과 실제 확인 시점을 구분하고, 응답 부족 계층이 있으면 판정을 보류해야 한다. 조건 D의 미판정 표본을 새 설계로 소급해 완료 처리하지 않는다. </w:t>
      </w:r>
      <w:hyperlink w:anchor="source2">
        <w:r>
          <w:rPr>
            <w:rFonts w:ascii="Malgun Gothic" w:hAnsi="Malgun Gothic" w:eastAsia="Malgun Gothic" w:cs="Malgun Gothic"/>
            <w:color w:val="333333"/>
            <w:sz w:val="17"/>
          </w:rPr>
          <w:t>근거: PAGE-U02 [자료 2]</w:t>
        </w:r>
      </w:hyperlink>
    </w:p>
    <w:p>
      <w:pPr>
        <w:pStyle w:val="Heading2"/>
      </w:pPr>
      <w:r>
        <w:t>5.6 후속 공공자료 정규화: 전체 승격 실패와 부분 격리의 구분</w:t>
      </w:r>
    </w:p>
    <w:p>
      <w:r>
        <w:rPr>
          <w:rFonts w:ascii="Malgun Gothic" w:hAnsi="Malgun Gothic" w:eastAsia="Malgun Gothic" w:cs="Malgun Gothic"/>
          <w:b w:val="0"/>
          <w:i w:val="0"/>
          <w:color w:val="000000"/>
        </w:rPr>
        <w:t xml:space="preserve">후속 공공자료 처리에서는 원천 식별자와 손상 텍스트의 검증이 결합 이전의 별도 게이트로 드러났다. 학교 식별자 공란 때문에 전체 Silver 승격은 </w:t>
      </w:r>
      <w:r>
        <w:rPr>
          <w:rFonts w:ascii="Malgun Gothic" w:hAnsi="Malgun Gothic" w:eastAsia="Malgun Gothic" w:cs="Malgun Gothic"/>
          <w:b w:val="0"/>
          <w:i w:val="0"/>
          <w:color w:val="000000"/>
        </w:rPr>
        <w:t>blocked</w:t>
      </w:r>
      <w:r>
        <w:rPr>
          <w:rFonts w:ascii="Malgun Gothic" w:hAnsi="Malgun Gothic" w:eastAsia="Malgun Gothic" w:cs="Malgun Gothic"/>
          <w:b w:val="0"/>
          <w:i w:val="0"/>
          <w:color w:val="000000"/>
        </w:rPr>
        <w:t>·</w:t>
      </w:r>
      <w:r>
        <w:rPr>
          <w:rFonts w:ascii="Malgun Gothic" w:hAnsi="Malgun Gothic" w:eastAsia="Malgun Gothic" w:cs="Malgun Gothic"/>
          <w:b w:val="0"/>
          <w:i w:val="0"/>
          <w:color w:val="000000"/>
        </w:rPr>
        <w:t>silver_written=false</w:t>
      </w:r>
      <w:r>
        <w:rPr>
          <w:rFonts w:ascii="Malgun Gothic" w:hAnsi="Malgun Gothic" w:eastAsia="Malgun Gothic" w:cs="Malgun Gothic"/>
          <w:b w:val="0"/>
          <w:i w:val="0"/>
          <w:color w:val="000000"/>
        </w:rPr>
        <w:t xml:space="preserve">로 중단됐다. 이후 부분 격리 경로의 보존 검증은 원본 1,077,457행을 수용 1,077,224행과 격리 233행으로 구분하고, 격리 식별자가 수용 데이터·연결 후보에 남아 있지 않은지 확인했다. 이는 전체 자료의 결손 해소가 아니라, 미해결 자료를 명시적으로 제외한 처리 경로의 검사다. 조건 D의 동결 감사 모집단과 합산하거나 당시 결함 건수로 소급하지 않는다. </w:t>
      </w:r>
      <w:hyperlink w:anchor="source12">
        <w:r>
          <w:rPr>
            <w:rFonts w:ascii="Malgun Gothic" w:hAnsi="Malgun Gothic" w:eastAsia="Malgun Gothic" w:cs="Malgun Gothic"/>
            <w:color w:val="333333"/>
            <w:sz w:val="17"/>
          </w:rPr>
          <w:t>근거: PAGE-V01·V02 [자료 12]</w:t>
        </w:r>
      </w:hyperlink>
    </w:p>
    <w:p>
      <w:r>
        <w:rPr>
          <w:rFonts w:ascii="Malgun Gothic" w:hAnsi="Malgun Gothic" w:eastAsia="Malgun Gothic" w:cs="Malgun Gothic"/>
          <w:b w:val="0"/>
          <w:i w:val="0"/>
          <w:color w:val="000000"/>
        </w:rPr>
        <w:t xml:space="preserve">수용된 원천에서 만든 연구 피처는 740,919행이며 원천 식별키 단위로만 보존됐다. 점포·모델·API에는 연결되지 않았고 학교·학생 자료의 코드도 자동 연결하지 않았다. 학교 코드나 손상 원문을 추정해 복원하지 않으며, 상호·주소가 비슷한 후보를 같은 점포로 확정하지 않는다. 원천 </w:t>
      </w:r>
      <w:r>
        <w:rPr>
          <w:rFonts w:ascii="Malgun Gothic" w:hAnsi="Malgun Gothic" w:eastAsia="Malgun Gothic" w:cs="Malgun Gothic"/>
          <w:b w:val="0"/>
          <w:i w:val="0"/>
          <w:color w:val="000000"/>
        </w:rPr>
        <w:t>SITEAREA</w:t>
      </w:r>
      <w:r>
        <w:rPr>
          <w:rFonts w:ascii="Malgun Gothic" w:hAnsi="Malgun Gothic" w:eastAsia="Malgun Gothic" w:cs="Malgun Gothic"/>
          <w:b w:val="0"/>
          <w:i w:val="0"/>
          <w:color w:val="000000"/>
        </w:rPr>
        <w:t xml:space="preserve">는 소재지면적이지 공실 가용면적이 아니고 학원 정원은 실제 재원생 수가 아니다. 따라서 자료 확보·부분 승격·피처 추출의 완료를 공실 식별 정확도나 가용면적의 정밀화로 해석할 수 없다. 이 사례는 구조 검사의 통과와 현실 대응의 정확도를 나누어 보고해야 한다는 본 논문의 범위를 보강하지만, 독립 현장 정답의 부재를 해소하지 않는다. </w:t>
      </w:r>
      <w:hyperlink w:anchor="source12">
        <w:r>
          <w:rPr>
            <w:rFonts w:ascii="Malgun Gothic" w:hAnsi="Malgun Gothic" w:eastAsia="Malgun Gothic" w:cs="Malgun Gothic"/>
            <w:color w:val="333333"/>
            <w:sz w:val="17"/>
          </w:rPr>
          <w:t>근거: PAGE-V01·V02 [자료 12]</w:t>
        </w:r>
      </w:hyperlink>
    </w:p>
    <w:p>
      <w:pPr>
        <w:pStyle w:val="Heading1"/>
      </w:pPr>
      <w:r>
        <w:t>6 한계</w:t>
      </w:r>
    </w:p>
    <w:p>
      <w:r>
        <w:rPr>
          <w:rFonts w:ascii="Malgun Gothic" w:hAnsi="Malgun Gothic" w:eastAsia="Malgun Gothic" w:cs="Malgun Gothic"/>
          <w:b w:val="0"/>
          <w:i w:val="0"/>
          <w:color w:val="000000"/>
        </w:rPr>
        <w:t xml:space="preserve">본 연구는 서울의 특정 거점에 대해 동결한 가공 자료를 평가한 사례 연구다. 구조 검사는 해당 마스터와 규칙별 적용 프레임을 대상으로 하며, 모든 대장 원본 행, 결합 간선의 전체 계보, 도형 위상을 전수 검증하지 않았다. 다른 지역·시점·구현에서도 같은 결과가 성립하는지는 확인하지 않았다. 행 순서 시험은 이미 관찰한 진단을 바탕으로 수행된 사후 탐색이므로 독립 확인 연구, 사전등록 가설검정 또는 가능한 최대 변동의 측정으로 해석할 수 없다. </w:t>
      </w:r>
      <w:hyperlink w:anchor="source7">
        <w:r>
          <w:rPr>
            <w:rFonts w:ascii="Malgun Gothic" w:hAnsi="Malgun Gothic" w:eastAsia="Malgun Gothic" w:cs="Malgun Gothic"/>
            <w:color w:val="333333"/>
            <w:sz w:val="17"/>
          </w:rPr>
          <w:t>기존 분석의 실행 범위 [자료 7]</w:t>
        </w:r>
      </w:hyperlink>
      <w:r>
        <w:rPr>
          <w:rFonts w:ascii="Malgun Gothic" w:hAnsi="Malgun Gothic" w:eastAsia="Malgun Gothic" w:cs="Malgun Gothic"/>
          <w:b w:val="0"/>
          <w:i w:val="0"/>
          <w:color w:val="000000"/>
        </w:rPr>
        <w:t xml:space="preserve">, </w:t>
      </w:r>
      <w:hyperlink w:anchor="source4">
        <w:r>
          <w:rPr>
            <w:rFonts w:ascii="Malgun Gothic" w:hAnsi="Malgun Gothic" w:eastAsia="Malgun Gothic" w:cs="Malgun Gothic"/>
            <w:color w:val="333333"/>
            <w:sz w:val="17"/>
          </w:rPr>
          <w:t>연구 설계 [자료 4]</w:t>
        </w:r>
      </w:hyperlink>
    </w:p>
    <w:p>
      <w:r>
        <w:rPr>
          <w:rFonts w:ascii="Malgun Gothic" w:hAnsi="Malgun Gothic" w:eastAsia="Malgun Gothic" w:cs="Malgun Gothic"/>
          <w:b w:val="0"/>
          <w:i w:val="0"/>
          <w:color w:val="000000"/>
        </w:rPr>
        <w:t xml:space="preserve">독립 검토 표본 211개는 모두 </w:t>
      </w:r>
      <w:r>
        <w:rPr>
          <w:rFonts w:ascii="Malgun Gothic" w:hAnsi="Malgun Gothic" w:eastAsia="Malgun Gothic" w:cs="Malgun Gothic"/>
          <w:b w:val="0"/>
          <w:i w:val="0"/>
          <w:color w:val="000000"/>
        </w:rPr>
        <w:t>unresolved</w:t>
      </w:r>
      <w:r>
        <w:rPr>
          <w:rFonts w:ascii="Malgun Gothic" w:hAnsi="Malgun Gothic" w:eastAsia="Malgun Gothic" w:cs="Malgun Gothic"/>
          <w:b w:val="0"/>
          <w:i w:val="0"/>
          <w:color w:val="000000"/>
        </w:rPr>
        <w:t xml:space="preserve">다. 따라서 현실 공실 정확도·오류율·검토자 일치율·오류 수정 효과는 미평가이며, 구조 일관성과 계산 재현의 결과로 이를 대신할 수 없다. 원천 관측 시점 정렬도 66거점에서 평가 불가이므로 자료가 같은 시점의 현실을 나타낸다고 주장하지 않는다. 층 배정 범위는 정보 부족에 따른 계산적 범위로 남기며 실제 공실률의 신뢰구간으로 해석하지 않는다. </w:t>
      </w:r>
      <w:hyperlink w:anchor="source1">
        <w:r>
          <w:rPr>
            <w:rFonts w:ascii="Malgun Gothic" w:hAnsi="Malgun Gothic" w:eastAsia="Malgun Gothic" w:cs="Malgun Gothic"/>
            <w:color w:val="333333"/>
            <w:sz w:val="17"/>
          </w:rPr>
          <w:t>근거: PAGE-D03·D06·D07 [자료 1]</w:t>
        </w:r>
      </w:hyperlink>
    </w:p>
    <w:p>
      <w:r>
        <w:rPr>
          <w:rFonts w:ascii="Malgun Gothic" w:hAnsi="Malgun Gothic" w:eastAsia="Malgun Gothic" w:cs="Malgun Gothic"/>
          <w:b w:val="0"/>
          <w:i w:val="0"/>
          <w:color w:val="000000"/>
        </w:rPr>
        <w:t xml:space="preserve">재현 검증 역시 실행한 구간에 한정된다. 보존 파일의 비교, 셀 재합산과 Gold→서빙 재현은 원천 API 재수집을 포함한 전체 Bronze→Silver→Gold 재현이 아니다. 이전 새 체크아웃에서 접근하지 못한 원본이 있었으며, PC의 원본 보유·해시 일치가 전체 파이프라인 실행을 뜻하지도 않는다. 클라우드 실행과 독립 연구팀의 재현은 수행했다고 주장하지 않는다. </w:t>
      </w:r>
      <w:hyperlink w:anchor="source1">
        <w:r>
          <w:rPr>
            <w:rFonts w:ascii="Malgun Gothic" w:hAnsi="Malgun Gothic" w:eastAsia="Malgun Gothic" w:cs="Malgun Gothic"/>
            <w:color w:val="333333"/>
            <w:sz w:val="17"/>
          </w:rPr>
          <w:t>근거: PAGE-D09–D12 [자료 1]</w:t>
        </w:r>
      </w:hyperlink>
    </w:p>
    <w:p>
      <w:r>
        <w:rPr>
          <w:rFonts w:ascii="Malgun Gothic" w:hAnsi="Malgun Gothic" w:eastAsia="Malgun Gothic" w:cs="Malgun Gothic"/>
          <w:b w:val="0"/>
          <w:i w:val="0"/>
          <w:color w:val="000000"/>
        </w:rPr>
        <w:t xml:space="preserve">문헌 검토는 실제 확인한 판본과 절에 제한된다. Alsudais의 최종 출판본·별도 부록·저자 원자료·코드, Marsden·Pingry와 Timmerman·Bronselaer의 전문은 미확보다. 추가로 확인한 Sandve 등의 공개 전문과 National Academies의 정의 절이 이 공백을 대신하지는 않는다. 이번에 보강한 IS 문헌(Wang과 Strong, 1996; Ballou 등, 1998; Parssian 등, 2004; Burton-Jones와 Grange, 2013; Recker 등, 2019; Fišar 등, 2024; Vetrò 등, 2016)과 공간 추정 문헌(Law 등, 2019; Li와 Long, 2024)은 서지와 초록(또는 공개 데이터셋 설명) 수준으로 확인했으며 전문을 정독하지 않았다. 따라서 이 문헌들의 방법·수치·임계값을 차용하지 않았고, 범주나 개념의 대응만 사용했다. 저널의 Q1 분류는 SCImago Journal Rank 최신판 기준이며 Clarivate JCR의 분야별 사분위는 확인하지 않았다. 공개본의 불일치를 최종 출판본의 확정 오류로 판정하지 않으며, 선행연구의 체계적 고찰이나 원문 실험의 완전 재현도 주장하지 않는다. 기존 생활인구 해상도·시간대 분석의 결과를 이번 조건 D의 근거로 전용하지 않으며, 지도 사용성이나 입점 의사결정 성과의 개선은 평가하지 않았다. </w:t>
      </w:r>
      <w:hyperlink w:anchor="source5">
        <w:r>
          <w:rPr>
            <w:rFonts w:ascii="Malgun Gothic" w:hAnsi="Malgun Gothic" w:eastAsia="Malgun Gothic" w:cs="Malgun Gothic"/>
            <w:color w:val="333333"/>
            <w:sz w:val="17"/>
          </w:rPr>
          <w:t>문헌 검토 보완 기록 [자료 5]</w:t>
        </w:r>
      </w:hyperlink>
      <w:r>
        <w:rPr>
          <w:rFonts w:ascii="Malgun Gothic" w:hAnsi="Malgun Gothic" w:eastAsia="Malgun Gothic" w:cs="Malgun Gothic"/>
          <w:b w:val="0"/>
          <w:i w:val="0"/>
          <w:color w:val="000000"/>
        </w:rPr>
        <w:t xml:space="preserve">, </w:t>
      </w:r>
      <w:hyperlink w:anchor="source13">
        <w:r>
          <w:rPr>
            <w:rFonts w:ascii="Malgun Gothic" w:hAnsi="Malgun Gothic" w:eastAsia="Malgun Gothic" w:cs="Malgun Gothic"/>
            <w:color w:val="333333"/>
            <w:sz w:val="17"/>
          </w:rPr>
          <w:t>문헌 근거 [자료 13]</w:t>
        </w:r>
      </w:hyperlink>
      <w:r>
        <w:rPr>
          <w:rFonts w:ascii="Malgun Gothic" w:hAnsi="Malgun Gothic" w:eastAsia="Malgun Gothic" w:cs="Malgun Gothic"/>
          <w:b w:val="0"/>
          <w:i w:val="0"/>
          <w:color w:val="000000"/>
        </w:rPr>
        <w:t xml:space="preserve">, </w:t>
      </w:r>
      <w:hyperlink w:anchor="source4">
        <w:r>
          <w:rPr>
            <w:rFonts w:ascii="Malgun Gothic" w:hAnsi="Malgun Gothic" w:eastAsia="Malgun Gothic" w:cs="Malgun Gothic"/>
            <w:color w:val="333333"/>
            <w:sz w:val="17"/>
          </w:rPr>
          <w:t>확정 연구 범위 [자료 4]</w:t>
        </w:r>
      </w:hyperlink>
    </w:p>
    <w:p>
      <w:pPr>
        <w:pStyle w:val="Heading1"/>
      </w:pPr>
      <w:r>
        <w:t>7 결론</w:t>
      </w:r>
    </w:p>
    <w:p>
      <w:r>
        <w:rPr>
          <w:rFonts w:ascii="Malgun Gothic" w:hAnsi="Malgun Gothic" w:eastAsia="Malgun Gothic" w:cs="Malgun Gothic"/>
          <w:b w:val="0"/>
          <w:i w:val="0"/>
          <w:color w:val="000000"/>
        </w:rPr>
        <w:t xml:space="preserve">최근 원천 보강의 앵커 격차 축소와 현장 라벨 수집 준비는 동결 감사와 별도인 후속 진전이다. 상권을 창업가가 비교 가능한 디지털 환경으로 정의하려면 상세한 표시와 실제로 확인된 공간 상태를 구분해야 한다. 물리적 입지와 디지털 접근성의 상대적 영향 역시 공간 자료의 검증 경계를 넘는 별도 성과 연구로 남는다. </w:t>
      </w:r>
      <w:hyperlink w:anchor="source2">
        <w:r>
          <w:rPr>
            <w:rFonts w:ascii="Malgun Gothic" w:hAnsi="Malgun Gothic" w:eastAsia="Malgun Gothic" w:cs="Malgun Gothic"/>
            <w:color w:val="333333"/>
            <w:sz w:val="17"/>
          </w:rPr>
          <w:t>근거와 검증 경계 [자료 2]</w:t>
        </w:r>
      </w:hyperlink>
    </w:p>
    <w:p>
      <w:r>
        <w:rPr>
          <w:rFonts w:ascii="Malgun Gothic" w:hAnsi="Malgun Gothic" w:eastAsia="Malgun Gothic" w:cs="Malgun Gothic"/>
          <w:b w:val="0"/>
          <w:i w:val="0"/>
          <w:color w:val="000000"/>
        </w:rPr>
        <w:t xml:space="preserve">본 연구는 공공행정자료를 결합한 PlaceOS 공실 정보 산출물에서 구조 일관성, 고정 입력 계산 재현과 공간 출력의 순서 민감도를 구분하여 평가했다. 동결 자료에서 반복 계산과 보존 응답 대조는 일치했지만, 같은 내용의 입력 순서를 바꾸면 거점 전체 집계가 유지되는 경우에도 격자 소속이나 분자·분모가 달라졌다. 따라서 전체 합계의 일치나 동일 입력의 재현만으로 공간 출력의 불변성을 주장할 수 없다. </w:t>
      </w:r>
      <w:hyperlink w:anchor="source1">
        <w:r>
          <w:rPr>
            <w:rFonts w:ascii="Malgun Gothic" w:hAnsi="Malgun Gothic" w:eastAsia="Malgun Gothic" w:cs="Malgun Gothic"/>
            <w:color w:val="333333"/>
            <w:sz w:val="17"/>
          </w:rPr>
          <w:t>근거: PAGE-D04·D05·D08·D09 [자료 1]</w:t>
        </w:r>
      </w:hyperlink>
    </w:p>
    <w:p>
      <w:r>
        <w:rPr>
          <w:rFonts w:ascii="Malgun Gothic" w:hAnsi="Malgun Gothic" w:eastAsia="Malgun Gothic" w:cs="Malgun Gothic"/>
          <w:b w:val="0"/>
          <w:i w:val="0"/>
          <w:color w:val="000000"/>
        </w:rPr>
        <w:t xml:space="preserve">이 사례의 방법론적 기여는 검사 단위, 입력 조건, 비교할 출력과 미평가 항목을 함께 명시한 데 있다. 폴리곤과 지번을 구분하면 진단상의 차이를 확정 오류와 혼동하지 않을 수 있고, 재현 구간과 파일 가용성을 분리하면 Gold→서빙의 성공을 전체 원천 파이프라인 재현으로 확대하지 않을 수 있다. 층 정보 부족에 따른 범위 역시 현실 오차나 통계적 신뢰구간과 구별하여 보고해야 한다. 이 해석은 조건 D 자료와 실행 절차에 한정된다. </w:t>
      </w:r>
      <w:hyperlink w:anchor="source1">
        <w:r>
          <w:rPr>
            <w:rFonts w:ascii="Malgun Gothic" w:hAnsi="Malgun Gothic" w:eastAsia="Malgun Gothic" w:cs="Malgun Gothic"/>
            <w:color w:val="333333"/>
            <w:sz w:val="17"/>
          </w:rPr>
          <w:t>조건 D 근거와 해석 범위 [자료 1]</w:t>
        </w:r>
      </w:hyperlink>
    </w:p>
    <w:p>
      <w:r>
        <w:rPr>
          <w:rFonts w:ascii="Malgun Gothic" w:hAnsi="Malgun Gothic" w:eastAsia="Malgun Gothic" w:cs="Malgun Gothic"/>
          <w:b w:val="0"/>
          <w:i w:val="0"/>
          <w:color w:val="000000"/>
        </w:rPr>
        <w:t xml:space="preserve">현실 공실 정확도와 오류 수정 효과는 독립 정답이 없어 미평가로 남는다. 후속 현실 검증은 동시점 참조자료와 독립 검토 절차를 확보한 뒤 별도로 수행해야 한다. 현재의 결론은 동결 산출물의 계산적 성질과 그 검증 경계에 관한 것이며, 개별 공실의 사실성이나 입점 성과를 보증하지 않는다. </w:t>
      </w:r>
      <w:hyperlink w:anchor="source4">
        <w:r>
          <w:rPr>
            <w:rFonts w:ascii="Malgun Gothic" w:hAnsi="Malgun Gothic" w:eastAsia="Malgun Gothic" w:cs="Malgun Gothic"/>
            <w:color w:val="333333"/>
            <w:sz w:val="17"/>
          </w:rPr>
          <w:t>미평가 항목과 후속 검증 조건 [자료 4]</w:t>
        </w:r>
      </w:hyperlink>
    </w:p>
    <w:p>
      <w:pPr>
        <w:pStyle w:val="Heading1"/>
      </w:pPr>
      <w:r>
        <w:t>참고문헌</w:t>
      </w:r>
    </w:p>
    <w:p>
      <w:r>
        <w:rPr>
          <w:rFonts w:ascii="Malgun Gothic" w:hAnsi="Malgun Gothic" w:eastAsia="Malgun Gothic" w:cs="Malgun Gothic"/>
          <w:b w:val="0"/>
          <w:i w:val="0"/>
          <w:color w:val="000000"/>
        </w:rPr>
        <w:t xml:space="preserve">• Alsudais, A. (2021). Incorrect data in the widely used Inside Airbnb dataset. </w:t>
      </w:r>
      <w:r>
        <w:rPr>
          <w:rFonts w:ascii="Malgun Gothic" w:hAnsi="Malgun Gothic" w:eastAsia="Malgun Gothic" w:cs="Malgun Gothic"/>
          <w:b w:val="0"/>
          <w:i/>
          <w:color w:val="000000"/>
        </w:rPr>
        <w:t>Decision Support Systems, 141</w:t>
      </w:r>
      <w:r>
        <w:rPr>
          <w:rFonts w:ascii="Malgun Gothic" w:hAnsi="Malgun Gothic" w:eastAsia="Malgun Gothic" w:cs="Malgun Gothic"/>
          <w:b w:val="0"/>
          <w:i w:val="0"/>
          <w:color w:val="000000"/>
        </w:rPr>
        <w:t xml:space="preserve">, 113453. </w:t>
      </w:r>
      <w:hyperlink r:id="rId10">
        <w:r>
          <w:rPr>
            <w:rFonts w:ascii="Malgun Gothic" w:hAnsi="Malgun Gothic" w:eastAsia="Malgun Gothic" w:cs="Malgun Gothic"/>
            <w:color w:val="333333"/>
          </w:rPr>
          <w:t>https://doi.org/10.1016/j.dss.2020.113453</w:t>
        </w:r>
      </w:hyperlink>
      <w:r>
        <w:rPr>
          <w:rFonts w:ascii="Malgun Gothic" w:hAnsi="Malgun Gothic" w:eastAsia="Malgun Gothic" w:cs="Malgun Gothic"/>
          <w:b w:val="0"/>
          <w:i w:val="0"/>
          <w:color w:val="000000"/>
        </w:rPr>
        <w:t xml:space="preserve"> 검토 판본: 저자 공개본 arXiv:2007.03019v2. 확인 범위: 저자 공개본·서지·초록. 저널 분류: SJR Q1(정보시스템·경영정보).</w:t>
      </w:r>
    </w:p>
    <w:p>
      <w:r>
        <w:rPr>
          <w:rFonts w:ascii="Malgun Gothic" w:hAnsi="Malgun Gothic" w:eastAsia="Malgun Gothic" w:cs="Malgun Gothic"/>
          <w:b w:val="0"/>
          <w:i w:val="0"/>
          <w:color w:val="000000"/>
        </w:rPr>
        <w:t xml:space="preserve">• Ballou, D., Wang, R., Pazer, H., &amp; Tayi, G. K. (1998). Modeling information manufacturing systems to determine information product quality. </w:t>
      </w:r>
      <w:r>
        <w:rPr>
          <w:rFonts w:ascii="Malgun Gothic" w:hAnsi="Malgun Gothic" w:eastAsia="Malgun Gothic" w:cs="Malgun Gothic"/>
          <w:b w:val="0"/>
          <w:i/>
          <w:color w:val="000000"/>
        </w:rPr>
        <w:t>Management Science, 44</w:t>
      </w:r>
      <w:r>
        <w:rPr>
          <w:rFonts w:ascii="Malgun Gothic" w:hAnsi="Malgun Gothic" w:eastAsia="Malgun Gothic" w:cs="Malgun Gothic"/>
          <w:b w:val="0"/>
          <w:i w:val="0"/>
          <w:color w:val="000000"/>
        </w:rPr>
        <w:t xml:space="preserve">(4), 462–484. </w:t>
      </w:r>
      <w:hyperlink r:id="rId11">
        <w:r>
          <w:rPr>
            <w:rFonts w:ascii="Malgun Gothic" w:hAnsi="Malgun Gothic" w:eastAsia="Malgun Gothic" w:cs="Malgun Gothic"/>
            <w:color w:val="333333"/>
          </w:rPr>
          <w:t>https://doi.org/10.1287/mnsc.44.4.462</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Burton-Jones, A., &amp; Grange, C. (2013). From use to effective use: A representation theory perspective. </w:t>
      </w:r>
      <w:r>
        <w:rPr>
          <w:rFonts w:ascii="Malgun Gothic" w:hAnsi="Malgun Gothic" w:eastAsia="Malgun Gothic" w:cs="Malgun Gothic"/>
          <w:b w:val="0"/>
          <w:i/>
          <w:color w:val="000000"/>
        </w:rPr>
        <w:t>Information Systems Research, 24</w:t>
      </w:r>
      <w:r>
        <w:rPr>
          <w:rFonts w:ascii="Malgun Gothic" w:hAnsi="Malgun Gothic" w:eastAsia="Malgun Gothic" w:cs="Malgun Gothic"/>
          <w:b w:val="0"/>
          <w:i w:val="0"/>
          <w:color w:val="000000"/>
        </w:rPr>
        <w:t xml:space="preserve">(3), 632–658. </w:t>
      </w:r>
      <w:hyperlink r:id="rId12">
        <w:r>
          <w:rPr>
            <w:rFonts w:ascii="Malgun Gothic" w:hAnsi="Malgun Gothic" w:eastAsia="Malgun Gothic" w:cs="Malgun Gothic"/>
            <w:color w:val="333333"/>
          </w:rPr>
          <w:t>https://doi.org/10.1287/isre.1120.0444</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Du, M., Wang, L., Zou, S., &amp; Shi, C. (2018). Modeling the census tract level housing vacancy rate with the Jilin1-03 satellite and other geospatial data. </w:t>
      </w:r>
      <w:r>
        <w:rPr>
          <w:rFonts w:ascii="Malgun Gothic" w:hAnsi="Malgun Gothic" w:eastAsia="Malgun Gothic" w:cs="Malgun Gothic"/>
          <w:b w:val="0"/>
          <w:i/>
          <w:color w:val="000000"/>
        </w:rPr>
        <w:t>Remote Sensing, 10</w:t>
      </w:r>
      <w:r>
        <w:rPr>
          <w:rFonts w:ascii="Malgun Gothic" w:hAnsi="Malgun Gothic" w:eastAsia="Malgun Gothic" w:cs="Malgun Gothic"/>
          <w:b w:val="0"/>
          <w:i w:val="0"/>
          <w:color w:val="000000"/>
        </w:rPr>
        <w:t xml:space="preserve">(12), 1920. </w:t>
      </w:r>
      <w:hyperlink r:id="rId13">
        <w:r>
          <w:rPr>
            <w:rFonts w:ascii="Malgun Gothic" w:hAnsi="Malgun Gothic" w:eastAsia="Malgun Gothic" w:cs="Malgun Gothic"/>
            <w:color w:val="333333"/>
          </w:rPr>
          <w:t>https://doi.org/10.3390/rs10121920</w:t>
        </w:r>
      </w:hyperlink>
      <w:r>
        <w:rPr>
          <w:rFonts w:ascii="Malgun Gothic" w:hAnsi="Malgun Gothic" w:eastAsia="Malgun Gothic" w:cs="Malgun Gothic"/>
          <w:b w:val="0"/>
          <w:i w:val="0"/>
          <w:color w:val="000000"/>
        </w:rPr>
        <w:t xml:space="preserve"> 확인 범위: 서지, 기존 후보표의 공개 원문 확인 기록. 저널 분류: SJR Q1(지구과학, AI/MIS 분류 아님).</w:t>
      </w:r>
    </w:p>
    <w:p>
      <w:r>
        <w:rPr>
          <w:rFonts w:ascii="Malgun Gothic" w:hAnsi="Malgun Gothic" w:eastAsia="Malgun Gothic" w:cs="Malgun Gothic"/>
          <w:b w:val="0"/>
          <w:i w:val="0"/>
          <w:color w:val="000000"/>
        </w:rPr>
        <w:t xml:space="preserve">• Fišar, M., Greiner, B., Huber, C., Katok, E., Ozkes, A. I., &amp; the Management Science Reproducibility Collaboration. (2024). Reproducibility in Management Science. </w:t>
      </w:r>
      <w:r>
        <w:rPr>
          <w:rFonts w:ascii="Malgun Gothic" w:hAnsi="Malgun Gothic" w:eastAsia="Malgun Gothic" w:cs="Malgun Gothic"/>
          <w:b w:val="0"/>
          <w:i/>
          <w:color w:val="000000"/>
        </w:rPr>
        <w:t>Management Science, 70</w:t>
      </w:r>
      <w:r>
        <w:rPr>
          <w:rFonts w:ascii="Malgun Gothic" w:hAnsi="Malgun Gothic" w:eastAsia="Malgun Gothic" w:cs="Malgun Gothic"/>
          <w:b w:val="0"/>
          <w:i w:val="0"/>
          <w:color w:val="000000"/>
        </w:rPr>
        <w:t xml:space="preserve">(3), 1343–1356. </w:t>
      </w:r>
      <w:hyperlink r:id="rId14">
        <w:r>
          <w:rPr>
            <w:rFonts w:ascii="Malgun Gothic" w:hAnsi="Malgun Gothic" w:eastAsia="Malgun Gothic" w:cs="Malgun Gothic"/>
            <w:color w:val="333333"/>
          </w:rPr>
          <w:t>https://doi.org/10.1287/mnsc.2023.03556</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Forman, C., Ghose, A., &amp; Goldfarb, A. (2009). Competition between local and electronic markets: How the benefit of buying online depends on where you live. </w:t>
      </w:r>
      <w:r>
        <w:rPr>
          <w:rFonts w:ascii="Malgun Gothic" w:hAnsi="Malgun Gothic" w:eastAsia="Malgun Gothic" w:cs="Malgun Gothic"/>
          <w:b w:val="0"/>
          <w:i/>
          <w:color w:val="000000"/>
        </w:rPr>
        <w:t>Management Science, 55</w:t>
      </w:r>
      <w:r>
        <w:rPr>
          <w:rFonts w:ascii="Malgun Gothic" w:hAnsi="Malgun Gothic" w:eastAsia="Malgun Gothic" w:cs="Malgun Gothic"/>
          <w:b w:val="0"/>
          <w:i w:val="0"/>
          <w:color w:val="000000"/>
        </w:rPr>
        <w:t xml:space="preserve">(1), 47–57. </w:t>
      </w:r>
      <w:hyperlink r:id="rId15">
        <w:r>
          <w:rPr>
            <w:rFonts w:ascii="Malgun Gothic" w:hAnsi="Malgun Gothic" w:eastAsia="Malgun Gothic" w:cs="Malgun Gothic"/>
            <w:color w:val="333333"/>
          </w:rPr>
          <w:t>https://doi.org/10.1287/mnsc.1080.0932</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Ghose, A., Goldfarb, A., &amp; Han, S. P. (2013). How is the mobile Internet different? Search costs and local activities. </w:t>
      </w:r>
      <w:r>
        <w:rPr>
          <w:rFonts w:ascii="Malgun Gothic" w:hAnsi="Malgun Gothic" w:eastAsia="Malgun Gothic" w:cs="Malgun Gothic"/>
          <w:b w:val="0"/>
          <w:i/>
          <w:color w:val="000000"/>
        </w:rPr>
        <w:t>Information Systems Research, 24</w:t>
      </w:r>
      <w:r>
        <w:rPr>
          <w:rFonts w:ascii="Malgun Gothic" w:hAnsi="Malgun Gothic" w:eastAsia="Malgun Gothic" w:cs="Malgun Gothic"/>
          <w:b w:val="0"/>
          <w:i w:val="0"/>
          <w:color w:val="000000"/>
        </w:rPr>
        <w:t xml:space="preserve">(3), 613–631. </w:t>
      </w:r>
      <w:hyperlink r:id="rId16">
        <w:r>
          <w:rPr>
            <w:rFonts w:ascii="Malgun Gothic" w:hAnsi="Malgun Gothic" w:eastAsia="Malgun Gothic" w:cs="Malgun Gothic"/>
            <w:color w:val="333333"/>
          </w:rPr>
          <w:t>https://doi.org/10.1287/isre.1120.0453</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Hevner, A. R., March, S. T., Park, J., &amp; Ram, S. (2004). Design science in information systems research. </w:t>
      </w:r>
      <w:r>
        <w:rPr>
          <w:rFonts w:ascii="Malgun Gothic" w:hAnsi="Malgun Gothic" w:eastAsia="Malgun Gothic" w:cs="Malgun Gothic"/>
          <w:b w:val="0"/>
          <w:i/>
          <w:color w:val="000000"/>
        </w:rPr>
        <w:t>MIS Quarterly, 28</w:t>
      </w:r>
      <w:r>
        <w:rPr>
          <w:rFonts w:ascii="Malgun Gothic" w:hAnsi="Malgun Gothic" w:eastAsia="Malgun Gothic" w:cs="Malgun Gothic"/>
          <w:b w:val="0"/>
          <w:i w:val="0"/>
          <w:color w:val="000000"/>
        </w:rPr>
        <w:t xml:space="preserve">(1), 75–106. </w:t>
      </w:r>
      <w:hyperlink r:id="rId17">
        <w:r>
          <w:rPr>
            <w:rFonts w:ascii="Malgun Gothic" w:hAnsi="Malgun Gothic" w:eastAsia="Malgun Gothic" w:cs="Malgun Gothic"/>
            <w:color w:val="333333"/>
          </w:rPr>
          <w:t>https://doi.org/10.2307/25148625</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Law, S., Paige, B., &amp; Russell, C. (2019). Take a look around: Using street view and satellite images to estimate house prices. </w:t>
      </w:r>
      <w:r>
        <w:rPr>
          <w:rFonts w:ascii="Malgun Gothic" w:hAnsi="Malgun Gothic" w:eastAsia="Malgun Gothic" w:cs="Malgun Gothic"/>
          <w:b w:val="0"/>
          <w:i/>
          <w:color w:val="000000"/>
        </w:rPr>
        <w:t>ACM Transactions on Intelligent Systems and Technology, 10</w:t>
      </w:r>
      <w:r>
        <w:rPr>
          <w:rFonts w:ascii="Malgun Gothic" w:hAnsi="Malgun Gothic" w:eastAsia="Malgun Gothic" w:cs="Malgun Gothic"/>
          <w:b w:val="0"/>
          <w:i w:val="0"/>
          <w:color w:val="000000"/>
        </w:rPr>
        <w:t xml:space="preserve">(5), 1–19. </w:t>
      </w:r>
      <w:hyperlink r:id="rId18">
        <w:r>
          <w:rPr>
            <w:rFonts w:ascii="Malgun Gothic" w:hAnsi="Malgun Gothic" w:eastAsia="Malgun Gothic" w:cs="Malgun Gothic"/>
            <w:color w:val="333333"/>
          </w:rPr>
          <w:t>https://doi.org/10.1145/3342240</w:t>
        </w:r>
      </w:hyperlink>
      <w:r>
        <w:rPr>
          <w:rFonts w:ascii="Malgun Gothic" w:hAnsi="Malgun Gothic" w:eastAsia="Malgun Gothic" w:cs="Malgun Gothic"/>
          <w:b w:val="0"/>
          <w:i w:val="0"/>
          <w:color w:val="000000"/>
        </w:rPr>
        <w:t xml:space="preserve"> 확인 범위: 서지·초록. 저널 분류: SJR Q1(인공지능).</w:t>
      </w:r>
    </w:p>
    <w:p>
      <w:r>
        <w:rPr>
          <w:rFonts w:ascii="Malgun Gothic" w:hAnsi="Malgun Gothic" w:eastAsia="Malgun Gothic" w:cs="Malgun Gothic"/>
          <w:b w:val="0"/>
          <w:i w:val="0"/>
          <w:color w:val="000000"/>
        </w:rPr>
        <w:t xml:space="preserve">• Li, Y., &amp; Long, Y. (2024). Inferring storefront vacancy using mobile sensing images and computer vision approaches. </w:t>
      </w:r>
      <w:r>
        <w:rPr>
          <w:rFonts w:ascii="Malgun Gothic" w:hAnsi="Malgun Gothic" w:eastAsia="Malgun Gothic" w:cs="Malgun Gothic"/>
          <w:b w:val="0"/>
          <w:i/>
          <w:color w:val="000000"/>
        </w:rPr>
        <w:t>Computers, Environment and Urban Systems, 108</w:t>
      </w:r>
      <w:r>
        <w:rPr>
          <w:rFonts w:ascii="Malgun Gothic" w:hAnsi="Malgun Gothic" w:eastAsia="Malgun Gothic" w:cs="Malgun Gothic"/>
          <w:b w:val="0"/>
          <w:i w:val="0"/>
          <w:color w:val="000000"/>
        </w:rPr>
        <w:t xml:space="preserve">, 102071. </w:t>
      </w:r>
      <w:hyperlink r:id="rId19">
        <w:r>
          <w:rPr>
            <w:rFonts w:ascii="Malgun Gothic" w:hAnsi="Malgun Gothic" w:eastAsia="Malgun Gothic" w:cs="Malgun Gothic"/>
            <w:color w:val="333333"/>
          </w:rPr>
          <w:t>https://doi.org/10.1016/j.compenvurbsys.2023.102071</w:t>
        </w:r>
      </w:hyperlink>
      <w:r>
        <w:rPr>
          <w:rFonts w:ascii="Malgun Gothic" w:hAnsi="Malgun Gothic" w:eastAsia="Malgun Gothic" w:cs="Malgun Gothic"/>
          <w:b w:val="0"/>
          <w:i w:val="0"/>
          <w:color w:val="000000"/>
        </w:rPr>
        <w:t xml:space="preserve"> 확인 범위: 서지와 공개 데이터셋 설명(초록 직접 대조는 미완료). 저널 분류: SJR Q1(지리·도시, AI/MIS 분류 아님).</w:t>
      </w:r>
    </w:p>
    <w:p>
      <w:r>
        <w:rPr>
          <w:rFonts w:ascii="Malgun Gothic" w:hAnsi="Malgun Gothic" w:eastAsia="Malgun Gothic" w:cs="Malgun Gothic"/>
          <w:b w:val="0"/>
          <w:i w:val="0"/>
          <w:color w:val="000000"/>
        </w:rPr>
        <w:t xml:space="preserve">• Marsden, J. R., &amp; Pingry, D. E. (2018). Numerical data quality in IS research and the implications for replication. </w:t>
      </w:r>
      <w:r>
        <w:rPr>
          <w:rFonts w:ascii="Malgun Gothic" w:hAnsi="Malgun Gothic" w:eastAsia="Malgun Gothic" w:cs="Malgun Gothic"/>
          <w:b w:val="0"/>
          <w:i/>
          <w:color w:val="000000"/>
        </w:rPr>
        <w:t>Decision Support Systems, 115</w:t>
      </w:r>
      <w:r>
        <w:rPr>
          <w:rFonts w:ascii="Malgun Gothic" w:hAnsi="Malgun Gothic" w:eastAsia="Malgun Gothic" w:cs="Malgun Gothic"/>
          <w:b w:val="0"/>
          <w:i w:val="0"/>
          <w:color w:val="000000"/>
        </w:rPr>
        <w:t xml:space="preserve">, A1–A7. </w:t>
      </w:r>
      <w:hyperlink r:id="rId20">
        <w:r>
          <w:rPr>
            <w:rFonts w:ascii="Malgun Gothic" w:hAnsi="Malgun Gothic" w:eastAsia="Malgun Gothic" w:cs="Malgun Gothic"/>
            <w:color w:val="333333"/>
          </w:rPr>
          <w:t>https://doi.org/10.1016/j.dss.2018.10.007</w:t>
        </w:r>
      </w:hyperlink>
      <w:r>
        <w:rPr>
          <w:rFonts w:ascii="Malgun Gothic" w:hAnsi="Malgun Gothic" w:eastAsia="Malgun Gothic" w:cs="Malgun Gothic"/>
          <w:b w:val="0"/>
          <w:i w:val="0"/>
          <w:color w:val="000000"/>
        </w:rPr>
        <w:t xml:space="preserve"> 확인 범위: 출판사 공개 초록·서론. 저널 분류: SJR Q1(정보시스템·경영정보).</w:t>
      </w:r>
    </w:p>
    <w:p>
      <w:r>
        <w:rPr>
          <w:rFonts w:ascii="Malgun Gothic" w:hAnsi="Malgun Gothic" w:eastAsia="Malgun Gothic" w:cs="Malgun Gothic"/>
          <w:b w:val="0"/>
          <w:i w:val="0"/>
          <w:color w:val="000000"/>
        </w:rPr>
        <w:t xml:space="preserve">• National Academies of Sciences, Engineering, and Medicine. (2019). </w:t>
      </w:r>
      <w:r>
        <w:rPr>
          <w:rFonts w:ascii="Malgun Gothic" w:hAnsi="Malgun Gothic" w:eastAsia="Malgun Gothic" w:cs="Malgun Gothic"/>
          <w:b w:val="0"/>
          <w:i/>
          <w:color w:val="000000"/>
        </w:rPr>
        <w:t>Reproducibility and Replicability in Science</w:t>
      </w:r>
      <w:r>
        <w:rPr>
          <w:rFonts w:ascii="Malgun Gothic" w:hAnsi="Malgun Gothic" w:eastAsia="Malgun Gothic" w:cs="Malgun Gothic"/>
          <w:b w:val="0"/>
          <w:i w:val="0"/>
          <w:color w:val="000000"/>
        </w:rPr>
        <w:t xml:space="preserve">. National Academies Press. </w:t>
      </w:r>
      <w:hyperlink r:id="rId21">
        <w:r>
          <w:rPr>
            <w:rFonts w:ascii="Malgun Gothic" w:hAnsi="Malgun Gothic" w:eastAsia="Malgun Gothic" w:cs="Malgun Gothic"/>
            <w:color w:val="333333"/>
          </w:rPr>
          <w:t>https://doi.org/10.17226/25303</w:t>
        </w:r>
      </w:hyperlink>
      <w:r>
        <w:rPr>
          <w:rFonts w:ascii="Malgun Gothic" w:hAnsi="Malgun Gothic" w:eastAsia="Malgun Gothic" w:cs="Malgun Gothic"/>
          <w:b w:val="0"/>
          <w:i w:val="0"/>
          <w:color w:val="000000"/>
        </w:rPr>
        <w:t xml:space="preserve"> 확인 범위: 제3장 중 용어 정의 및 구분.</w:t>
      </w:r>
    </w:p>
    <w:p>
      <w:r>
        <w:rPr>
          <w:rFonts w:ascii="Malgun Gothic" w:hAnsi="Malgun Gothic" w:eastAsia="Malgun Gothic" w:cs="Malgun Gothic"/>
          <w:b w:val="0"/>
          <w:i w:val="0"/>
          <w:color w:val="000000"/>
        </w:rPr>
        <w:t xml:space="preserve">• Parssian, A., Sarkar, S., &amp; Jacob, V. S. (2004). Assessing data quality for information products: Impact of selection, projection, and Cartesian product. </w:t>
      </w:r>
      <w:r>
        <w:rPr>
          <w:rFonts w:ascii="Malgun Gothic" w:hAnsi="Malgun Gothic" w:eastAsia="Malgun Gothic" w:cs="Malgun Gothic"/>
          <w:b w:val="0"/>
          <w:i/>
          <w:color w:val="000000"/>
        </w:rPr>
        <w:t>Management Science, 50</w:t>
      </w:r>
      <w:r>
        <w:rPr>
          <w:rFonts w:ascii="Malgun Gothic" w:hAnsi="Malgun Gothic" w:eastAsia="Malgun Gothic" w:cs="Malgun Gothic"/>
          <w:b w:val="0"/>
          <w:i w:val="0"/>
          <w:color w:val="000000"/>
        </w:rPr>
        <w:t xml:space="preserve">(7), 967–982. </w:t>
      </w:r>
      <w:hyperlink r:id="rId22">
        <w:r>
          <w:rPr>
            <w:rFonts w:ascii="Malgun Gothic" w:hAnsi="Malgun Gothic" w:eastAsia="Malgun Gothic" w:cs="Malgun Gothic"/>
            <w:color w:val="333333"/>
          </w:rPr>
          <w:t>https://doi.org/10.1287/mnsc.1040.0237</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Recker, J., Indulska, M., Green, P., Burton-Jones, A., &amp; Weber, R. (2019). Information systems as representations: A review of the theory and evidence. </w:t>
      </w:r>
      <w:r>
        <w:rPr>
          <w:rFonts w:ascii="Malgun Gothic" w:hAnsi="Malgun Gothic" w:eastAsia="Malgun Gothic" w:cs="Malgun Gothic"/>
          <w:b w:val="0"/>
          <w:i/>
          <w:color w:val="000000"/>
        </w:rPr>
        <w:t>Journal of the Association for Information Systems</w:t>
      </w:r>
      <w:r>
        <w:rPr>
          <w:rFonts w:ascii="Malgun Gothic" w:hAnsi="Malgun Gothic" w:eastAsia="Malgun Gothic" w:cs="Malgun Gothic"/>
          <w:b w:val="0"/>
          <w:i w:val="0"/>
          <w:color w:val="000000"/>
        </w:rPr>
        <w:t xml:space="preserve">, 735–786. </w:t>
      </w:r>
      <w:hyperlink r:id="rId23">
        <w:r>
          <w:rPr>
            <w:rFonts w:ascii="Malgun Gothic" w:hAnsi="Malgun Gothic" w:eastAsia="Malgun Gothic" w:cs="Malgun Gothic"/>
            <w:color w:val="333333"/>
          </w:rPr>
          <w:t>https://doi.org/10.17705/1jais.00550</w:t>
        </w:r>
      </w:hyperlink>
      <w:r>
        <w:rPr>
          <w:rFonts w:ascii="Malgun Gothic" w:hAnsi="Malgun Gothic" w:eastAsia="Malgun Gothic" w:cs="Malgun Gothic"/>
          <w:b w:val="0"/>
          <w:i w:val="0"/>
          <w:color w:val="000000"/>
        </w:rPr>
        <w:t xml:space="preserve"> 확인 범위: 서지·초록(권호는 확인한 기록에 없음). 저널 분류: SJR Q1(정보시스템).</w:t>
      </w:r>
    </w:p>
    <w:p>
      <w:r>
        <w:rPr>
          <w:rFonts w:ascii="Malgun Gothic" w:hAnsi="Malgun Gothic" w:eastAsia="Malgun Gothic" w:cs="Malgun Gothic"/>
          <w:b w:val="0"/>
          <w:i w:val="0"/>
          <w:color w:val="000000"/>
        </w:rPr>
        <w:t xml:space="preserve">• Sandve, G. K., Nekrutenko, A., Taylor, J., &amp; Hovig, E. (2013). Ten simple rules for reproducible computational research. </w:t>
      </w:r>
      <w:r>
        <w:rPr>
          <w:rFonts w:ascii="Malgun Gothic" w:hAnsi="Malgun Gothic" w:eastAsia="Malgun Gothic" w:cs="Malgun Gothic"/>
          <w:b w:val="0"/>
          <w:i/>
          <w:color w:val="000000"/>
        </w:rPr>
        <w:t>PLOS Computational Biology, 9</w:t>
      </w:r>
      <w:r>
        <w:rPr>
          <w:rFonts w:ascii="Malgun Gothic" w:hAnsi="Malgun Gothic" w:eastAsia="Malgun Gothic" w:cs="Malgun Gothic"/>
          <w:b w:val="0"/>
          <w:i w:val="0"/>
          <w:color w:val="000000"/>
        </w:rPr>
        <w:t xml:space="preserve">(10), e1003285. </w:t>
      </w:r>
      <w:hyperlink r:id="rId24">
        <w:r>
          <w:rPr>
            <w:rFonts w:ascii="Malgun Gothic" w:hAnsi="Malgun Gothic" w:eastAsia="Malgun Gothic" w:cs="Malgun Gothic"/>
            <w:color w:val="333333"/>
          </w:rPr>
          <w:t>https://doi.org/10.1371/journal.pcbi.1003285</w:t>
        </w:r>
      </w:hyperlink>
      <w:r>
        <w:rPr>
          <w:rFonts w:ascii="Malgun Gothic" w:hAnsi="Malgun Gothic" w:eastAsia="Malgun Gothic" w:cs="Malgun Gothic"/>
          <w:b w:val="0"/>
          <w:i w:val="0"/>
          <w:color w:val="000000"/>
        </w:rPr>
        <w:t xml:space="preserve"> 저널 분류는 확인하지 않았다.</w:t>
      </w:r>
    </w:p>
    <w:p>
      <w:r>
        <w:rPr>
          <w:rFonts w:ascii="Malgun Gothic" w:hAnsi="Malgun Gothic" w:eastAsia="Malgun Gothic" w:cs="Malgun Gothic"/>
          <w:b w:val="0"/>
          <w:i w:val="0"/>
          <w:color w:val="000000"/>
        </w:rPr>
        <w:t xml:space="preserve">• Timmerman, Y., &amp; Bronselaer, A. (2019). Measuring data quality in information systems research. </w:t>
      </w:r>
      <w:r>
        <w:rPr>
          <w:rFonts w:ascii="Malgun Gothic" w:hAnsi="Malgun Gothic" w:eastAsia="Malgun Gothic" w:cs="Malgun Gothic"/>
          <w:b w:val="0"/>
          <w:i/>
          <w:color w:val="000000"/>
        </w:rPr>
        <w:t>Decision Support Systems, 126</w:t>
      </w:r>
      <w:r>
        <w:rPr>
          <w:rFonts w:ascii="Malgun Gothic" w:hAnsi="Malgun Gothic" w:eastAsia="Malgun Gothic" w:cs="Malgun Gothic"/>
          <w:b w:val="0"/>
          <w:i w:val="0"/>
          <w:color w:val="000000"/>
        </w:rPr>
        <w:t xml:space="preserve">, 113138. </w:t>
      </w:r>
      <w:hyperlink r:id="rId25">
        <w:r>
          <w:rPr>
            <w:rFonts w:ascii="Malgun Gothic" w:hAnsi="Malgun Gothic" w:eastAsia="Malgun Gothic" w:cs="Malgun Gothic"/>
            <w:color w:val="333333"/>
          </w:rPr>
          <w:t>https://doi.org/10.1016/j.dss.2019.113138</w:t>
        </w:r>
      </w:hyperlink>
      <w:r>
        <w:rPr>
          <w:rFonts w:ascii="Malgun Gothic" w:hAnsi="Malgun Gothic" w:eastAsia="Malgun Gothic" w:cs="Malgun Gothic"/>
          <w:b w:val="0"/>
          <w:i w:val="0"/>
          <w:color w:val="000000"/>
        </w:rPr>
        <w:t xml:space="preserve"> 확인 범위: UGent 기관 공개 초록·서지. 저널 분류: SJR Q1(정보시스템·경영정보).</w:t>
      </w:r>
    </w:p>
    <w:p>
      <w:r>
        <w:rPr>
          <w:rFonts w:ascii="Malgun Gothic" w:hAnsi="Malgun Gothic" w:eastAsia="Malgun Gothic" w:cs="Malgun Gothic"/>
          <w:b w:val="0"/>
          <w:i w:val="0"/>
          <w:color w:val="000000"/>
        </w:rPr>
        <w:t xml:space="preserve">• Venable, J., Pries-Heje, J., &amp; Baskerville, R. (2016). FEDS: A framework for evaluation in design science research. </w:t>
      </w:r>
      <w:r>
        <w:rPr>
          <w:rFonts w:ascii="Malgun Gothic" w:hAnsi="Malgun Gothic" w:eastAsia="Malgun Gothic" w:cs="Malgun Gothic"/>
          <w:b w:val="0"/>
          <w:i/>
          <w:color w:val="000000"/>
        </w:rPr>
        <w:t>European Journal of Information Systems, 25</w:t>
      </w:r>
      <w:r>
        <w:rPr>
          <w:rFonts w:ascii="Malgun Gothic" w:hAnsi="Malgun Gothic" w:eastAsia="Malgun Gothic" w:cs="Malgun Gothic"/>
          <w:b w:val="0"/>
          <w:i w:val="0"/>
          <w:color w:val="000000"/>
        </w:rPr>
        <w:t xml:space="preserve">(1), 77–89. </w:t>
      </w:r>
      <w:hyperlink r:id="rId26">
        <w:r>
          <w:rPr>
            <w:rFonts w:ascii="Malgun Gothic" w:hAnsi="Malgun Gothic" w:eastAsia="Malgun Gothic" w:cs="Malgun Gothic"/>
            <w:color w:val="333333"/>
          </w:rPr>
          <w:t>https://doi.org/10.1057/ejis.2014.36</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Vetrò, A., Canova, L., Torchiano, M., Minotas, C. O., Iemma, R., &amp; Morando, F. (2016). Open data quality measurement framework: Definition and application to Open Government Data. </w:t>
      </w:r>
      <w:r>
        <w:rPr>
          <w:rFonts w:ascii="Malgun Gothic" w:hAnsi="Malgun Gothic" w:eastAsia="Malgun Gothic" w:cs="Malgun Gothic"/>
          <w:b w:val="0"/>
          <w:i/>
          <w:color w:val="000000"/>
        </w:rPr>
        <w:t>Government Information Quarterly, 33</w:t>
      </w:r>
      <w:r>
        <w:rPr>
          <w:rFonts w:ascii="Malgun Gothic" w:hAnsi="Malgun Gothic" w:eastAsia="Malgun Gothic" w:cs="Malgun Gothic"/>
          <w:b w:val="0"/>
          <w:i w:val="0"/>
          <w:color w:val="000000"/>
        </w:rPr>
        <w:t xml:space="preserve">(2), 325–337. </w:t>
      </w:r>
      <w:hyperlink r:id="rId27">
        <w:r>
          <w:rPr>
            <w:rFonts w:ascii="Malgun Gothic" w:hAnsi="Malgun Gothic" w:eastAsia="Malgun Gothic" w:cs="Malgun Gothic"/>
            <w:color w:val="333333"/>
          </w:rPr>
          <w:t>https://doi.org/10.1016/j.giq.2016.02.001</w:t>
        </w:r>
      </w:hyperlink>
      <w:r>
        <w:rPr>
          <w:rFonts w:ascii="Malgun Gothic" w:hAnsi="Malgun Gothic" w:eastAsia="Malgun Gothic" w:cs="Malgun Gothic"/>
          <w:b w:val="0"/>
          <w:i w:val="0"/>
          <w:color w:val="000000"/>
        </w:rPr>
        <w:t xml:space="preserve"> 확인 범위: 서지·초록. 저널 분류: SJR Q1(문헌정보·법·사회과학, AI/MIS 분류 아님).</w:t>
      </w:r>
    </w:p>
    <w:p>
      <w:r>
        <w:rPr>
          <w:rFonts w:ascii="Malgun Gothic" w:hAnsi="Malgun Gothic" w:eastAsia="Malgun Gothic" w:cs="Malgun Gothic"/>
          <w:b w:val="0"/>
          <w:i w:val="0"/>
          <w:color w:val="000000"/>
        </w:rPr>
        <w:t xml:space="preserve">• Wang, R. Y., &amp; Strong, D. M. (1996). Beyond accuracy: What data quality means to data consumers. </w:t>
      </w:r>
      <w:r>
        <w:rPr>
          <w:rFonts w:ascii="Malgun Gothic" w:hAnsi="Malgun Gothic" w:eastAsia="Malgun Gothic" w:cs="Malgun Gothic"/>
          <w:b w:val="0"/>
          <w:i/>
          <w:color w:val="000000"/>
        </w:rPr>
        <w:t>Journal of Management Information Systems, 12</w:t>
      </w:r>
      <w:r>
        <w:rPr>
          <w:rFonts w:ascii="Malgun Gothic" w:hAnsi="Malgun Gothic" w:eastAsia="Malgun Gothic" w:cs="Malgun Gothic"/>
          <w:b w:val="0"/>
          <w:i w:val="0"/>
          <w:color w:val="000000"/>
        </w:rPr>
        <w:t xml:space="preserve">(4), 5–33. </w:t>
      </w:r>
      <w:hyperlink r:id="rId28">
        <w:r>
          <w:rPr>
            <w:rFonts w:ascii="Malgun Gothic" w:hAnsi="Malgun Gothic" w:eastAsia="Malgun Gothic" w:cs="Malgun Gothic"/>
            <w:color w:val="333333"/>
          </w:rPr>
          <w:t>https://doi.org/10.1080/07421222.1996.11518099</w:t>
        </w:r>
      </w:hyperlink>
      <w:r>
        <w:rPr>
          <w:rFonts w:ascii="Malgun Gothic" w:hAnsi="Malgun Gothic" w:eastAsia="Malgun Gothic" w:cs="Malgun Gothic"/>
          <w:b w:val="0"/>
          <w:i w:val="0"/>
          <w:color w:val="000000"/>
        </w:rPr>
        <w:t xml:space="preserve"> 확인 범위: 서지·초록. 저널 분류: SJR Q1(경영정보).</w:t>
      </w:r>
    </w:p>
    <w:p>
      <w:r>
        <w:rPr>
          <w:rFonts w:ascii="Malgun Gothic" w:hAnsi="Malgun Gothic" w:eastAsia="Malgun Gothic" w:cs="Malgun Gothic"/>
          <w:b w:val="0"/>
          <w:i w:val="0"/>
          <w:color w:val="000000"/>
        </w:rPr>
        <w:t xml:space="preserve">• Zhang, M., &amp; Luo, L. (2023). Can consumer-posted photos serve as a leading indicator of restaurant survival? Evidence from Yelp. </w:t>
      </w:r>
      <w:r>
        <w:rPr>
          <w:rFonts w:ascii="Malgun Gothic" w:hAnsi="Malgun Gothic" w:eastAsia="Malgun Gothic" w:cs="Malgun Gothic"/>
          <w:b w:val="0"/>
          <w:i/>
          <w:color w:val="000000"/>
        </w:rPr>
        <w:t>Management Science, 69</w:t>
      </w:r>
      <w:r>
        <w:rPr>
          <w:rFonts w:ascii="Malgun Gothic" w:hAnsi="Malgun Gothic" w:eastAsia="Malgun Gothic" w:cs="Malgun Gothic"/>
          <w:b w:val="0"/>
          <w:i w:val="0"/>
          <w:color w:val="000000"/>
        </w:rPr>
        <w:t xml:space="preserve">(1), 25–50. </w:t>
      </w:r>
      <w:hyperlink r:id="rId29">
        <w:r>
          <w:rPr>
            <w:rFonts w:ascii="Malgun Gothic" w:hAnsi="Malgun Gothic" w:eastAsia="Malgun Gothic" w:cs="Malgun Gothic"/>
            <w:color w:val="333333"/>
          </w:rPr>
          <w:t>https://doi.org/10.1287/mnsc.2022.4359</w:t>
        </w:r>
      </w:hyperlink>
      <w:r>
        <w:rPr>
          <w:rFonts w:ascii="Malgun Gothic" w:hAnsi="Malgun Gothic" w:eastAsia="Malgun Gothic" w:cs="Malgun Gothic"/>
          <w:b w:val="0"/>
          <w:i w:val="0"/>
          <w:color w:val="000000"/>
        </w:rPr>
        <w:t xml:space="preserve"> 확인 범위: 서지·초록. 저널 분류: SJR Q1(경영과학).</w:t>
      </w:r>
    </w:p>
    <w:p>
      <w:pPr>
        <w:pStyle w:val="Heading1"/>
      </w:pPr>
      <w:r>
        <w:t>자료 주석</w:t>
      </w:r>
    </w:p>
    <w:p>
      <w:r>
        <w:t>자료 경로는 저장소의 docs/papers를 기준으로 한다. 원천 전체의 공개 접근이나 독립 재현을 보장하지 않는다.</w:t>
      </w:r>
    </w:p>
    <w:p>
      <w:pPr>
        <w:spacing w:line="276" w:lineRule="auto"/>
      </w:pPr>
      <w:bookmarkStart w:id="1" w:name="source1"/>
      <w:r>
        <w:rPr>
          <w:rFonts w:ascii="Malgun Gothic" w:hAnsi="Malgun Gothic" w:eastAsia="Malgun Gothic" w:cs="Malgun Gothic"/>
          <w:b/>
          <w:color w:val="000000"/>
          <w:sz w:val="18"/>
        </w:rPr>
        <w:t>1. 초록의 수치 근거: PAGE-D01·D03–D09, PAGE-U01·U02</w:t>
      </w:r>
      <w:bookmarkEnd w:id="1"/>
      <w:r>
        <w:rPr>
          <w:rFonts w:ascii="Malgun Gothic" w:hAnsi="Malgun Gothic" w:eastAsia="Malgun Gothic" w:cs="Malgun Gothic"/>
          <w:color w:val="000000"/>
          <w:sz w:val="18"/>
        </w:rPr>
        <w:br/>
        <w:t>evidence-index.md#page-condition-d</w:t>
      </w:r>
    </w:p>
    <w:p>
      <w:pPr>
        <w:spacing w:line="276" w:lineRule="auto"/>
      </w:pPr>
      <w:bookmarkStart w:id="2" w:name="source2"/>
      <w:r>
        <w:rPr>
          <w:rFonts w:ascii="Malgun Gothic" w:hAnsi="Malgun Gothic" w:eastAsia="Malgun Gothic" w:cs="Malgun Gothic"/>
          <w:b/>
          <w:color w:val="000000"/>
          <w:sz w:val="18"/>
        </w:rPr>
        <w:t>2. 연구 동기의 출처와 검증 범위</w:t>
      </w:r>
      <w:bookmarkEnd w:id="2"/>
      <w:r>
        <w:rPr>
          <w:rFonts w:ascii="Malgun Gothic" w:hAnsi="Malgun Gothic" w:eastAsia="Malgun Gothic" w:cs="Malgun Gothic"/>
          <w:color w:val="000000"/>
          <w:sz w:val="18"/>
        </w:rPr>
        <w:br/>
        <w:t>evidence-index.md#pppp-update-20261011</w:t>
      </w:r>
    </w:p>
    <w:p>
      <w:pPr>
        <w:spacing w:line="276" w:lineRule="auto"/>
      </w:pPr>
      <w:bookmarkStart w:id="3" w:name="source3"/>
      <w:r>
        <w:rPr>
          <w:rFonts w:ascii="Malgun Gothic" w:hAnsi="Malgun Gothic" w:eastAsia="Malgun Gothic" w:cs="Malgun Gothic"/>
          <w:b/>
          <w:color w:val="000000"/>
          <w:sz w:val="18"/>
        </w:rPr>
        <w:t>3. 자료의 관측 단위와 파생 경로</w:t>
      </w:r>
      <w:bookmarkEnd w:id="3"/>
      <w:r>
        <w:rPr>
          <w:rFonts w:ascii="Malgun Gothic" w:hAnsi="Malgun Gothic" w:eastAsia="Malgun Gothic" w:cs="Malgun Gothic"/>
          <w:color w:val="000000"/>
          <w:sz w:val="18"/>
        </w:rPr>
        <w:br/>
        <w:t>data-specification.md</w:t>
      </w:r>
    </w:p>
    <w:p>
      <w:pPr>
        <w:spacing w:line="276" w:lineRule="auto"/>
      </w:pPr>
      <w:bookmarkStart w:id="4" w:name="source4"/>
      <w:r>
        <w:rPr>
          <w:rFonts w:ascii="Malgun Gothic" w:hAnsi="Malgun Gothic" w:eastAsia="Malgun Gothic" w:cs="Malgun Gothic"/>
          <w:b/>
          <w:color w:val="000000"/>
          <w:sz w:val="18"/>
        </w:rPr>
        <w:t>4. 연구 범위와 변수 대응</w:t>
      </w:r>
      <w:bookmarkEnd w:id="4"/>
      <w:r>
        <w:rPr>
          <w:rFonts w:ascii="Malgun Gothic" w:hAnsi="Malgun Gothic" w:eastAsia="Malgun Gothic" w:cs="Malgun Gothic"/>
          <w:color w:val="000000"/>
          <w:sz w:val="18"/>
        </w:rPr>
        <w:br/>
        <w:t>page-study/design-and-variables.md</w:t>
      </w:r>
    </w:p>
    <w:p>
      <w:pPr>
        <w:spacing w:line="276" w:lineRule="auto"/>
      </w:pPr>
      <w:bookmarkStart w:id="5" w:name="source5"/>
      <w:r>
        <w:rPr>
          <w:rFonts w:ascii="Malgun Gothic" w:hAnsi="Malgun Gothic" w:eastAsia="Malgun Gothic" w:cs="Malgun Gothic"/>
          <w:b/>
          <w:color w:val="000000"/>
          <w:sz w:val="18"/>
        </w:rPr>
        <w:t>5. 문헌 확인 범위</w:t>
      </w:r>
      <w:bookmarkEnd w:id="5"/>
      <w:r>
        <w:rPr>
          <w:rFonts w:ascii="Malgun Gothic" w:hAnsi="Malgun Gothic" w:eastAsia="Malgun Gothic" w:cs="Malgun Gothic"/>
          <w:color w:val="000000"/>
          <w:sz w:val="18"/>
        </w:rPr>
        <w:br/>
        <w:t>page-study/literature-review-20260919.md</w:t>
      </w:r>
    </w:p>
    <w:p>
      <w:pPr>
        <w:spacing w:line="276" w:lineRule="auto"/>
      </w:pPr>
      <w:bookmarkStart w:id="6" w:name="source6"/>
      <w:r>
        <w:rPr>
          <w:rFonts w:ascii="Malgun Gothic" w:hAnsi="Malgun Gothic" w:eastAsia="Malgun Gothic" w:cs="Malgun Gothic"/>
          <w:b/>
          <w:color w:val="000000"/>
          <w:sz w:val="18"/>
        </w:rPr>
        <w:t>6. 입력 인벤토리</w:t>
      </w:r>
      <w:bookmarkEnd w:id="6"/>
      <w:r>
        <w:rPr>
          <w:rFonts w:ascii="Malgun Gothic" w:hAnsi="Malgun Gothic" w:eastAsia="Malgun Gothic" w:cs="Malgun Gothic"/>
          <w:color w:val="000000"/>
          <w:sz w:val="18"/>
        </w:rPr>
        <w:br/>
        <w:t>audits/page-inventory-20260906/manifest.json</w:t>
      </w:r>
    </w:p>
    <w:p>
      <w:pPr>
        <w:spacing w:line="276" w:lineRule="auto"/>
      </w:pPr>
      <w:bookmarkStart w:id="7" w:name="source7"/>
      <w:r>
        <w:rPr>
          <w:rFonts w:ascii="Malgun Gothic" w:hAnsi="Malgun Gothic" w:eastAsia="Malgun Gothic" w:cs="Malgun Gothic"/>
          <w:b/>
          <w:color w:val="000000"/>
          <w:sz w:val="18"/>
        </w:rPr>
        <w:t>7. 실행 범위</w:t>
      </w:r>
      <w:bookmarkEnd w:id="7"/>
      <w:r>
        <w:rPr>
          <w:rFonts w:ascii="Malgun Gothic" w:hAnsi="Malgun Gothic" w:eastAsia="Malgun Gothic" w:cs="Malgun Gothic"/>
          <w:color w:val="000000"/>
          <w:sz w:val="18"/>
        </w:rPr>
        <w:br/>
        <w:t>audits/page-analysis-20260906/README.md</w:t>
      </w:r>
    </w:p>
    <w:p>
      <w:pPr>
        <w:spacing w:line="276" w:lineRule="auto"/>
      </w:pPr>
      <w:bookmarkStart w:id="8" w:name="source8"/>
      <w:r>
        <w:rPr>
          <w:rFonts w:ascii="Malgun Gothic" w:hAnsi="Malgun Gothic" w:eastAsia="Malgun Gothic" w:cs="Malgun Gothic"/>
          <w:b/>
          <w:color w:val="000000"/>
          <w:sz w:val="18"/>
        </w:rPr>
        <w:t>8. 거점 레지스트리</w:t>
      </w:r>
      <w:bookmarkEnd w:id="8"/>
      <w:r>
        <w:rPr>
          <w:rFonts w:ascii="Malgun Gothic" w:hAnsi="Malgun Gothic" w:eastAsia="Malgun Gothic" w:cs="Malgun Gothic"/>
          <w:color w:val="000000"/>
          <w:sz w:val="18"/>
        </w:rPr>
        <w:br/>
        <w:t>../../data/config/page_hubs.py</w:t>
      </w:r>
    </w:p>
    <w:p>
      <w:pPr>
        <w:spacing w:line="276" w:lineRule="auto"/>
      </w:pPr>
      <w:bookmarkStart w:id="9" w:name="source9"/>
      <w:r>
        <w:rPr>
          <w:rFonts w:ascii="Malgun Gothic" w:hAnsi="Malgun Gothic" w:eastAsia="Malgun Gothic" w:cs="Malgun Gothic"/>
          <w:b/>
          <w:color w:val="000000"/>
          <w:sz w:val="18"/>
        </w:rPr>
        <w:t>9. 환경별 실행 기록</w:t>
      </w:r>
      <w:bookmarkEnd w:id="9"/>
      <w:r>
        <w:rPr>
          <w:rFonts w:ascii="Malgun Gothic" w:hAnsi="Malgun Gothic" w:eastAsia="Malgun Gothic" w:cs="Malgun Gothic"/>
          <w:color w:val="000000"/>
          <w:sz w:val="18"/>
        </w:rPr>
        <w:br/>
        <w:t>page-study/evidence-verification.json</w:t>
      </w:r>
    </w:p>
    <w:p>
      <w:pPr>
        <w:spacing w:line="276" w:lineRule="auto"/>
      </w:pPr>
      <w:bookmarkStart w:id="10" w:name="source10"/>
      <w:r>
        <w:rPr>
          <w:rFonts w:ascii="Malgun Gothic" w:hAnsi="Malgun Gothic" w:eastAsia="Malgun Gothic" w:cs="Malgun Gothic"/>
          <w:b/>
          <w:color w:val="000000"/>
          <w:sz w:val="18"/>
        </w:rPr>
        <w:t>10. 방법 근거표</w:t>
      </w:r>
      <w:bookmarkEnd w:id="10"/>
      <w:r>
        <w:rPr>
          <w:rFonts w:ascii="Malgun Gothic" w:hAnsi="Malgun Gothic" w:eastAsia="Malgun Gothic" w:cs="Malgun Gothic"/>
          <w:color w:val="000000"/>
          <w:sz w:val="18"/>
        </w:rPr>
        <w:br/>
        <w:t>page-study/reading-ledger.md</w:t>
      </w:r>
    </w:p>
    <w:p>
      <w:pPr>
        <w:spacing w:line="276" w:lineRule="auto"/>
      </w:pPr>
      <w:bookmarkStart w:id="11" w:name="source11"/>
      <w:r>
        <w:rPr>
          <w:rFonts w:ascii="Malgun Gothic" w:hAnsi="Malgun Gothic" w:eastAsia="Malgun Gothic" w:cs="Malgun Gothic"/>
          <w:b/>
          <w:color w:val="000000"/>
          <w:sz w:val="18"/>
        </w:rPr>
        <w:t>11. 보강 단계와 잔여 한계</w:t>
      </w:r>
      <w:bookmarkEnd w:id="11"/>
      <w:r>
        <w:rPr>
          <w:rFonts w:ascii="Malgun Gothic" w:hAnsi="Malgun Gothic" w:eastAsia="Malgun Gothic" w:cs="Malgun Gothic"/>
          <w:color w:val="000000"/>
          <w:sz w:val="18"/>
        </w:rPr>
        <w:br/>
        <w:t>../finding-page-oct-refresh-2026-10-10.md</w:t>
      </w:r>
    </w:p>
    <w:p>
      <w:pPr>
        <w:spacing w:line="276" w:lineRule="auto"/>
      </w:pPr>
      <w:bookmarkStart w:id="12" w:name="source12"/>
      <w:r>
        <w:rPr>
          <w:rFonts w:ascii="Malgun Gothic" w:hAnsi="Malgun Gothic" w:eastAsia="Malgun Gothic" w:cs="Malgun Gothic"/>
          <w:b/>
          <w:color w:val="000000"/>
          <w:sz w:val="18"/>
        </w:rPr>
        <w:t>12. 근거: PAGE-V01·V02</w:t>
      </w:r>
      <w:bookmarkEnd w:id="12"/>
      <w:r>
        <w:rPr>
          <w:rFonts w:ascii="Malgun Gothic" w:hAnsi="Malgun Gothic" w:eastAsia="Malgun Gothic" w:cs="Malgun Gothic"/>
          <w:color w:val="000000"/>
          <w:sz w:val="18"/>
        </w:rPr>
        <w:br/>
        <w:t>evidence-index.md#update-20261018</w:t>
      </w:r>
    </w:p>
    <w:p>
      <w:pPr>
        <w:spacing w:line="276" w:lineRule="auto"/>
      </w:pPr>
      <w:bookmarkStart w:id="13" w:name="source13"/>
      <w:r>
        <w:rPr>
          <w:rFonts w:ascii="Malgun Gothic" w:hAnsi="Malgun Gothic" w:eastAsia="Malgun Gothic" w:cs="Malgun Gothic"/>
          <w:b/>
          <w:color w:val="000000"/>
          <w:sz w:val="18"/>
        </w:rPr>
        <w:t>13. 문헌 근거</w:t>
      </w:r>
      <w:bookmarkEnd w:id="13"/>
      <w:r>
        <w:rPr>
          <w:rFonts w:ascii="Malgun Gothic" w:hAnsi="Malgun Gothic" w:eastAsia="Malgun Gothic" w:cs="Malgun Gothic"/>
          <w:color w:val="000000"/>
          <w:sz w:val="18"/>
        </w:rPr>
        <w:br/>
        <w:t>evidence-index.md#literature-q1-20261011</w:t>
      </w:r>
    </w:p>
    <w:sectPr w:rsidR="00FC693F" w:rsidRPr="0006063C" w:rsidSect="00034616">
      <w:footerReference w:type="default" r:id="rId9"/>
      <w:pgSz w:w="11906" w:h="16838"/>
      <w:pgMar w:top="1191"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algun Gothic">
    <w:embedRegular r:id="rIdPageRegular" w:fontKey="{6D57AA11-3121-41D4-A093-872AF717A013}"/>
    <w:embedBold r:id="rIdPageBold" w:fontKey="{5E046B87-4952-4D58-B87D-9DFD5D95FC2F}"/>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lgun Gothic" w:hAnsi="Malgun Gothic" w:eastAsia="Malgun Gothic" w:cs="Malgun Gothi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Malgun Gothic" w:hAnsi="Malgun Gothic" w:eastAsia="Malgun Gothic" w:cs="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Malgun Gothic" w:hAnsi="Malgun Gothic" w:eastAsia="Malgun Gothic" w:cs="Malgun Gothi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dss.2020.113453" TargetMode="External"/><Relationship Id="rId11" Type="http://schemas.openxmlformats.org/officeDocument/2006/relationships/hyperlink" Target="https://doi.org/10.1287/mnsc.44.4.462" TargetMode="External"/><Relationship Id="rId12" Type="http://schemas.openxmlformats.org/officeDocument/2006/relationships/hyperlink" Target="https://doi.org/10.1287/isre.1120.0444" TargetMode="External"/><Relationship Id="rId13" Type="http://schemas.openxmlformats.org/officeDocument/2006/relationships/hyperlink" Target="https://doi.org/10.3390/rs10121920" TargetMode="External"/><Relationship Id="rId14" Type="http://schemas.openxmlformats.org/officeDocument/2006/relationships/hyperlink" Target="https://doi.org/10.1287/mnsc.2023.03556" TargetMode="External"/><Relationship Id="rId15" Type="http://schemas.openxmlformats.org/officeDocument/2006/relationships/hyperlink" Target="https://doi.org/10.1287/mnsc.1080.0932" TargetMode="External"/><Relationship Id="rId16" Type="http://schemas.openxmlformats.org/officeDocument/2006/relationships/hyperlink" Target="https://doi.org/10.1287/isre.1120.0453" TargetMode="External"/><Relationship Id="rId17" Type="http://schemas.openxmlformats.org/officeDocument/2006/relationships/hyperlink" Target="https://doi.org/10.2307/25148625" TargetMode="External"/><Relationship Id="rId18" Type="http://schemas.openxmlformats.org/officeDocument/2006/relationships/hyperlink" Target="https://doi.org/10.1145/3342240" TargetMode="External"/><Relationship Id="rId19" Type="http://schemas.openxmlformats.org/officeDocument/2006/relationships/hyperlink" Target="https://doi.org/10.1016/j.compenvurbsys.2023.102071" TargetMode="External"/><Relationship Id="rId20" Type="http://schemas.openxmlformats.org/officeDocument/2006/relationships/hyperlink" Target="https://doi.org/10.1016/j.dss.2018.10.007" TargetMode="External"/><Relationship Id="rId21" Type="http://schemas.openxmlformats.org/officeDocument/2006/relationships/hyperlink" Target="https://doi.org/10.17226/25303" TargetMode="External"/><Relationship Id="rId22" Type="http://schemas.openxmlformats.org/officeDocument/2006/relationships/hyperlink" Target="https://doi.org/10.1287/mnsc.1040.0237" TargetMode="External"/><Relationship Id="rId23" Type="http://schemas.openxmlformats.org/officeDocument/2006/relationships/hyperlink" Target="https://doi.org/10.17705/1jais.00550" TargetMode="External"/><Relationship Id="rId24" Type="http://schemas.openxmlformats.org/officeDocument/2006/relationships/hyperlink" Target="https://doi.org/10.1371/journal.pcbi.1003285" TargetMode="External"/><Relationship Id="rId25" Type="http://schemas.openxmlformats.org/officeDocument/2006/relationships/hyperlink" Target="https://doi.org/10.1016/j.dss.2019.113138" TargetMode="External"/><Relationship Id="rId26" Type="http://schemas.openxmlformats.org/officeDocument/2006/relationships/hyperlink" Target="https://doi.org/10.1057/ejis.2014.36" TargetMode="External"/><Relationship Id="rId27" Type="http://schemas.openxmlformats.org/officeDocument/2006/relationships/hyperlink" Target="https://doi.org/10.1016/j.giq.2016.02.001" TargetMode="External"/><Relationship Id="rId28" Type="http://schemas.openxmlformats.org/officeDocument/2006/relationships/hyperlink" Target="https://doi.org/10.1080/07421222.1996.11518099" TargetMode="External"/><Relationship Id="rId29" Type="http://schemas.openxmlformats.org/officeDocument/2006/relationships/hyperlink" Target="https://doi.org/10.1287/mnsc.2022.4359" TargetMode="External"/></Relationships>
</file>

<file path=word/_rels/fontTable.xml.rels><?xml version='1.0' encoding='UTF-8' standalone='yes'?>
<Relationships xmlns="http://schemas.openxmlformats.org/package/2006/relationships"><Relationship Id="rIdPageRegular" Type="http://schemas.openxmlformats.org/officeDocument/2006/relationships/font" Target="fonts/page-regular.odttf"/><Relationship Id="rIdPageBold" Type="http://schemas.openxmlformats.org/officeDocument/2006/relationships/font" Target="fonts/page-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공공행정자료 결합 기반 상업용 공실 정보의 데이터 품질과 계산 재현성</dc:title>
  <dc:subject>PlaceOS Page 연구</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