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공개 데이터 기반 상가 입점 회수기간 시나리오의 해상도 한계</w:t>
      </w:r>
    </w:p>
    <w:p>
      <w:pPr>
        <w:pStyle w:val="Subtitle"/>
        <w:jc w:val="center"/>
      </w:pPr>
      <w:r>
        <w:t>PlaceOS Posting</w:t>
      </w:r>
    </w:p>
    <w:p>
      <w:pPr>
        <w:pStyle w:val="Heading1"/>
      </w:pPr>
      <w:r>
        <w:t>초록</w:t>
      </w:r>
    </w:p>
    <w:p>
      <w:r>
        <w:rPr>
          <w:rFonts w:ascii="Malgun Gothic" w:hAnsi="Malgun Gothic" w:eastAsia="Malgun Gothic" w:cs="Malgun Gothic"/>
          <w:b w:val="0"/>
          <w:i w:val="0"/>
          <w:color w:val="000000"/>
        </w:rPr>
        <w:t>공실을 창업·재창업 순환의 단절로 보고, 유동인구와 영업 유지가 엇갈리는 현장 관찰에서 물리적 입지와 디지털 접근성의 관계를 연구 질문으로 삼았다. 본 논문은 그 성과를 미리 가정하지 않고, 창업가가 입점 비용을 비교할 때 공개 자료가 호실 수준의 판단을 어디까지 지지하는지를 분석한다.</w:t>
      </w:r>
    </w:p>
    <w:p>
      <w:r>
        <w:rPr>
          <w:rFonts w:ascii="Malgun Gothic" w:hAnsi="Malgun Gothic" w:eastAsia="Malgun Gothic" w:cs="Malgun Gothic"/>
          <w:b w:val="0"/>
          <w:i w:val="0"/>
          <w:color w:val="000000"/>
        </w:rPr>
        <w:t xml:space="preserve">상가 입점 시나리오는 임대료·매출·면적·권리금을 결합하지만, 서로 다른 통계와 행정자료를 결합한다고 해서 실제 호실의 경제성이 식별되는 것은 아니다. 본 연구는 PlaceOS Posting의 층 배정, 매출 앵커, 지역 벤치마크, 층별 유닛 분할, 집합건물 및 공식 면적 소스에 관한 조사 기록을 재구성하고, 정밀화 시도가 멈춘 지점을 값의 부재, 대상 단위에 대한 귀속 불가, 모집단 불일치, 후보 단위의 재정의라는 네 유형으로 구분한다. 진단의 기준은 값의 존재뿐 아니라 관측 단위·모집단·귀속 키·관측 상태가 대상 후보와 맞는지 여부다. 매출 앵커의 기준 모집단 오류를 수정한 뒤에도 설명 가설은 기각됐고, 후속 비교에서는 인벤토리 전체를 프라임 상권으로 간주했던 전제도 반증됐다. 별도의 층번호 프로브에서는 단일층으로 특정된 후보에 면적을 적용해도 기존 균등분할과 차이가 없었고, 다층 후보는 유닛 정의를 바꾸는 문제로 이어졌다. 따라서 조사 범위에서 확인된 한계는 자료 결측, 관측 단위의 불일치, 모집단 차이와 모델 표현의 제약으로 구분된다. 본 연구는 이를 공개 데이터 일반의 영구적 불가능성이나 현행 비용 모델의 정확성으로 확대하지 않는다. </w:t>
      </w:r>
      <w:hyperlink w:anchor="source1">
        <w:r>
          <w:rPr>
            <w:rFonts w:ascii="Malgun Gothic" w:hAnsi="Malgun Gothic" w:eastAsia="Malgun Gothic" w:cs="Malgun Gothic"/>
            <w:color w:val="333333"/>
            <w:sz w:val="17"/>
          </w:rPr>
          <w:t>근거: POSTING-E01–E05 [자료 1]</w:t>
        </w:r>
      </w:hyperlink>
    </w:p>
    <w:p>
      <w:r>
        <w:rPr>
          <w:rFonts w:ascii="Malgun Gothic" w:hAnsi="Malgun Gothic" w:eastAsia="Malgun Gothic" w:cs="Malgun Gothic"/>
          <w:b w:val="0"/>
          <w:i w:val="0"/>
          <w:color w:val="000000"/>
        </w:rPr>
        <w:t xml:space="preserve">후속 매출 산출물은 서빙 81거점 중 79거점에서 세 tier 재료를 갖추지만, 매핑된 상권 풀의 기준점은 서울 전체 대표값이 아니다. 모델 커버리지의 보강은 실제 회수기간 예측 타당성의 검증과 구분한다. </w:t>
      </w:r>
      <w:hyperlink w:anchor="source2">
        <w:r>
          <w:rPr>
            <w:rFonts w:ascii="Malgun Gothic" w:hAnsi="Malgun Gothic" w:eastAsia="Malgun Gothic" w:cs="Malgun Gothic"/>
            <w:color w:val="333333"/>
            <w:sz w:val="17"/>
          </w:rPr>
          <w:t>근거: POSTING-U01·U02 [자료 2]</w:t>
        </w:r>
      </w:hyperlink>
    </w:p>
    <w:p>
      <w:r>
        <w:rPr>
          <w:rFonts w:ascii="Malgun Gothic" w:hAnsi="Malgun Gothic" w:eastAsia="Malgun Gothic" w:cs="Malgun Gothic"/>
          <w:b/>
          <w:i w:val="0"/>
          <w:color w:val="000000"/>
        </w:rPr>
        <w:t>주제어:</w:t>
      </w:r>
      <w:r>
        <w:rPr>
          <w:rFonts w:ascii="Malgun Gothic" w:hAnsi="Malgun Gothic" w:eastAsia="Malgun Gothic" w:cs="Malgun Gothic"/>
          <w:b w:val="0"/>
          <w:i w:val="0"/>
          <w:color w:val="000000"/>
        </w:rPr>
        <w:t xml:space="preserve"> 상가 입점, 회수기간, 공개 데이터, 데이터 품질, 모집단 정합성, 음성 결과</w:t>
      </w:r>
    </w:p>
    <w:p>
      <w:pPr>
        <w:pStyle w:val="Heading1"/>
      </w:pPr>
      <w:r>
        <w:t>1 서론</w:t>
      </w:r>
    </w:p>
    <w:p>
      <w:pPr>
        <w:pStyle w:val="Heading2"/>
      </w:pPr>
      <w:r>
        <w:t>1.1 문제와 연구 질문</w:t>
      </w:r>
    </w:p>
    <w:p>
      <w:r>
        <w:rPr>
          <w:rFonts w:ascii="Malgun Gothic" w:hAnsi="Malgun Gothic" w:eastAsia="Malgun Gothic" w:cs="Malgun Gothic"/>
          <w:b w:val="0"/>
          <w:i w:val="0"/>
          <w:color w:val="000000"/>
        </w:rPr>
        <w:t>본 연구는 ‘공실은 창업과 재창업의 사이클이 끊긴, 일종의 동맥경화다’라는 문제의식에서 시작한다. 빈 공간이 다음 사업으로 연결되지 못하는 과정에는 창업자가 감당할 투자와 운영 조건을 판단하기 어려운 문제도 포함된다. 연구자는 공실 현장 조사에서 유동인구가 많은 지역의 폐업과, 유동인구가 적은 지역에서 배달 등으로 유지되는 영업 사례를 관찰했다고 보고했다. 이 진술은 연구 동기이며 지역 간 수익성이나 생존율의 검증 결과가 아니다.</w:t>
      </w:r>
    </w:p>
    <w:p>
      <w:r>
        <w:rPr>
          <w:rFonts w:ascii="Malgun Gothic" w:hAnsi="Malgun Gothic" w:eastAsia="Malgun Gothic" w:cs="Malgun Gothic"/>
          <w:b w:val="0"/>
          <w:i w:val="0"/>
          <w:color w:val="000000"/>
        </w:rPr>
        <w:t xml:space="preserve">이 관찰은 ‘물리적 입지보다 디지털 접근성 혹은 IT/SNS/AI 검색이 오프라인 상권에 더 큰 영향을 줄 수 있는가’라는 질문을 낳았다. 디지털 기술은 창업 과정에 내재한 불확실성의 성격과 그에 대처하는 방식을 바꾸어 왔다고 논의되며(Nambisan, 2017), IT는 창업 운영을 쉽게 하는 촉진자, 신생 기업 운영의 매개자, 운영의 결과물, 사업 모델 자체 등으로 역할을 한다(Steininger, 2019). 한편 디지털 신호와 오프라인 성과의 관계는 지역과 채널에 따라 달라진다. 지역에 매장이 들어서면 온라인 구매가 줄고(Forman 등, 2009), 모바일 이용에서는 가까운 매장이 더 자주 클릭되며(Ghose 등, 2013), 소비자가 올린 사진이 식당 생존의 선행지표가 될 수 있다(Zhang과 Luo, 2023). 그러나 상대적 영향은 여전히 미검증 가설이다. 특히 낮은 유동인구에서 영업이 유지된다는 관찰만으로 매출을 추정하거나, 배달·검색 유입을 측정하지 않고 회수기간 계산에 임의의 가산값을 넣을 수는 없다. PlaceOS는 오프라인 상권을 디지털화하여 창업가가 공간·사업 조건·검증 활동을 함께 판단하는 의사결정 환경으로 상권을 새롭게 정의했다. Posting은 이 환경에서 관측된 비용 재료와 창업자가 제시한 계약 전제를 구분한다. </w:t>
      </w:r>
      <w:hyperlink w:anchor="source2">
        <w:r>
          <w:rPr>
            <w:rFonts w:ascii="Malgun Gothic" w:hAnsi="Malgun Gothic" w:eastAsia="Malgun Gothic" w:cs="Malgun Gothic"/>
            <w:color w:val="333333"/>
            <w:sz w:val="17"/>
          </w:rPr>
          <w:t>연구 동기의 출처와 검증 범위 [자료 2]</w:t>
        </w:r>
      </w:hyperlink>
    </w:p>
    <w:p>
      <w:r>
        <w:rPr>
          <w:rFonts w:ascii="Malgun Gothic" w:hAnsi="Malgun Gothic" w:eastAsia="Malgun Gothic" w:cs="Malgun Gothic"/>
          <w:b w:val="0"/>
          <w:i w:val="0"/>
          <w:color w:val="000000"/>
        </w:rPr>
        <w:t xml:space="preserve">PPPP에서 Place→Platform, Product→Page, Price→Posting, Promotion→Program이 대응한다. Posting의 Price 역할은 선택한 Page를 어느 투자·운영 조건에서 활용할지 입점 시나리오와 회수기간으로 비교하는 것이다. 실제 거래가격의 관측이나 개별 점포의 미래 매출 예측과는 구분한다. 본 논문은 그 비교가 공개 자료의 관측 단위와 출처를 어디까지 지킬 수 있는지 다룬다. </w:t>
      </w:r>
      <w:hyperlink w:anchor="source2">
        <w:r>
          <w:rPr>
            <w:rFonts w:ascii="Malgun Gothic" w:hAnsi="Malgun Gothic" w:eastAsia="Malgun Gothic" w:cs="Malgun Gothic"/>
            <w:color w:val="333333"/>
            <w:sz w:val="17"/>
          </w:rPr>
          <w:t>기능 대응 [자료 2]</w:t>
        </w:r>
      </w:hyperlink>
    </w:p>
    <w:p>
      <w:r>
        <w:rPr>
          <w:rFonts w:ascii="Malgun Gothic" w:hAnsi="Malgun Gothic" w:eastAsia="Malgun Gothic" w:cs="Malgun Gothic"/>
          <w:b w:val="0"/>
          <w:i w:val="0"/>
          <w:color w:val="000000"/>
        </w:rPr>
        <w:t xml:space="preserve">입점 의사결정에서 회수기간을 비교하려면 투자금과 월 순수익을 같은 후보 단위로 연결해야 한다. 그러나 지역 임대료 통계, 업종별 사업체 통계, 건축물대장 면적과 점포의 영업정보는 같은 대상을 측정하지 않는다. 지번에 상업면적이 있어도 임대 가능한 호실의 면적이 확인되는 것은 아니며, 지역 평균 매출을 계산에 넣어도 해당 사업자의 미래 매출을 관측한 것은 아니다. Posting은 이 자료들을 활용한 조건부 시나리오를 제공한다. 본 연구는 그 시나리오를 더 세밀하게 만들려던 시도들이 어디에서 멈췄는지 묻는다. </w:t>
      </w:r>
      <w:hyperlink w:anchor="source3">
        <w:r>
          <w:rPr>
            <w:rFonts w:ascii="Malgun Gothic" w:hAnsi="Malgun Gothic" w:eastAsia="Malgun Gothic" w:cs="Malgun Gothic"/>
            <w:color w:val="333333"/>
            <w:sz w:val="17"/>
          </w:rPr>
          <w:t>자료 명세 [자료 3]</w:t>
        </w:r>
      </w:hyperlink>
    </w:p>
    <w:p>
      <w:r>
        <w:rPr>
          <w:rFonts w:ascii="Malgun Gothic" w:hAnsi="Malgun Gothic" w:eastAsia="Malgun Gothic" w:cs="Malgun Gothic"/>
          <w:b w:val="0"/>
          <w:i w:val="0"/>
          <w:color w:val="000000"/>
        </w:rPr>
        <w:t>연구 질문은 다음과 같다. 층·면적 정보가 존재할 때 그것을 현재 후보 유닛에 귀속시킬 수 있는가? 서로 다른 지역·업종 통계의 차이를 층 효과로 해석할 수 있는가? 계산 경로의 결함을 수정한 뒤에도 설명 가설이 지지되지 않는다면 어떤 한계로 기록해야 하는가? 답은 기존 프로브와 판정 기록에서 찾으며, 새로운 현장조사나 투자 성과 실험을 수행한 것으로 제시하지 않는다.</w:t>
      </w:r>
    </w:p>
    <w:p>
      <w:pPr>
        <w:pStyle w:val="Heading2"/>
      </w:pPr>
      <w:r>
        <w:t>1.2 연구질문 RQ와 가설</w:t>
      </w:r>
    </w:p>
    <w:p>
      <w:r>
        <w:rPr>
          <w:rFonts w:ascii="Malgun Gothic" w:hAnsi="Malgun Gothic" w:eastAsia="Malgun Gothic" w:cs="Malgun Gothic"/>
          <w:b w:val="0"/>
          <w:i w:val="0"/>
          <w:color w:val="000000"/>
        </w:rPr>
        <w:t>본 연구는 개발 과정에서 축적된 진단을 사후 가설 검토로 정리한다. 아래의 지지·반증은 각 자료와 계산 조건에 한정되며, 사전등록된 독립 실험의 결과로 제시하지 않는다. 소스 적격성, 계산값의 변화, 설명 가설, 실제 성과 정확성은 서로 다른 검증 대상이다.</w:t>
      </w:r>
    </w:p>
    <w:p>
      <w:r>
        <w:rPr>
          <w:rFonts w:ascii="Malgun Gothic" w:hAnsi="Malgun Gothic" w:eastAsia="Malgun Gothic" w:cs="Malgun Gothic"/>
          <w:b/>
          <w:i w:val="0"/>
          <w:color w:val="000000"/>
        </w:rPr>
        <w:t>RQ1. 조사한 공식 자료로 기존 민간 후보를 호실 수준 실측 인벤토리로 대체할 수 있는가?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H1:</w:t>
      </w:r>
      <w:r>
        <w:rPr>
          <w:rFonts w:ascii="Malgun Gothic" w:hAnsi="Malgun Gothic" w:eastAsia="Malgun Gothic" w:cs="Malgun Gothic"/>
          <w:b w:val="0"/>
          <w:i w:val="0"/>
          <w:color w:val="000000"/>
        </w:rPr>
        <w:t xml:space="preserve"> 조사 후보 중 호실 면적, 현재 임대가능 상태, 대상 모집단 정합성, 안정적 연결 키를 함께 충족하는 소스가 존재한다. 후보별로 모든 조건을 확인하며, 면적 필드만 있거나 별도 공공재고에 속하는 경우는 적격으로 판정하지 않는다. 범위는 보존된 조사 후보에 한정한다.</w:t>
      </w:r>
    </w:p>
    <w:p>
      <w:r>
        <w:rPr>
          <w:rFonts w:ascii="Malgun Gothic" w:hAnsi="Malgun Gothic" w:eastAsia="Malgun Gothic" w:cs="Malgun Gothic"/>
          <w:b/>
          <w:i w:val="0"/>
          <w:color w:val="000000"/>
        </w:rPr>
        <w:t>RQ2. 후보 단위를 바꾸지 않고 층번호만 추가하면 단일층 후보의 면적 계산이 달라지는가?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H2:</w:t>
      </w:r>
      <w:r>
        <w:rPr>
          <w:rFonts w:ascii="Malgun Gothic" w:hAnsi="Malgun Gothic" w:eastAsia="Malgun Gothic" w:cs="Malgun Gothic"/>
          <w:b w:val="0"/>
          <w:i w:val="0"/>
          <w:color w:val="000000"/>
        </w:rPr>
        <w:t xml:space="preserve"> 후속 프로브의 단일층 후보에서 층 면적을 적용한 값과 기존 균등분할 면적 사이에 차이가 나타난다. 동일 후보끼리 계산 차이를 대조하며, 수치 변화 여부와 현실 면적 정확도 향상은 구분한다. 다층 후보의 분할은 다른 설계이므로 이 가설의 검증에 섞지 않는다.</w:t>
      </w:r>
    </w:p>
    <w:p>
      <w:r>
        <w:rPr>
          <w:rFonts w:ascii="Malgun Gothic" w:hAnsi="Malgun Gothic" w:eastAsia="Malgun Gothic" w:cs="Malgun Gothic"/>
          <w:b/>
          <w:i w:val="0"/>
          <w:color w:val="000000"/>
        </w:rPr>
        <w:t>RQ3. 매출 앵커의 모집단 오류가 관측된 프리미엄 이상현상을 설명하는가?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H3:</w:t>
      </w:r>
      <w:r>
        <w:rPr>
          <w:rFonts w:ascii="Malgun Gothic" w:hAnsi="Malgun Gothic" w:eastAsia="Malgun Gothic" w:cs="Malgun Gothic"/>
          <w:b w:val="0"/>
          <w:i w:val="0"/>
          <w:color w:val="000000"/>
        </w:rPr>
        <w:t xml:space="preserve"> 앵커를 의도한 서울 범위로 수정하면 문제로 삼았던 프리미엄이 당시 예상한 방향으로 회복된다. 수정 전후 진단과 당시의 채택 판정을 확인하되, 후속 조사에서 반증된 ‘전부 프라임’ 전제를 경제적 정답으로 간주하지 않는다.</w:t>
      </w:r>
    </w:p>
    <w:p>
      <w:r>
        <w:rPr>
          <w:rFonts w:ascii="Malgun Gothic" w:hAnsi="Malgun Gothic" w:eastAsia="Malgun Gothic" w:cs="Malgun Gothic"/>
          <w:b/>
          <w:i w:val="0"/>
          <w:color w:val="000000"/>
        </w:rPr>
        <w:t>RQ4. 회수기간 시나리오는 실제 기업의 투자 회수기간을 예측하는가?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H4:</w:t>
      </w:r>
      <w:r>
        <w:rPr>
          <w:rFonts w:ascii="Malgun Gothic" w:hAnsi="Malgun Gothic" w:eastAsia="Malgun Gothic" w:cs="Malgun Gothic"/>
          <w:b w:val="0"/>
          <w:i w:val="0"/>
          <w:color w:val="000000"/>
        </w:rPr>
        <w:t xml:space="preserve"> 시나리오 회수기간은 같은 후보에 입점한 기업의 관측 회수기간과 사전에 정한 허용오차 안에서 부합한다. 실제 투자금·현금흐름·계약 및 관측 기간이 필요하고, 아직 회수하지 못한 사례의 처리도 먼저 정해야 한다. 현재는 그 자료와 기준이 없어 후속 미검증 가설로 둔다.</w:t>
      </w:r>
    </w:p>
    <w:p>
      <w:pPr>
        <w:pStyle w:val="Heading2"/>
      </w:pPr>
      <w:r>
        <w:t>1.3 연구의 기여</w:t>
      </w:r>
    </w:p>
    <w:p>
      <w:r>
        <w:rPr>
          <w:rFonts w:ascii="Malgun Gothic" w:hAnsi="Malgun Gothic" w:eastAsia="Malgun Gothic" w:cs="Malgun Gothic"/>
          <w:b w:val="0"/>
          <w:i w:val="0"/>
          <w:color w:val="000000"/>
        </w:rPr>
        <w:t>본 연구의 기여는 실패한 구현의 목록이 아니라 판정 구조에 있다. 첫째, 정밀화 시도가 멈춘 지점을 값의 부재, 귀속 불가, 모집단 불일치, 단위 재정의의 네 유형으로 구분해 ‘데이터 부족’이라는 하나의 표현으로 묶이지 않게 한다. 둘째, 배선 오류를 수정한 결과와 설명 가설의 지지를 분리해 기록한다. 셋째, 후속 조사에서 반증된 출발 전제를 지우지 않고 앞선 기각 기록의 해석을 함께 갱신한다. 넷째, 모델 커버리지의 확대와 회수기간 예측 타당성의 검증을 구분한다. 부동산 수익성 연구 전체의 체계적 문헌고찰이나 최초성 입증은 수행하지 않았다.</w:t>
      </w:r>
    </w:p>
    <w:p>
      <w:pPr>
        <w:pStyle w:val="Heading1"/>
      </w:pPr>
      <w:r>
        <w:t>2 관련 연구</w:t>
      </w:r>
    </w:p>
    <w:p>
      <w:pPr>
        <w:pStyle w:val="Heading2"/>
      </w:pPr>
      <w:r>
        <w:t>2.1 입지 선택과 수익성 평가</w:t>
      </w:r>
    </w:p>
    <w:p>
      <w:r>
        <w:rPr>
          <w:rFonts w:ascii="Malgun Gothic" w:hAnsi="Malgun Gothic" w:eastAsia="Malgun Gothic" w:cs="Malgun Gothic"/>
          <w:b w:val="0"/>
          <w:i w:val="0"/>
          <w:color w:val="000000"/>
        </w:rPr>
        <w:t>Önüt 등(2010)은 이스탄불의 쇼핑센터 입지 선택에 퍼지 AHP와 퍼지 TOPSIS를 결합한 다기준 의사결정 접근을 적용했다. 이 접근은 기준의 선호 가중치를 전문가 판단 등으로 정해야 하며, 본 연구는 사용자·전문가 조사 없이 가중치를 만들지 않는다. 기계학습 기반의 입지 선별 연구로는 이력이 적은 후보지의 매출 잠재력을 추정하는 Han 등(2022)과 도시·경쟁자·관심지점 자료로 입지를 1차 선별하는 Lu 등(2024)이 있다. 두 논문은 제목과 서지, 검색으로 확인한 요약 범위에서 체인점 자료를 쓰는 것으로 보이나 초록과 본문을 직접 대조하지 못했으므로 자료 구성과 평가 방식은 확인하지 않았다. 다만 이러한 접근이 점포 단위의 매출이나 성과 자료를 필요로 한다는 점은 일반적이며, PlaceOS에는 개별 점포의 실현 매출과 계약비용이 없다. 이것이 본 연구가 예측 정확도가 아닌 시나리오의 해상도와 귀속을 다루는 이유다.</w:t>
      </w:r>
    </w:p>
    <w:p>
      <w:pPr>
        <w:pStyle w:val="Heading2"/>
      </w:pPr>
      <w:r>
        <w:t>2.2 결합 산출물의 품질과 단위 정합성</w:t>
      </w:r>
    </w:p>
    <w:p>
      <w:r>
        <w:rPr>
          <w:rFonts w:ascii="Malgun Gothic" w:hAnsi="Malgun Gothic" w:eastAsia="Malgun Gothic" w:cs="Malgun Gothic"/>
          <w:b w:val="0"/>
          <w:i w:val="0"/>
          <w:color w:val="000000"/>
        </w:rPr>
        <w:t>Wang과 Strong(1996)은 데이터 품질이 정확도를 넘어 과업 맥락에 대한 적합성을 포함하는 다차원 개념임을 보였다. Ballou 등(1998)과 Parssian 등(2004)은 정보 산출물의 품질이 원천 데이터의 품질과 가공 연산의 함수임을 정식화했다. Posting의 시나리오는 지역 임대료 통계, 업종별 사업체 통계, 건축물대장 면적을 후보 단위에 결합한 정보 산출물이다. 이 관점에서 ‘서울’이라는 같은 명칭의 두 통계가 서로 다른 모집단을 가리키거나 층번호가 평균 후보에 귀속되지 않는 문제는 결합된 산출물의 품질 문제다. Marsden과 Pingry(2018)는 IS 연구에서 수치 데이터의 수집·검증·품질의 설명이 부족하면 복제가 어려워진다는 점을 지적하고, Alsudais(2021)는 자료가 가진 키와 분석자가 부여하는 의미를 구분할 필요를 개방 데이터셋의 오류 사례로 보였다.</w:t>
      </w:r>
    </w:p>
    <w:p>
      <w:pPr>
        <w:pStyle w:val="Heading2"/>
      </w:pPr>
      <w:r>
        <w:t>2.3 표상과 정보량</w:t>
      </w:r>
    </w:p>
    <w:p>
      <w:r>
        <w:rPr>
          <w:rFonts w:ascii="Malgun Gothic" w:hAnsi="Malgun Gothic" w:eastAsia="Malgun Gothic" w:cs="Malgun Gothic"/>
          <w:b w:val="0"/>
          <w:i w:val="0"/>
          <w:color w:val="000000"/>
        </w:rPr>
        <w:t>정보시스템이 현실의 현상을 충실히 표상하는 것을 기본 목적으로 본다는 표상 이론(Recker 등, 2019; Burton-Jones와 Grange, 2013)에서 화면의 상세함은 표상의 충실성과 같지 않다. 입체 형상이 실제 건물 형상의 관측을 더하지 않는다면 상세한 표현이 입력 정보를 늘린 것은 아니다. 5장의 표현 방식 논의는 이 구분에 근거한다.</w:t>
      </w:r>
    </w:p>
    <w:p>
      <w:pPr>
        <w:pStyle w:val="Heading2"/>
      </w:pPr>
      <w:r>
        <w:t>2.4 의사결정지원에서 가정의 투명성과 AI 조언의 효과</w:t>
      </w:r>
    </w:p>
    <w:p>
      <w:r>
        <w:rPr>
          <w:rFonts w:ascii="Malgun Gothic" w:hAnsi="Malgun Gothic" w:eastAsia="Malgun Gothic" w:cs="Malgun Gothic"/>
          <w:b w:val="0"/>
          <w:i w:val="0"/>
          <w:color w:val="000000"/>
        </w:rPr>
        <w:t xml:space="preserve">Kayande 등(2009)은 의사결정지원시스템이 개선 여지와 교정 행동에 관한 피드백을 함께 제공할 때에만 사용자의 정신 모형이 시스템의 의사결정 모형과 정렬되고, 이것이 사용자의 시스템 평가를 개선한다고 보고했다. Posting이 계산 경로를 </w:t>
      </w:r>
      <w:r>
        <w:rPr>
          <w:rFonts w:ascii="Malgun Gothic" w:hAnsi="Malgun Gothic" w:eastAsia="Malgun Gothic" w:cs="Malgun Gothic"/>
          <w:b w:val="0"/>
          <w:i w:val="0"/>
          <w:color w:val="000000"/>
        </w:rPr>
        <w:t>basis</w:t>
      </w:r>
      <w:r>
        <w:rPr>
          <w:rFonts w:ascii="Malgun Gothic" w:hAnsi="Malgun Gothic" w:eastAsia="Malgun Gothic" w:cs="Malgun Gothic"/>
          <w:b w:val="0"/>
          <w:i w:val="0"/>
          <w:color w:val="000000"/>
        </w:rPr>
        <w:t>로 구분하고 사용자 미입력 전제를 표시하는 것은 이러한 가정 노출의 설계에 해당하지만, 본 연구는 사용자 평가를 수행하지 않았으므로 그 효과는 검증하지 않았다. Otis 등(2026)은 GPT-4 기반 사업 조언을 무작위로 제공한 현장 실험에서 평균 효과가 영과 구분되지 않았고, 기준 시점의 성과가 낮았던 창업자는 이후 성과가 낮아지고 높았던 창업자는 개선되었을 수 있다고 보고했다. 차이는 질문이나 조언의 내용이 아니라 창업자가 실행하기로 한 조언에서 비롯됐다고 한다. 이는 외부 AI 창업 코파일럿을 연동하는 Posting이 AI 조언의 효과를 가정하지 않아야 하며, 효과 평가는 사용자 특성별 이질성을 포함해야 함을 시사한다.</w:t>
      </w:r>
    </w:p>
    <w:p>
      <w:pPr>
        <w:pStyle w:val="Heading2"/>
      </w:pPr>
      <w:r>
        <w:t>2.5 본 연구의 위치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0"/>
        <w:gridCol w:w="2696"/>
        <w:gridCol w:w="3895"/>
      </w:tblGrid>
      <w:tr>
        <w:trPr>
          <w:cantSplit/>
          <w:tblHeader/>
        </w:trPr>
        <w:tc>
          <w:tcPr>
            <w:tcW w:type="dxa" w:w="2820"/>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문헌</w:t>
            </w:r>
          </w:p>
        </w:tc>
        <w:tc>
          <w:tcPr>
            <w:tcW w:type="dxa" w:w="2696"/>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게재지</w:t>
            </w:r>
          </w:p>
        </w:tc>
        <w:tc>
          <w:tcPr>
            <w:tcW w:type="dxa" w:w="3895"/>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확인한 핵심과 본 연구와의 관계</w:t>
            </w:r>
          </w:p>
        </w:tc>
      </w:tr>
      <w:tr>
        <w:trPr>
          <w:cantSplit/>
        </w:trPr>
        <w:tc>
          <w:tcPr>
            <w:tcW w:type="dxa" w:w="282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Önüt 등(2010)</w:t>
            </w:r>
          </w:p>
        </w:tc>
        <w:tc>
          <w:tcPr>
            <w:tcW w:type="dxa" w:w="269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Expert Systems with Applications</w:t>
            </w:r>
          </w:p>
        </w:tc>
        <w:tc>
          <w:tcPr>
            <w:tcW w:type="dxa" w:w="3895"/>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퍼지 다기준 입지 선택. 방법의 절차만 참고하며 가중치는 만들지 않음</w:t>
            </w:r>
          </w:p>
        </w:tc>
      </w:tr>
      <w:tr>
        <w:trPr>
          <w:cantSplit/>
        </w:trPr>
        <w:tc>
          <w:tcPr>
            <w:tcW w:type="dxa" w:w="282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Han 등(2022), Lu 등(2024)</w:t>
            </w:r>
          </w:p>
        </w:tc>
        <w:tc>
          <w:tcPr>
            <w:tcW w:type="dxa" w:w="269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J. of Business Research, J. of Retailing and Consumer Services</w:t>
            </w:r>
          </w:p>
        </w:tc>
        <w:tc>
          <w:tcPr>
            <w:tcW w:type="dxa" w:w="3895"/>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기계학습 입지 선별. 초록·본문 대조는 미완료이며 점포 단위 성과 자료가 없는 본 연구와 구분</w:t>
            </w:r>
          </w:p>
        </w:tc>
      </w:tr>
      <w:tr>
        <w:trPr>
          <w:cantSplit/>
        </w:trPr>
        <w:tc>
          <w:tcPr>
            <w:tcW w:type="dxa" w:w="282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Parssian 등(2004), Ballou 등(1998), Wang과 Strong(1996)</w:t>
            </w:r>
          </w:p>
        </w:tc>
        <w:tc>
          <w:tcPr>
            <w:tcW w:type="dxa" w:w="269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Management Science, JMIS</w:t>
            </w:r>
          </w:p>
        </w:tc>
        <w:tc>
          <w:tcPr>
            <w:tcW w:type="dxa" w:w="3895"/>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결합 산출물의 품질은 원천·연산·과업 적합성에 의존. 모집단 불일치와 귀속 불가를 이 틀에서 읽음</w:t>
            </w:r>
          </w:p>
        </w:tc>
      </w:tr>
      <w:tr>
        <w:trPr>
          <w:cantSplit/>
        </w:trPr>
        <w:tc>
          <w:tcPr>
            <w:tcW w:type="dxa" w:w="282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Recker 등(2019), Burton-Jones와 Grange(2013)</w:t>
            </w:r>
          </w:p>
        </w:tc>
        <w:tc>
          <w:tcPr>
            <w:tcW w:type="dxa" w:w="269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JAIS, ISR</w:t>
            </w:r>
          </w:p>
        </w:tc>
        <w:tc>
          <w:tcPr>
            <w:tcW w:type="dxa" w:w="3895"/>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표상의 충실성. 표현의 상세함과 관측의 구분</w:t>
            </w:r>
          </w:p>
        </w:tc>
      </w:tr>
      <w:tr>
        <w:trPr>
          <w:cantSplit/>
        </w:trPr>
        <w:tc>
          <w:tcPr>
            <w:tcW w:type="dxa" w:w="282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Kayande 등(2009), Otis 등(2026)</w:t>
            </w:r>
          </w:p>
        </w:tc>
        <w:tc>
          <w:tcPr>
            <w:tcW w:type="dxa" w:w="269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ISR, Management Science</w:t>
            </w:r>
          </w:p>
        </w:tc>
        <w:tc>
          <w:tcPr>
            <w:tcW w:type="dxa" w:w="3895"/>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가정의 노출과 AI 조언 효과의 이질성. H4의 평가 설계에 반영</w:t>
            </w:r>
          </w:p>
        </w:tc>
      </w:tr>
    </w:tbl>
    <w:p>
      <w:pPr>
        <w:spacing w:after="0"/>
      </w:pPr>
    </w:p>
    <w:p>
      <w:pPr>
        <w:pStyle w:val="Heading1"/>
      </w:pPr>
      <w:r>
        <w:t>3 자료와 분석 방법</w:t>
      </w:r>
    </w:p>
    <w:p>
      <w:pPr>
        <w:pStyle w:val="Heading2"/>
      </w:pPr>
      <w:r>
        <w:t>3.1 시나리오의 계산 대상과 출처</w:t>
      </w:r>
    </w:p>
    <w:p>
      <w:r>
        <w:rPr>
          <w:rFonts w:ascii="Malgun Gothic" w:hAnsi="Malgun Gothic" w:eastAsia="Malgun Gothic" w:cs="Malgun Gothic"/>
          <w:b w:val="0"/>
          <w:i w:val="0"/>
          <w:color w:val="000000"/>
        </w:rPr>
        <w:t xml:space="preserve">Posting의 고급화·가성비·기능중심 시나리오는 후보 면적, 임대료, 유동 관련 입력과 투자 가정으로 투자금·월 매출·월 비용·월 순수익·회수기간을 계산한다. 회수기간은 단위를 맞춘 투자금과 월 순수익의 비로 해석하며, 비양수 순수익은 회수 가능한 후보로 취급하지 않는다. 코드의 </w:t>
      </w:r>
      <w:r>
        <w:rPr>
          <w:rFonts w:ascii="Malgun Gothic" w:hAnsi="Malgun Gothic" w:eastAsia="Malgun Gothic" w:cs="Malgun Gothic"/>
          <w:b w:val="0"/>
          <w:i w:val="0"/>
          <w:color w:val="000000"/>
        </w:rPr>
        <w:t>roi_months</w:t>
      </w:r>
      <w:r>
        <w:rPr>
          <w:rFonts w:ascii="Malgun Gothic" w:hAnsi="Malgun Gothic" w:eastAsia="Malgun Gothic" w:cs="Malgun Gothic"/>
          <w:b w:val="0"/>
          <w:i w:val="0"/>
          <w:color w:val="000000"/>
        </w:rPr>
        <w:t xml:space="preserve">는 이 조건부 회수기간을 뜻한다. 실현 수익률, 할인현금흐름 가치 또는 미래 매출의 예측 정확도를 검증한 지표가 아니다. </w:t>
      </w:r>
      <w:hyperlink w:anchor="source4">
        <w:r>
          <w:rPr>
            <w:rFonts w:ascii="Malgun Gothic" w:hAnsi="Malgun Gothic" w:eastAsia="Malgun Gothic" w:cs="Malgun Gothic"/>
            <w:color w:val="333333"/>
            <w:sz w:val="17"/>
          </w:rPr>
          <w:t>현재 계산 코드 [자료 4]</w:t>
        </w:r>
      </w:hyperlink>
      <w:r>
        <w:rPr>
          <w:rFonts w:ascii="Malgun Gothic" w:hAnsi="Malgun Gothic" w:eastAsia="Malgun Gothic" w:cs="Malgun Gothic"/>
          <w:b w:val="0"/>
          <w:i w:val="0"/>
          <w:color w:val="000000"/>
        </w:rPr>
        <w:t xml:space="preserve">, </w:t>
      </w:r>
      <w:hyperlink w:anchor="source1">
        <w:r>
          <w:rPr>
            <w:rFonts w:ascii="Malgun Gothic" w:hAnsi="Malgun Gothic" w:eastAsia="Malgun Gothic" w:cs="Malgun Gothic"/>
            <w:color w:val="333333"/>
            <w:sz w:val="17"/>
          </w:rPr>
          <w:t>근거: POSTING-E05 [자료 1]</w:t>
        </w:r>
      </w:hyperlink>
    </w:p>
    <w:p>
      <w:r>
        <w:rPr>
          <w:rFonts w:ascii="Malgun Gothic" w:hAnsi="Malgun Gothic" w:eastAsia="Malgun Gothic" w:cs="Malgun Gothic"/>
          <w:b w:val="0"/>
          <w:i w:val="0"/>
          <w:color w:val="000000"/>
        </w:rPr>
        <w:t xml:space="preserve">통계 재료가 있는 경로에서는 지역별 매출 입력과 비임차 영업비용률을 사용하고, 재료가 없으면 수기로 설정된 계수 모델로 폴백한다. 두 경로는 </w:t>
      </w:r>
      <w:r>
        <w:rPr>
          <w:rFonts w:ascii="Malgun Gothic" w:hAnsi="Malgun Gothic" w:eastAsia="Malgun Gothic" w:cs="Malgun Gothic"/>
          <w:b w:val="0"/>
          <w:i w:val="0"/>
          <w:color w:val="000000"/>
        </w:rPr>
        <w:t>basis</w:t>
      </w:r>
      <w:r>
        <w:rPr>
          <w:rFonts w:ascii="Malgun Gothic" w:hAnsi="Malgun Gothic" w:eastAsia="Malgun Gothic" w:cs="Malgun Gothic"/>
          <w:b w:val="0"/>
          <w:i w:val="0"/>
          <w:color w:val="000000"/>
        </w:rPr>
        <w:t xml:space="preserve">로 구분된다. 통계 기반 경로에도 초기 투자 계수와 면적 배정 가정이 남으므로 모든 입력을 호실 실측으로 부르지 않는다. 특히 수기 계수 폴백은 시드 성격의 계산이며 실제 기업의 장부 자료가 아니다. 기존 </w:t>
      </w:r>
      <w:r>
        <w:rPr>
          <w:rFonts w:ascii="Malgun Gothic" w:hAnsi="Malgun Gothic" w:eastAsia="Malgun Gothic" w:cs="Malgun Gothic"/>
          <w:b w:val="0"/>
          <w:i w:val="0"/>
          <w:color w:val="000000"/>
        </w:rPr>
        <w:t>inputs_source</w:t>
      </w:r>
      <w:r>
        <w:rPr>
          <w:rFonts w:ascii="Malgun Gothic" w:hAnsi="Malgun Gothic" w:eastAsia="Malgun Gothic" w:cs="Malgun Gothic"/>
          <w:b w:val="0"/>
          <w:i w:val="0"/>
          <w:color w:val="000000"/>
        </w:rPr>
        <w:t xml:space="preserve">와 </w:t>
      </w:r>
      <w:r>
        <w:rPr>
          <w:rFonts w:ascii="Malgun Gothic" w:hAnsi="Malgun Gothic" w:eastAsia="Malgun Gothic" w:cs="Malgun Gothic"/>
          <w:b w:val="0"/>
          <w:i w:val="0"/>
          <w:color w:val="000000"/>
        </w:rPr>
        <w:t>basis</w:t>
      </w:r>
      <w:r>
        <w:rPr>
          <w:rFonts w:ascii="Malgun Gothic" w:hAnsi="Malgun Gothic" w:eastAsia="Malgun Gothic" w:cs="Malgun Gothic"/>
          <w:b w:val="0"/>
          <w:i w:val="0"/>
          <w:color w:val="000000"/>
        </w:rPr>
        <w:t>의 의미는 본 연구에서 변경하지 않는다.</w:t>
      </w:r>
    </w:p>
    <w:p>
      <w:pPr>
        <w:pStyle w:val="Heading2"/>
      </w:pPr>
      <w:r>
        <w:t>3.2 조사 단위와 자료의 시점</w:t>
      </w:r>
    </w:p>
    <w:p>
      <w:r>
        <w:rPr>
          <w:rFonts w:ascii="Malgun Gothic" w:hAnsi="Malgun Gothic" w:eastAsia="Malgun Gothic" w:cs="Malgun Gothic"/>
          <w:b w:val="0"/>
          <w:i w:val="0"/>
          <w:color w:val="000000"/>
        </w:rPr>
        <w:t xml:space="preserve">과거 공식 소스 조사는 54거점의 528 후보행을 대상으로 했고, 후속 층번호 프로브는 66거점의 664유닛을 대상으로 했다. 후보행은 실재 임대 가능 호실의 전수 목록이 아니다. 따라서 두 모집단의 수치를 묶어 개선 전후의 성능으로 비교하지 않으며, 현재 서빙 규모를 설명하는 수치로도 전용하지 않는다. </w:t>
      </w:r>
      <w:hyperlink w:anchor="source1">
        <w:r>
          <w:rPr>
            <w:rFonts w:ascii="Malgun Gothic" w:hAnsi="Malgun Gothic" w:eastAsia="Malgun Gothic" w:cs="Malgun Gothic"/>
            <w:color w:val="333333"/>
            <w:sz w:val="17"/>
          </w:rPr>
          <w:t>근거: POSTING-E01·E02 [자료 1]</w:t>
        </w:r>
      </w:hyperlink>
    </w:p>
    <w:p>
      <w:r>
        <w:rPr>
          <w:rFonts w:ascii="Malgun Gothic" w:hAnsi="Malgun Gothic" w:eastAsia="Malgun Gothic" w:cs="Malgun Gothic"/>
          <w:b w:val="0"/>
          <w:i w:val="0"/>
          <w:color w:val="000000"/>
        </w:rPr>
        <w:t xml:space="preserve">본 연구는 기능별 판단 이력, 공식 소스 적격성 계약, 보존 프로브 JSON과 관련 계산 코드를 대조한다. 각 진단은 가설, 확인 방법, 기록된 결과와 해석 범위로 나누어 읽는다. 초기 감도 실험은 32조합을 다룬 기록이 있지만, 근거 인덱스에는 그 결과값이 등재되지 않았다. 따라서 조합 수만 연구 이력으로 언급하고 효과크기·우수 전략·정밀도 향상을 새로 산출하거나 추정하지 않는다. </w:t>
      </w:r>
      <w:hyperlink w:anchor="source5">
        <w:r>
          <w:rPr>
            <w:rFonts w:ascii="Malgun Gothic" w:hAnsi="Malgun Gothic" w:eastAsia="Malgun Gothic" w:cs="Malgun Gothic"/>
            <w:color w:val="333333"/>
            <w:sz w:val="17"/>
          </w:rPr>
          <w:t>기존 P3 근거 [자료 5]</w:t>
        </w:r>
      </w:hyperlink>
      <w:r>
        <w:rPr>
          <w:rFonts w:ascii="Malgun Gothic" w:hAnsi="Malgun Gothic" w:eastAsia="Malgun Gothic" w:cs="Malgun Gothic"/>
          <w:b w:val="0"/>
          <w:i w:val="0"/>
          <w:color w:val="000000"/>
        </w:rPr>
        <w:t xml:space="preserve">, </w:t>
      </w:r>
      <w:hyperlink w:anchor="source6">
        <w:r>
          <w:rPr>
            <w:rFonts w:ascii="Malgun Gothic" w:hAnsi="Malgun Gothic" w:eastAsia="Malgun Gothic" w:cs="Malgun Gothic"/>
            <w:color w:val="333333"/>
            <w:sz w:val="17"/>
          </w:rPr>
          <w:t>감도 실험 이력 [자료 6]</w:t>
        </w:r>
      </w:hyperlink>
    </w:p>
    <w:p>
      <w:pPr>
        <w:pStyle w:val="Heading2"/>
      </w:pPr>
      <w:r>
        <w:t>3.3 권리금 입력 계약과 소스 적격성</w:t>
      </w:r>
    </w:p>
    <w:p>
      <w:r>
        <w:rPr>
          <w:rFonts w:ascii="Malgun Gothic" w:hAnsi="Malgun Gothic" w:eastAsia="Malgun Gothic" w:cs="Malgun Gothic"/>
          <w:b w:val="0"/>
          <w:i w:val="0"/>
          <w:color w:val="000000"/>
        </w:rPr>
        <w:t xml:space="preserve">권리금 </w:t>
      </w:r>
      <w:r>
        <w:rPr>
          <w:rFonts w:ascii="Malgun Gothic" w:hAnsi="Malgun Gothic" w:eastAsia="Malgun Gothic" w:cs="Malgun Gothic"/>
          <w:b w:val="0"/>
          <w:i w:val="0"/>
          <w:color w:val="000000"/>
        </w:rPr>
        <w:t>prem</w:t>
      </w:r>
      <w:r>
        <w:rPr>
          <w:rFonts w:ascii="Malgun Gothic" w:hAnsi="Malgun Gothic" w:eastAsia="Malgun Gothic" w:cs="Malgun Gothic"/>
          <w:b w:val="0"/>
          <w:i w:val="0"/>
          <w:color w:val="000000"/>
        </w:rPr>
        <w:t xml:space="preserve">은 사용자가 제공하는 계약 입력으로 다룬다. 입력이 없을 때의 영값은 권리금이 없다는 관측이 아니라 시나리오의 전제이며, 출처 구분도 함께 유지한다. 이는 협상값을 공개 통계에서 발견한 것처럼 채우지 않기 위한 경계다. 공개 데이터에 영원히 존재할 수 없다는 주장이나 미입력 시나리오가 실제 거래를 대표한다는 주장은 하지 않는다. </w:t>
      </w:r>
      <w:hyperlink w:anchor="source6">
        <w:r>
          <w:rPr>
            <w:rFonts w:ascii="Malgun Gothic" w:hAnsi="Malgun Gothic" w:eastAsia="Malgun Gothic" w:cs="Malgun Gothic"/>
            <w:color w:val="333333"/>
            <w:sz w:val="17"/>
          </w:rPr>
          <w:t>권리금 계약 이력 [자료 6]</w:t>
        </w:r>
      </w:hyperlink>
      <w:r>
        <w:rPr>
          <w:rFonts w:ascii="Malgun Gothic" w:hAnsi="Malgun Gothic" w:eastAsia="Malgun Gothic" w:cs="Malgun Gothic"/>
          <w:b w:val="0"/>
          <w:i w:val="0"/>
          <w:color w:val="000000"/>
        </w:rPr>
        <w:t xml:space="preserve">, </w:t>
      </w:r>
      <w:hyperlink w:anchor="source7">
        <w:r>
          <w:rPr>
            <w:rFonts w:ascii="Malgun Gothic" w:hAnsi="Malgun Gothic" w:eastAsia="Malgun Gothic" w:cs="Malgun Gothic"/>
            <w:color w:val="333333"/>
            <w:sz w:val="17"/>
          </w:rPr>
          <w:t>실제 유닛 로더 [자료 7]</w:t>
        </w:r>
      </w:hyperlink>
    </w:p>
    <w:p>
      <w:r>
        <w:rPr>
          <w:rFonts w:ascii="Malgun Gothic" w:hAnsi="Malgun Gothic" w:eastAsia="Malgun Gothic" w:cs="Malgun Gothic"/>
          <w:b w:val="0"/>
          <w:i w:val="0"/>
          <w:color w:val="000000"/>
        </w:rPr>
        <w:t xml:space="preserve">면적의 관측 수준을 높이는 소스는 호실 면적, 현재 임대가능 상태, 대상 민간 인벤토리와의 모집단 정합성, 안정적인 연결 키를 함께 충족해야 한다. 하나의 조건만 만족하는 부분 후보를 기존 전체 후보의 실측으로 붙이지 않는다. 이는 소스가 공식인지 여부와 별개의 적격성 문제다. </w:t>
      </w:r>
      <w:hyperlink w:anchor="source8">
        <w:r>
          <w:rPr>
            <w:rFonts w:ascii="Malgun Gothic" w:hAnsi="Malgun Gothic" w:eastAsia="Malgun Gothic" w:cs="Malgun Gothic"/>
            <w:color w:val="333333"/>
            <w:sz w:val="17"/>
          </w:rPr>
          <w:t>공식 소스 조사 [자료 8]</w:t>
        </w:r>
      </w:hyperlink>
      <w:r>
        <w:rPr>
          <w:rFonts w:ascii="Malgun Gothic" w:hAnsi="Malgun Gothic" w:eastAsia="Malgun Gothic" w:cs="Malgun Gothic"/>
          <w:b w:val="0"/>
          <w:i w:val="0"/>
          <w:color w:val="000000"/>
        </w:rPr>
        <w:t xml:space="preserve">, </w:t>
      </w:r>
      <w:hyperlink w:anchor="source9">
        <w:r>
          <w:rPr>
            <w:rFonts w:ascii="Malgun Gothic" w:hAnsi="Malgun Gothic" w:eastAsia="Malgun Gothic" w:cs="Malgun Gothic"/>
            <w:color w:val="333333"/>
            <w:sz w:val="17"/>
          </w:rPr>
          <w:t>적격성 계약 [자료 9]</w:t>
        </w:r>
      </w:hyperlink>
    </w:p>
    <w:p>
      <w:pPr>
        <w:pStyle w:val="Heading2"/>
      </w:pPr>
      <w:r>
        <w:t>3.4 한계 유형의 분류틀</w:t>
      </w:r>
    </w:p>
    <w:p>
      <w:r>
        <w:rPr>
          <w:rFonts w:ascii="Malgun Gothic" w:hAnsi="Malgun Gothic" w:eastAsia="Malgun Gothic" w:cs="Malgun Gothic"/>
          <w:b w:val="0"/>
          <w:i w:val="0"/>
          <w:color w:val="000000"/>
        </w:rPr>
        <w:t>‘데이터가 부족하다’는 하나의 표현은 서로 다른 네 가지 상황을 가린다. 이 구분이 없으면 이미 있는 자료를 재수집하거나 다른 모집단의 값을 가져와 결측을 채우게 된다. 본 연구는 진단 결과를 다음 네 유형으로 읽는다.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62"/>
        <w:gridCol w:w="3827"/>
        <w:gridCol w:w="4022"/>
      </w:tblGrid>
      <w:tr>
        <w:trPr>
          <w:cantSplit/>
          <w:tblHeader/>
        </w:trPr>
        <w:tc>
          <w:tcPr>
            <w:tcW w:type="dxa" w:w="1562"/>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유형</w:t>
            </w:r>
          </w:p>
        </w:tc>
        <w:tc>
          <w:tcPr>
            <w:tcW w:type="dxa" w:w="3827"/>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정의</w:t>
            </w:r>
          </w:p>
        </w:tc>
        <w:tc>
          <w:tcPr>
            <w:tcW w:type="dxa" w:w="4022"/>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본 연구의 사례</w:t>
            </w:r>
          </w:p>
        </w:tc>
      </w:tr>
      <w:tr>
        <w:trPr>
          <w:cantSplit/>
        </w:trPr>
        <w:tc>
          <w:tcPr>
            <w:tcW w:type="dxa" w:w="156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값의 부재</w:t>
            </w:r>
          </w:p>
        </w:tc>
        <w:tc>
          <w:tcPr>
            <w:tcW w:type="dxa" w:w="3827"/>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필요한 값이 어떤 조사 소스에도 없다</w:t>
            </w:r>
          </w:p>
        </w:tc>
        <w:tc>
          <w:tcPr>
            <w:tcW w:type="dxa" w:w="4022"/>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권리금, 호실 단위 현재 임대가능 상태</w:t>
            </w:r>
          </w:p>
        </w:tc>
      </w:tr>
      <w:tr>
        <w:trPr>
          <w:cantSplit/>
        </w:trPr>
        <w:tc>
          <w:tcPr>
            <w:tcW w:type="dxa" w:w="156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귀속 불가</w:t>
            </w:r>
          </w:p>
        </w:tc>
        <w:tc>
          <w:tcPr>
            <w:tcW w:type="dxa" w:w="3827"/>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값은 있으나 대상 후보 단위에 붙일 수 없다</w:t>
            </w:r>
          </w:p>
        </w:tc>
        <w:tc>
          <w:tcPr>
            <w:tcW w:type="dxa" w:w="4022"/>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층번호는 있으나 건물 평균 후보에 특정 층을 붙일 수 없음</w:t>
            </w:r>
          </w:p>
        </w:tc>
      </w:tr>
      <w:tr>
        <w:trPr>
          <w:cantSplit/>
        </w:trPr>
        <w:tc>
          <w:tcPr>
            <w:tcW w:type="dxa" w:w="156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모집단 불일치</w:t>
            </w:r>
          </w:p>
        </w:tc>
        <w:tc>
          <w:tcPr>
            <w:tcW w:type="dxa" w:w="3827"/>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분자와 분모, 또는 비교 기준이 서로 다른 집합을 가리킨다</w:t>
            </w:r>
          </w:p>
        </w:tc>
        <w:tc>
          <w:tcPr>
            <w:tcW w:type="dxa" w:w="4022"/>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R-ONE과 KOSIS의 서울, 서울 범위 기준점</w:t>
            </w:r>
          </w:p>
        </w:tc>
      </w:tr>
      <w:tr>
        <w:trPr>
          <w:cantSplit/>
        </w:trPr>
        <w:tc>
          <w:tcPr>
            <w:tcW w:type="dxa" w:w="1562"/>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단위 재정의</w:t>
            </w:r>
          </w:p>
        </w:tc>
        <w:tc>
          <w:tcPr>
            <w:tcW w:type="dxa" w:w="3827"/>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값을 쓰려면 후보 단위 자체가 바뀐다</w:t>
            </w:r>
          </w:p>
        </w:tc>
        <w:tc>
          <w:tcPr>
            <w:tcW w:type="dxa" w:w="4022"/>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층별 유닛 분할, 다층 후보</w:t>
            </w:r>
          </w:p>
        </w:tc>
      </w:tr>
    </w:tbl>
    <w:p>
      <w:pPr>
        <w:spacing w:after="0"/>
      </w:pPr>
    </w:p>
    <w:p>
      <w:pPr>
        <w:pStyle w:val="Heading1"/>
      </w:pPr>
      <w:r>
        <w:t>4 조사와 진단 결과</w:t>
      </w:r>
    </w:p>
    <w:p>
      <w:pPr>
        <w:pStyle w:val="Heading2"/>
      </w:pPr>
      <w:r>
        <w:t>4.1 공실 층 배정과 기존 운영 판정</w:t>
      </w:r>
    </w:p>
    <w:p>
      <w:r>
        <w:rPr>
          <w:rFonts w:ascii="Malgun Gothic" w:hAnsi="Malgun Gothic" w:eastAsia="Malgun Gothic" w:cs="Malgun Gothic"/>
          <w:b w:val="0"/>
          <w:i w:val="0"/>
          <w:color w:val="000000"/>
        </w:rPr>
        <w:t>첫 진단은 건물 전체의 층 구성 대신 점유가 확인된 층을 제외하면 회수기간 시나리오가 더 적절해질 것이라는 가설에서 출발했다. 조사 기록은 상업층·점유층·층 미상 점포 정보가 이미 Page 산출물에 존재함을 확인하고, 층 미상 점포의 배정에 따른 대안들을 비교했다. 따라서 이 단계의 병목을 단순한 층번호 미수집으로 설명할 수는 없었다.</w:t>
      </w:r>
    </w:p>
    <w:p>
      <w:r>
        <w:rPr>
          <w:rFonts w:ascii="Malgun Gothic" w:hAnsi="Malgun Gothic" w:eastAsia="Malgun Gothic" w:cs="Malgun Gothic"/>
          <w:b w:val="0"/>
          <w:i w:val="0"/>
          <w:color w:val="000000"/>
        </w:rPr>
        <w:t xml:space="preserve">기록된 운영 판정에서는 일부 통과 지표가 개선됐어도 기존 프리미엄 관련 검사와 충돌하여 변경을 채택하지 않고 건물 전체 층 구성을 유지했다. 그러나 그 검사에 붙었던 ‘프라임 인벤토리이므로 평균보다 임대료 부담이 높아야 한다’는 설명은 후속 조사에서 반증됐다. 이 절의 결과는 당시 코드 계약에 따른 채택 보류로 읽어야 하며, 대안의 현실 정확성이 낮다는 독립 증거로 사용할 수 없다. </w:t>
      </w:r>
      <w:hyperlink w:anchor="source6">
        <w:r>
          <w:rPr>
            <w:rFonts w:ascii="Malgun Gothic" w:hAnsi="Malgun Gothic" w:eastAsia="Malgun Gothic" w:cs="Malgun Gothic"/>
            <w:color w:val="333333"/>
            <w:sz w:val="17"/>
          </w:rPr>
          <w:t>기록: §0-M 「층 축」와 §0-O 「진짜 소득」 [자료 6]</w:t>
        </w:r>
      </w:hyperlink>
      <w:r>
        <w:rPr>
          <w:rFonts w:ascii="Malgun Gothic" w:hAnsi="Malgun Gothic" w:eastAsia="Malgun Gothic" w:cs="Malgun Gothic"/>
          <w:b w:val="0"/>
          <w:i w:val="0"/>
          <w:color w:val="000000"/>
        </w:rPr>
        <w:t xml:space="preserve">, </w:t>
      </w:r>
      <w:hyperlink w:anchor="source1">
        <w:r>
          <w:rPr>
            <w:rFonts w:ascii="Malgun Gothic" w:hAnsi="Malgun Gothic" w:eastAsia="Malgun Gothic" w:cs="Malgun Gothic"/>
            <w:color w:val="333333"/>
            <w:sz w:val="17"/>
          </w:rPr>
          <w:t>근거: POSTING-E04 [자료 1]</w:t>
        </w:r>
      </w:hyperlink>
    </w:p>
    <w:p>
      <w:pPr>
        <w:pStyle w:val="Heading2"/>
      </w:pPr>
      <w:r>
        <w:t>4.2 매출 앵커의 오류 수정과 설명 가설의 기각</w:t>
      </w:r>
    </w:p>
    <w:p>
      <w:r>
        <w:rPr>
          <w:rFonts w:ascii="Malgun Gothic" w:hAnsi="Malgun Gothic" w:eastAsia="Malgun Gothic" w:cs="Malgun Gothic"/>
          <w:b w:val="0"/>
          <w:i w:val="0"/>
          <w:color w:val="000000"/>
        </w:rPr>
        <w:t>다음 진단은 매출 기준점의 범위가 의도와 맞는지를 확인했다. 기존 계산은 서비스 대상 거점의 중앙값을 서울 전체의 기준점처럼 사용하고 있었다. 분석 대상 집합으로 그 집합의 기준점을 만들면 거점 집합의 상대적 수준이 계산에서 상쇄될 수 있으므로, 원래 산출물에 있던 서울 범위의 기준값을 읽도록 수정한 기록이 남아 있다.</w:t>
      </w:r>
    </w:p>
    <w:p>
      <w:r>
        <w:rPr>
          <w:rFonts w:ascii="Malgun Gothic" w:hAnsi="Malgun Gothic" w:eastAsia="Malgun Gothic" w:cs="Malgun Gothic"/>
          <w:b w:val="0"/>
          <w:i w:val="0"/>
          <w:color w:val="000000"/>
        </w:rPr>
        <w:t xml:space="preserve">이 수정은 실제 배선 결함을 해결했지만, 문제로 보았던 프리미엄이 예상한 방향으로 회복되지는 않았다. 따라서 ‘매출 앵커의 결함을 고치면 이상현상이 설명된다’는 가설은 기각됐다. 구현 결함의 존재, 수정 후 산술의 일관성, 현상을 설명하는 가설의 지지는 서로 다른 판정이다. 본 연구는 이들을 하나의 성공 결과로 묶지 않는다. </w:t>
      </w:r>
      <w:hyperlink w:anchor="source6">
        <w:r>
          <w:rPr>
            <w:rFonts w:ascii="Malgun Gothic" w:hAnsi="Malgun Gothic" w:eastAsia="Malgun Gothic" w:cs="Malgun Gothic"/>
            <w:color w:val="333333"/>
            <w:sz w:val="17"/>
          </w:rPr>
          <w:t>기록: §0-N 「매출 앵커」 [자료 6]</w:t>
        </w:r>
      </w:hyperlink>
      <w:r>
        <w:rPr>
          <w:rFonts w:ascii="Malgun Gothic" w:hAnsi="Malgun Gothic" w:eastAsia="Malgun Gothic" w:cs="Malgun Gothic"/>
          <w:b w:val="0"/>
          <w:i w:val="0"/>
          <w:color w:val="000000"/>
        </w:rPr>
        <w:t xml:space="preserve">, </w:t>
      </w:r>
      <w:hyperlink w:anchor="source1">
        <w:r>
          <w:rPr>
            <w:rFonts w:ascii="Malgun Gothic" w:hAnsi="Malgun Gothic" w:eastAsia="Malgun Gothic" w:cs="Malgun Gothic"/>
            <w:color w:val="333333"/>
            <w:sz w:val="17"/>
          </w:rPr>
          <w:t>근거: POSTING-E04 [자료 1]</w:t>
        </w:r>
      </w:hyperlink>
    </w:p>
    <w:p>
      <w:pPr>
        <w:pStyle w:val="Heading2"/>
      </w:pPr>
      <w:r>
        <w:t>4.3 지역 기준점과 모집단의 불일치</w:t>
      </w:r>
    </w:p>
    <w:p>
      <w:r>
        <w:rPr>
          <w:rFonts w:ascii="Malgun Gothic" w:hAnsi="Malgun Gothic" w:eastAsia="Malgun Gothic" w:cs="Malgun Gothic"/>
          <w:b w:val="0"/>
          <w:i w:val="0"/>
          <w:color w:val="000000"/>
        </w:rPr>
        <w:t>지역 벤치마크 진단에서는 R-ONE의 서울 집계를 확보하여 층 기준을 맞춘 임대료 비교를 시도했다. 같은 R-ONE 통계 경로 안에서는 지역 수준을 대조할 수 있었지만, 이를 KOSIS 사업체 통계와 결합해 차이를 단일 층 계수로 해석하는 가설은 지지되지 않았다. 두 자료가 포괄하는 모집단과 업종 구성이 다르기 때문이다. ‘서울’이라는 동일한 지리 명칭만으로 분자와 분모가 같은 집합을 나타낸다고 간주할 수 없다.</w:t>
      </w:r>
    </w:p>
    <w:p>
      <w:r>
        <w:rPr>
          <w:rFonts w:ascii="Malgun Gothic" w:hAnsi="Malgun Gothic" w:eastAsia="Malgun Gothic" w:cs="Malgun Gothic"/>
          <w:b w:val="0"/>
          <w:i w:val="0"/>
          <w:color w:val="000000"/>
        </w:rPr>
        <w:t xml:space="preserve">후속 대조는 서비스 인벤토리가 모두 프라임 상권이라는 출발 전제도 반증했다. 이 결과를 반영하면 앞선 실험에서 기대했던 프리미엄 자체를 재검토해야 한다. 본 연구는 기존 운영 검사의 기준을 바꾸지 않으며, 그 검사 통과를 경제적 타당성의 독립 검증으로 해석하지 않는다. 과거의 잘못된 기대를 원고의 전제로 되살리지 않는 것이 이 기록의 핵심이다. </w:t>
      </w:r>
      <w:hyperlink w:anchor="source6">
        <w:r>
          <w:rPr>
            <w:rFonts w:ascii="Malgun Gothic" w:hAnsi="Malgun Gothic" w:eastAsia="Malgun Gothic" w:cs="Malgun Gothic"/>
            <w:color w:val="333333"/>
            <w:sz w:val="17"/>
          </w:rPr>
          <w:t>기록: §0-O 「층 축은 맞출 수 있었고 모집단 축이 어긋났다」 [자료 6]</w:t>
        </w:r>
      </w:hyperlink>
      <w:r>
        <w:rPr>
          <w:rFonts w:ascii="Malgun Gothic" w:hAnsi="Malgun Gothic" w:eastAsia="Malgun Gothic" w:cs="Malgun Gothic"/>
          <w:b w:val="0"/>
          <w:i w:val="0"/>
          <w:color w:val="000000"/>
        </w:rPr>
        <w:t xml:space="preserve">, </w:t>
      </w:r>
      <w:hyperlink w:anchor="source1">
        <w:r>
          <w:rPr>
            <w:rFonts w:ascii="Malgun Gothic" w:hAnsi="Malgun Gothic" w:eastAsia="Malgun Gothic" w:cs="Malgun Gothic"/>
            <w:color w:val="333333"/>
            <w:sz w:val="17"/>
          </w:rPr>
          <w:t>근거: POSTING-E04 [자료 1]</w:t>
        </w:r>
      </w:hyperlink>
    </w:p>
    <w:p>
      <w:pPr>
        <w:pStyle w:val="Heading2"/>
      </w:pPr>
      <w:r>
        <w:t>4.4 층별 유닛 분할과 비교 대상의 변화</w:t>
      </w:r>
    </w:p>
    <w:p>
      <w:r>
        <w:rPr>
          <w:rFonts w:ascii="Malgun Gothic" w:hAnsi="Malgun Gothic" w:eastAsia="Malgun Gothic" w:cs="Malgun Gothic"/>
          <w:b w:val="0"/>
          <w:i w:val="0"/>
          <w:color w:val="000000"/>
        </w:rPr>
        <w:t>층별 면적이 서로 다르다는 관찰은 균등분할을 더 세밀하게 만들 동기를 제공한다. 하지만 건물 수준의 후보를 상업층별 후보로 바꾸면 값의 해상도뿐 아니라 후보의 개수와 층 구성도 함께 변한다. 기존 진단에서는 이 분할에 따른 회수 가능성과 프리미엄 관련 운영 지표를 비교하고, 설정된 검사와의 충돌을 이유로 균등분할을 유지했다.</w:t>
      </w:r>
    </w:p>
    <w:p>
      <w:r>
        <w:rPr>
          <w:rFonts w:ascii="Malgun Gothic" w:hAnsi="Malgun Gothic" w:eastAsia="Malgun Gothic" w:cs="Malgun Gothic"/>
          <w:b w:val="0"/>
          <w:i w:val="0"/>
          <w:color w:val="000000"/>
        </w:rPr>
        <w:t xml:space="preserve">이는 층별 면적 데이터가 존재하지 않는다는 결과가 아니다. 기존 후보 단위와 모델 조건을 유지한 채 그 데이터를 개별 후보의 면적으로 적용할 수 있는지를 검토한 결과다. 후보 단위가 달라진 전후의 중앙값을 같은 모집단의 정확도 개선으로 볼 수 없으며, 층별 모델의 경제적 타당성을 재검토하려면 별도의 설계와 외부 참조자료가 필요하다. </w:t>
      </w:r>
      <w:hyperlink w:anchor="source10">
        <w:r>
          <w:rPr>
            <w:rFonts w:ascii="Malgun Gothic" w:hAnsi="Malgun Gothic" w:eastAsia="Malgun Gothic" w:cs="Malgun Gothic"/>
            <w:color w:val="333333"/>
            <w:sz w:val="17"/>
          </w:rPr>
          <w:t>층별 분할 프로브 [자료 10]</w:t>
        </w:r>
      </w:hyperlink>
      <w:r>
        <w:rPr>
          <w:rFonts w:ascii="Malgun Gothic" w:hAnsi="Malgun Gothic" w:eastAsia="Malgun Gothic" w:cs="Malgun Gothic"/>
          <w:b w:val="0"/>
          <w:i w:val="0"/>
          <w:color w:val="000000"/>
        </w:rPr>
        <w:t xml:space="preserve">, </w:t>
      </w:r>
      <w:hyperlink w:anchor="source6">
        <w:r>
          <w:rPr>
            <w:rFonts w:ascii="Malgun Gothic" w:hAnsi="Malgun Gothic" w:eastAsia="Malgun Gothic" w:cs="Malgun Gothic"/>
            <w:color w:val="333333"/>
            <w:sz w:val="17"/>
          </w:rPr>
          <w:t>기록: §0-Q [자료 6]</w:t>
        </w:r>
      </w:hyperlink>
    </w:p>
    <w:p>
      <w:pPr>
        <w:pStyle w:val="Heading2"/>
      </w:pPr>
      <w:r>
        <w:t>4.5 집합건물 전유부와 분모의 의미</w:t>
      </w:r>
    </w:p>
    <w:p>
      <w:r>
        <w:rPr>
          <w:rFonts w:ascii="Malgun Gothic" w:hAnsi="Malgun Gothic" w:eastAsia="Malgun Gothic" w:cs="Malgun Gothic"/>
          <w:b w:val="0"/>
          <w:i w:val="0"/>
          <w:color w:val="000000"/>
        </w:rPr>
        <w:t>집합건물 편입 진단은 높은 계산 공실이 점포의 건물 귀속 실패에서 비롯되는지를 조사했다. 보존 보고서는 좌표 기반 귀속 폴백이 이미 작동하고 있으며, 주소·건물 키가 비어 있는 점포만으로 전유부와 활성 점포의 차이를 설명하기 어렵다고 판정했다. 따라서 누락 조인만 복구하면 문제가 해결된다는 설명은 채택되지 않았다.</w:t>
      </w:r>
    </w:p>
    <w:p>
      <w:r>
        <w:rPr>
          <w:rFonts w:ascii="Malgun Gothic" w:hAnsi="Malgun Gothic" w:eastAsia="Malgun Gothic" w:cs="Malgun Gothic"/>
          <w:b w:val="0"/>
          <w:i w:val="0"/>
          <w:color w:val="000000"/>
        </w:rPr>
        <w:t xml:space="preserve">해당 조사에서는 행정자료상 저활성과 함께 전유부 구획이 영업 점포와 같은 단위가 아닐 가능성이 제시됐다. 독립 현실 정답 없이 이를 모두 실제 공실이나 확정 오류로 분류할 수는 없다. 또한 기존 수집 범위에는 이 모집단을 대조할 적절한 앵커가 없었고, 현행 Posting 후보 생성도 전유부 경로를 대상에서 제외한다. 본 연구는 이 제외 규칙을 변경하지 않으며 집합건물 편입을 면적 관측 수준을 높인 성공 사례로 세지 않는다. </w:t>
      </w:r>
      <w:hyperlink w:anchor="source11">
        <w:r>
          <w:rPr>
            <w:rFonts w:ascii="Malgun Gothic" w:hAnsi="Malgun Gothic" w:eastAsia="Malgun Gothic" w:cs="Malgun Gothic"/>
            <w:color w:val="333333"/>
            <w:sz w:val="17"/>
          </w:rPr>
          <w:t>집합건물 조사 보고서 [자료 11]</w:t>
        </w:r>
      </w:hyperlink>
      <w:r>
        <w:rPr>
          <w:rFonts w:ascii="Malgun Gothic" w:hAnsi="Malgun Gothic" w:eastAsia="Malgun Gothic" w:cs="Malgun Gothic"/>
          <w:b w:val="0"/>
          <w:i w:val="0"/>
          <w:color w:val="000000"/>
        </w:rPr>
        <w:t xml:space="preserve">, </w:t>
      </w:r>
      <w:hyperlink w:anchor="source6">
        <w:r>
          <w:rPr>
            <w:rFonts w:ascii="Malgun Gothic" w:hAnsi="Malgun Gothic" w:eastAsia="Malgun Gothic" w:cs="Malgun Gothic"/>
            <w:color w:val="333333"/>
            <w:sz w:val="17"/>
          </w:rPr>
          <w:t>기록: §0-R [자료 6]</w:t>
        </w:r>
      </w:hyperlink>
    </w:p>
    <w:p>
      <w:pPr>
        <w:pStyle w:val="Heading2"/>
      </w:pPr>
      <w:r>
        <w:t>4.6 공식 면적 소스의 적격성</w:t>
      </w:r>
    </w:p>
    <w:p>
      <w:r>
        <w:rPr>
          <w:rFonts w:ascii="Malgun Gothic" w:hAnsi="Malgun Gothic" w:eastAsia="Malgun Gothic" w:cs="Malgun Gothic"/>
          <w:b w:val="0"/>
          <w:i w:val="0"/>
          <w:color w:val="000000"/>
        </w:rPr>
        <w:t xml:space="preserve">기존 공식 소스 조사는 개별 면적 필드가 있다는 사실보다 대상 인벤토리를 대체할 수 있는지를 확인했다. 판정은 아래와 같다. 이 표는 보존된 조사 계약의 결과이며, 모든 공식 API를 최신 시점에 재수집한 전수 조사로 제시하지 않는다. </w:t>
      </w:r>
      <w:hyperlink w:anchor="source8">
        <w:r>
          <w:rPr>
            <w:rFonts w:ascii="Malgun Gothic" w:hAnsi="Malgun Gothic" w:eastAsia="Malgun Gothic" w:cs="Malgun Gothic"/>
            <w:color w:val="333333"/>
            <w:sz w:val="17"/>
          </w:rPr>
          <w:t>조사 원문과 공식 자료 링크 [자료 8]</w:t>
        </w:r>
      </w:hyperlink>
      <w:r>
        <w:rPr>
          <w:rFonts w:ascii="Malgun Gothic" w:hAnsi="Malgun Gothic" w:eastAsia="Malgun Gothic" w:cs="Malgun Gothic"/>
          <w:b w:val="0"/>
          <w:i w:val="0"/>
          <w:color w:val="000000"/>
        </w:rPr>
        <w:t xml:space="preserve">, </w:t>
      </w:r>
      <w:hyperlink w:anchor="source1">
        <w:r>
          <w:rPr>
            <w:rFonts w:ascii="Malgun Gothic" w:hAnsi="Malgun Gothic" w:eastAsia="Malgun Gothic" w:cs="Malgun Gothic"/>
            <w:color w:val="333333"/>
            <w:sz w:val="17"/>
          </w:rPr>
          <w:t>근거: POSTING-E01 [자료 1]</w:t>
        </w:r>
      </w:hyperlink>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2"/>
        <w:gridCol w:w="2644"/>
        <w:gridCol w:w="5076"/>
      </w:tblGrid>
      <w:tr>
        <w:trPr>
          <w:cantSplit/>
          <w:tblHeader/>
        </w:trPr>
        <w:tc>
          <w:tcPr>
            <w:tcW w:type="dxa" w:w="1692"/>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조사 후보</w:t>
            </w:r>
          </w:p>
        </w:tc>
        <w:tc>
          <w:tcPr>
            <w:tcW w:type="dxa" w:w="2644"/>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확보 가능한 정보의 성격</w:t>
            </w:r>
          </w:p>
        </w:tc>
        <w:tc>
          <w:tcPr>
            <w:tcW w:type="dxa" w:w="5076"/>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기존 후보에 적용하지 않은 이유</w:t>
            </w:r>
          </w:p>
        </w:tc>
      </w:tr>
      <w:tr>
        <w:trPr>
          <w:cantSplit/>
        </w:trPr>
        <w:tc>
          <w:tcPr>
            <w:tcW w:type="dxa" w:w="169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건축HUB 전유부</w:t>
            </w:r>
          </w:p>
        </w:tc>
        <w:tc>
          <w:tcPr>
            <w:tcW w:type="dxa" w:w="264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집합건물의 호실 관련 대장 정보</w:t>
            </w:r>
          </w:p>
        </w:tc>
        <w:tc>
          <w:tcPr>
            <w:tcW w:type="dxa" w:w="507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현재 임대가능 상태가 없고 대상 일반건축물 모집단과 다름</w:t>
            </w:r>
          </w:p>
        </w:tc>
      </w:tr>
      <w:tr>
        <w:trPr>
          <w:cantSplit/>
        </w:trPr>
        <w:tc>
          <w:tcPr>
            <w:tcW w:type="dxa" w:w="169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서울교통공사 지하상가 임대정보</w:t>
            </w:r>
          </w:p>
        </w:tc>
        <w:tc>
          <w:tcPr>
            <w:tcW w:type="dxa" w:w="264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지하철 관련 상가의 면적·임대 상태</w:t>
            </w:r>
          </w:p>
        </w:tc>
        <w:tc>
          <w:tcPr>
            <w:tcW w:type="dxa" w:w="507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별도 공공상가 재고로서 기존 민간 후보의 관측을 대체하지 못함</w:t>
            </w:r>
          </w:p>
        </w:tc>
      </w:tr>
      <w:tr>
        <w:trPr>
          <w:cantSplit/>
        </w:trPr>
        <w:tc>
          <w:tcPr>
            <w:tcW w:type="dxa" w:w="1692"/>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LH 공급정보</w:t>
            </w:r>
          </w:p>
        </w:tc>
        <w:tc>
          <w:tcPr>
            <w:tcW w:type="dxa" w:w="264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공급 공고에 연결된 상가·호실 정보</w:t>
            </w:r>
          </w:p>
        </w:tc>
        <w:tc>
          <w:tcPr>
            <w:tcW w:type="dxa" w:w="507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공급 대상 범위와 기존 민간 후보의 범위가 다름</w:t>
            </w:r>
          </w:p>
        </w:tc>
      </w:tr>
      <w:tr>
        <w:trPr>
          <w:cantSplit/>
        </w:trPr>
        <w:tc>
          <w:tcPr>
            <w:tcW w:type="dxa" w:w="1692"/>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온비드 공공자산 정보</w:t>
            </w:r>
          </w:p>
        </w:tc>
        <w:tc>
          <w:tcPr>
            <w:tcW w:type="dxa" w:w="2644"/>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공공자산 공고</w:t>
            </w:r>
          </w:p>
        </w:tc>
        <w:tc>
          <w:tcPr>
            <w:tcW w:type="dxa" w:w="507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조사 계약상 기존 후보의 호실 면적·연결 키를 함께 확보하지 못함</w:t>
            </w:r>
          </w:p>
        </w:tc>
      </w:tr>
    </w:tbl>
    <w:p>
      <w:pPr>
        <w:spacing w:after="0"/>
      </w:pPr>
    </w:p>
    <w:p>
      <w:r>
        <w:rPr>
          <w:rFonts w:ascii="Malgun Gothic" w:hAnsi="Malgun Gothic" w:eastAsia="Malgun Gothic" w:cs="Malgun Gothic"/>
          <w:b w:val="0"/>
          <w:i w:val="0"/>
          <w:color w:val="000000"/>
        </w:rPr>
        <w:t xml:space="preserve">이번 집필에서는 소스 적격성 계약 검사 3건이 통과했다. 이 검사는 부분 후보를 전체 후보의 실측으로 승격하지 않는 규칙을 확인하며, 외부 데이터의 현재 완전성이나 호실 면적의 현실 정확도를 검증하지 않는다. </w:t>
      </w:r>
      <w:hyperlink w:anchor="source1">
        <w:r>
          <w:rPr>
            <w:rFonts w:ascii="Malgun Gothic" w:hAnsi="Malgun Gothic" w:eastAsia="Malgun Gothic" w:cs="Malgun Gothic"/>
            <w:color w:val="333333"/>
            <w:sz w:val="17"/>
          </w:rPr>
          <w:t>근거: POSTING-E06 [자료 1]</w:t>
        </w:r>
      </w:hyperlink>
    </w:p>
    <w:p>
      <w:pPr>
        <w:pStyle w:val="Heading2"/>
      </w:pPr>
      <w:r>
        <w:t>4.7 층번호 프로브와 독립 경로의 중복</w:t>
      </w:r>
    </w:p>
    <w:p>
      <w:r>
        <w:rPr>
          <w:rFonts w:ascii="Malgun Gothic" w:hAnsi="Malgun Gothic" w:eastAsia="Malgun Gothic" w:cs="Malgun Gothic"/>
          <w:b w:val="0"/>
          <w:i w:val="0"/>
          <w:color w:val="000000"/>
        </w:rPr>
        <w:t xml:space="preserve">후속 </w:t>
      </w:r>
      <w:r>
        <w:rPr>
          <w:rFonts w:ascii="Malgun Gothic" w:hAnsi="Malgun Gothic" w:eastAsia="Malgun Gothic" w:cs="Malgun Gothic"/>
          <w:b w:val="0"/>
          <w:i w:val="0"/>
          <w:color w:val="000000"/>
        </w:rPr>
        <w:t>flrNo</w:t>
      </w:r>
      <w:r>
        <w:rPr>
          <w:rFonts w:ascii="Malgun Gothic" w:hAnsi="Malgun Gothic" w:eastAsia="Malgun Gothic" w:cs="Malgun Gothic"/>
          <w:b w:val="0"/>
          <w:i w:val="0"/>
          <w:color w:val="000000"/>
        </w:rPr>
        <w:t xml:space="preserve"> 프로브의 보존 결과에서 66거점의 664유닛 중 단일층 후보는 30개(4.5%)였다. 이들의 수용량 분포는 모두 하나였고, 기존 균등분할 면적과 층 면적의 차이는 검사한 30개에서 최솟값·최댓값·중앙값 모두 0평이었다. 이 수치는 실제 호실 면적 정확도가 아니라 해당 가공 후보에서 두 계산이 어떻게 달라지는지를 잰 결과다. </w:t>
      </w:r>
      <w:hyperlink w:anchor="source1">
        <w:r>
          <w:rPr>
            <w:rFonts w:ascii="Malgun Gothic" w:hAnsi="Malgun Gothic" w:eastAsia="Malgun Gothic" w:cs="Malgun Gothic"/>
            <w:color w:val="333333"/>
            <w:sz w:val="17"/>
          </w:rPr>
          <w:t>근거: POSTING-E02 [자료 1]</w:t>
        </w:r>
      </w:hyperlink>
      <w:r>
        <w:rPr>
          <w:rFonts w:ascii="Malgun Gothic" w:hAnsi="Malgun Gothic" w:eastAsia="Malgun Gothic" w:cs="Malgun Gothic"/>
          <w:b w:val="0"/>
          <w:i w:val="0"/>
          <w:color w:val="000000"/>
        </w:rPr>
        <w:t xml:space="preserve">, </w:t>
      </w:r>
      <w:hyperlink w:anchor="source12">
        <w:r>
          <w:rPr>
            <w:rFonts w:ascii="Malgun Gothic" w:hAnsi="Malgun Gothic" w:eastAsia="Malgun Gothic" w:cs="Malgun Gothic"/>
            <w:color w:val="333333"/>
            <w:sz w:val="17"/>
          </w:rPr>
          <w:t>보존 프로브 [자료 12]</w:t>
        </w:r>
      </w:hyperlink>
    </w:p>
    <w:p>
      <w:r>
        <w:rPr>
          <w:rFonts w:ascii="Malgun Gothic" w:hAnsi="Malgun Gothic" w:eastAsia="Malgun Gothic" w:cs="Malgun Gothic"/>
          <w:b w:val="0"/>
          <w:i w:val="0"/>
          <w:color w:val="000000"/>
        </w:rPr>
        <w:t xml:space="preserve">다층 후보에 특정 층의 면적을 주려면 먼저 후보가 어느 층을 나타내는지 정의해야 한다. 기존 후보는 건물 수준의 평균 면적을 사용하는 표현이므로 층 라벨 추가만으로 그 귀속이 해결되지 않는다. 층별 후보로 다시 나누는 접근은 앞선 층별 분할 문제로 돌아간다. 따라서 이 후속은 독립적인 추가 실패 실험이 아니라 기존 경로의 종속성을 확인한 진단으로 보고한다. </w:t>
      </w:r>
      <w:hyperlink w:anchor="source1">
        <w:r>
          <w:rPr>
            <w:rFonts w:ascii="Malgun Gothic" w:hAnsi="Malgun Gothic" w:eastAsia="Malgun Gothic" w:cs="Malgun Gothic"/>
            <w:color w:val="333333"/>
            <w:sz w:val="17"/>
          </w:rPr>
          <w:t>근거: POSTING-E03 [자료 1]</w:t>
        </w:r>
      </w:hyperlink>
    </w:p>
    <w:p>
      <w:pPr>
        <w:pStyle w:val="Heading2"/>
      </w:pPr>
      <w:r>
        <w:t>4.8 가설 검증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87"/>
        <w:gridCol w:w="1887"/>
        <w:gridCol w:w="5637"/>
      </w:tblGrid>
      <w:tr>
        <w:trPr>
          <w:cantSplit/>
          <w:tblHeader/>
        </w:trPr>
        <w:tc>
          <w:tcPr>
            <w:tcW w:type="dxa" w:w="1887"/>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가설</w:t>
            </w:r>
          </w:p>
        </w:tc>
        <w:tc>
          <w:tcPr>
            <w:tcW w:type="dxa" w:w="1887"/>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판정</w:t>
            </w:r>
          </w:p>
        </w:tc>
        <w:tc>
          <w:tcPr>
            <w:tcW w:type="dxa" w:w="5637"/>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근거와 판정 범위</w:t>
            </w:r>
          </w:p>
        </w:tc>
      </w:tr>
      <w:tr>
        <w:trPr>
          <w:cantSplit/>
        </w:trPr>
        <w:tc>
          <w:tcPr>
            <w:tcW w:type="dxa" w:w="1887"/>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H1 조사 후보 중 적격 공식 소스 존재</w:t>
            </w:r>
          </w:p>
        </w:tc>
        <w:tc>
          <w:tcPr>
            <w:tcW w:type="dxa" w:w="1887"/>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조사 범위에서 지지되지 않음</w:t>
            </w:r>
          </w:p>
        </w:tc>
        <w:tc>
          <w:tcPr>
            <w:tcW w:type="dxa" w:w="5637"/>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면적·상태·모집단·연결 키의 동시 충족을 확인하지 못함. 모든 공개 자료의 영구적 부재를 뜻하지 않음</w:t>
            </w:r>
          </w:p>
        </w:tc>
      </w:tr>
      <w:tr>
        <w:trPr>
          <w:cantSplit/>
        </w:trPr>
        <w:tc>
          <w:tcPr>
            <w:tcW w:type="dxa" w:w="1887"/>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H2 단일층 후보의 면적 계산 변화</w:t>
            </w:r>
          </w:p>
        </w:tc>
        <w:tc>
          <w:tcPr>
            <w:tcW w:type="dxa" w:w="1887"/>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프로브 범위에서 반증</w:t>
            </w:r>
          </w:p>
        </w:tc>
        <w:tc>
          <w:tcPr>
            <w:tcW w:type="dxa" w:w="5637"/>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검사한 단일층 30개에서 계산 차이의 최솟값·최댓값·중앙값 모두 0평. 기존 면적의 현실 정확성을 입증하지는 않음</w:t>
            </w:r>
          </w:p>
        </w:tc>
      </w:tr>
      <w:tr>
        <w:trPr>
          <w:cantSplit/>
        </w:trPr>
        <w:tc>
          <w:tcPr>
            <w:tcW w:type="dxa" w:w="1887"/>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H3 앵커 수정에 의한 이상현상 설명</w:t>
            </w:r>
          </w:p>
        </w:tc>
        <w:tc>
          <w:tcPr>
            <w:tcW w:type="dxa" w:w="1887"/>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기존 진단에서 기각</w:t>
            </w:r>
          </w:p>
        </w:tc>
        <w:tc>
          <w:tcPr>
            <w:tcW w:type="dxa" w:w="5637"/>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앵커 배선 오류는 수정됐지만 예상한 프리미엄 회복은 확인되지 않음. 오류 수정과 설명 가설의 성공은 별개</w:t>
            </w:r>
          </w:p>
        </w:tc>
      </w:tr>
      <w:tr>
        <w:trPr>
          <w:cantSplit/>
        </w:trPr>
        <w:tc>
          <w:tcPr>
            <w:tcW w:type="dxa" w:w="1887"/>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H4 실제 회수기간 예측 타당성</w:t>
            </w:r>
          </w:p>
        </w:tc>
        <w:tc>
          <w:tcPr>
            <w:tcW w:type="dxa" w:w="1887"/>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미검증</w:t>
            </w:r>
          </w:p>
        </w:tc>
        <w:tc>
          <w:tcPr>
            <w:tcW w:type="dxa" w:w="5637"/>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실제 계약·투자금·성과를 연결한 외부 정답 없음. 시나리오 산술이나 운영 검사 통과로 대체 불가</w:t>
            </w:r>
          </w:p>
        </w:tc>
      </w:tr>
    </w:tbl>
    <w:p>
      <w:pPr>
        <w:spacing w:after="0"/>
      </w:pPr>
    </w:p>
    <w:p>
      <w:r>
        <w:rPr>
          <w:rFonts w:ascii="Malgun Gothic" w:hAnsi="Malgun Gothic" w:eastAsia="Malgun Gothic" w:cs="Malgun Gothic"/>
          <w:b w:val="0"/>
          <w:i w:val="0"/>
          <w:color w:val="000000"/>
        </w:rPr>
        <w:t xml:space="preserve">H1은 소스 계약 대조, H2는 동일 후보의 결정적 계산 비교, H3은 보존된 설명 가설의 검토다. 표본 추론을 위한 공통 p값을 부여하거나 독립 실패 실험의 횟수로 합산하지 않는다. H4는 별도의 성과 검증이 필요하며, 앞선 음성 결과가 H4의 참이나 거짓을 결정하지 않는다. </w:t>
      </w:r>
      <w:hyperlink w:anchor="source1">
        <w:r>
          <w:rPr>
            <w:rFonts w:ascii="Malgun Gothic" w:hAnsi="Malgun Gothic" w:eastAsia="Malgun Gothic" w:cs="Malgun Gothic"/>
            <w:color w:val="333333"/>
            <w:sz w:val="17"/>
          </w:rPr>
          <w:t>검증 근거: POSTING-E01–E05 및 P3 진단 기록 [자료 1]</w:t>
        </w:r>
      </w:hyperlink>
    </w:p>
    <w:p>
      <w:pPr>
        <w:pStyle w:val="Heading2"/>
      </w:pPr>
      <w:r>
        <w:t>4.9 서빙 모집단의 매출 근거 갱신과 기준점 해석 정정</w:t>
      </w:r>
    </w:p>
    <w:p>
      <w:r>
        <w:rPr>
          <w:rFonts w:ascii="Malgun Gothic" w:hAnsi="Malgun Gothic" w:eastAsia="Malgun Gothic" w:cs="Malgun Gothic"/>
          <w:b w:val="0"/>
          <w:i w:val="0"/>
          <w:color w:val="000000"/>
        </w:rPr>
        <w:t xml:space="preserve">후속 구현 대조에서는 서빙 거점이 확장됐는데 매출 산출물이 이전 거점 범위에 머물러, 일부 후보가 수기 계수 폴백으로 계산되는 문제가 확인됐다. 재수집보다 이미 확보한 자료의 재생성이 필요한 배선·갱신 문제였다. 현행 매출 산출물은 임대료 입력과 같은 분기 20262를 사용하며, 서빙 81거점 중 79거점에서 세 tier 재료를 모두 갖춘다. garak·bulgwang은 premium 재료가 부족한 상태로 남는다. 이 커버리지는 해당 매출 산출물의 완비 여부이며 실제 호실의 매출을 관측한 비율이 아니다. </w:t>
      </w:r>
      <w:hyperlink w:anchor="source2">
        <w:r>
          <w:rPr>
            <w:rFonts w:ascii="Malgun Gothic" w:hAnsi="Malgun Gothic" w:eastAsia="Malgun Gothic" w:cs="Malgun Gothic"/>
            <w:color w:val="333333"/>
            <w:sz w:val="17"/>
          </w:rPr>
          <w:t>근거: POSTING-U01 [자료 2]</w:t>
        </w:r>
      </w:hyperlink>
    </w:p>
    <w:p>
      <w:r>
        <w:rPr>
          <w:rFonts w:ascii="Malgun Gothic" w:hAnsi="Malgun Gothic" w:eastAsia="Malgun Gothic" w:cs="Malgun Gothic"/>
          <w:b w:val="0"/>
          <w:i w:val="0"/>
          <w:color w:val="000000"/>
        </w:rPr>
        <w:t xml:space="preserve">이 변경은 시나리오의 근거 범위를 넓혔지만, 폴백 계수와 실제 매출을 같은 것으로 만들지 않는다. 통계 기반 모델과 수기 계수 경로는 기존 </w:t>
      </w:r>
      <w:r>
        <w:rPr>
          <w:rFonts w:ascii="Malgun Gothic" w:hAnsi="Malgun Gothic" w:eastAsia="Malgun Gothic" w:cs="Malgun Gothic"/>
          <w:b w:val="0"/>
          <w:i w:val="0"/>
          <w:color w:val="000000"/>
        </w:rPr>
        <w:t>basis</w:t>
      </w:r>
      <w:r>
        <w:rPr>
          <w:rFonts w:ascii="Malgun Gothic" w:hAnsi="Malgun Gothic" w:eastAsia="Malgun Gothic" w:cs="Malgun Gothic"/>
          <w:b w:val="0"/>
          <w:i w:val="0"/>
          <w:color w:val="000000"/>
        </w:rPr>
        <w:t xml:space="preserve">로 구분하고 권리금 미입력 전제와 면적 가정도 유지한다. 후속 Page 재빌드로 후보 인벤토리가 달라질 수 있으므로 재빌드 당시의 유닛 수와 비율을 현재 값으로 전용하지 않는다. 회수기간의 현실 정확도에 관한 H4도 미검증으로 남는다. </w:t>
      </w:r>
      <w:hyperlink w:anchor="source2">
        <w:r>
          <w:rPr>
            <w:rFonts w:ascii="Malgun Gothic" w:hAnsi="Malgun Gothic" w:eastAsia="Malgun Gothic" w:cs="Malgun Gothic"/>
            <w:color w:val="333333"/>
            <w:sz w:val="17"/>
          </w:rPr>
          <w:t>근거: POSTING-E05 및 POSTING-U01·U02 [자료 2]</w:t>
        </w:r>
      </w:hyperlink>
    </w:p>
    <w:p>
      <w:r>
        <w:rPr>
          <w:rFonts w:ascii="Malgun Gothic" w:hAnsi="Malgun Gothic" w:eastAsia="Malgun Gothic" w:cs="Malgun Gothic"/>
          <w:b w:val="0"/>
          <w:i w:val="0"/>
          <w:color w:val="000000"/>
        </w:rPr>
        <w:t xml:space="preserve">기준점의 의미도 정정해야 한다. 현행 산출물의 </w:t>
      </w:r>
      <w:r>
        <w:rPr>
          <w:rFonts w:ascii="Malgun Gothic" w:hAnsi="Malgun Gothic" w:eastAsia="Malgun Gothic" w:cs="Malgun Gothic"/>
          <w:b w:val="0"/>
          <w:i w:val="0"/>
          <w:color w:val="000000"/>
        </w:rPr>
        <w:t>seoul</w:t>
      </w:r>
      <w:r>
        <w:rPr>
          <w:rFonts w:ascii="Malgun Gothic" w:hAnsi="Malgun Gothic" w:eastAsia="Malgun Gothic" w:cs="Malgun Gothic"/>
          <w:b w:val="0"/>
          <w:i w:val="0"/>
          <w:color w:val="000000"/>
        </w:rPr>
        <w:t xml:space="preserve"> 키는 거점에 매핑된 352상권의 풀에서 나온 기준값이며 서울 전체 상권의 대표값이 아니다. 따라서 앞선 매출 앵커 절에서 기술한 ‘서울 범위의 기준값’은 당시 배선 수정의 의도와 기록으로 한정한다. 현행 자료로 서울 전체 대표성이 확보됐다고 주장하지 않으며, 기준 풀의 변화가 기존 거점의 배율도 바꿀 수 있음을 명시한다. 이 정정은 3장의 분류로는 ‘모집단 불일치’의 사례다. </w:t>
      </w:r>
      <w:hyperlink w:anchor="source2">
        <w:r>
          <w:rPr>
            <w:rFonts w:ascii="Malgun Gothic" w:hAnsi="Malgun Gothic" w:eastAsia="Malgun Gothic" w:cs="Malgun Gothic"/>
            <w:color w:val="333333"/>
            <w:sz w:val="17"/>
          </w:rPr>
          <w:t>근거: POSTING-U02 [자료 2]</w:t>
        </w:r>
      </w:hyperlink>
    </w:p>
    <w:p>
      <w:r>
        <w:rPr>
          <w:rFonts w:ascii="Malgun Gothic" w:hAnsi="Malgun Gothic" w:eastAsia="Malgun Gothic" w:cs="Malgun Gothic"/>
          <w:b w:val="0"/>
          <w:i w:val="0"/>
          <w:color w:val="000000"/>
        </w:rPr>
        <w:t xml:space="preserve">현행 회귀 검사는 </w:t>
      </w:r>
      <w:r>
        <w:rPr>
          <w:rFonts w:ascii="Malgun Gothic" w:hAnsi="Malgun Gothic" w:eastAsia="Malgun Gothic" w:cs="Malgun Gothic"/>
          <w:b w:val="0"/>
          <w:i w:val="0"/>
          <w:color w:val="000000"/>
        </w:rPr>
        <w:t>test_revenue_artifact_covers_served_hubs</w:t>
      </w:r>
      <w:r>
        <w:rPr>
          <w:rFonts w:ascii="Malgun Gothic" w:hAnsi="Malgun Gothic" w:eastAsia="Malgun Gothic" w:cs="Malgun Gothic"/>
          <w:b w:val="0"/>
          <w:i w:val="0"/>
          <w:color w:val="000000"/>
        </w:rPr>
        <w:t xml:space="preserve">로 매출 산출물이 서빙 모집단을 덮는지 확인하고, </w:t>
      </w:r>
      <w:r>
        <w:rPr>
          <w:rFonts w:ascii="Malgun Gothic" w:hAnsi="Malgun Gothic" w:eastAsia="Malgun Gothic" w:cs="Malgun Gothic"/>
          <w:b w:val="0"/>
          <w:i w:val="0"/>
          <w:color w:val="000000"/>
        </w:rPr>
        <w:t>test_premium_tracks_hub_rent_level</w:t>
      </w:r>
      <w:r>
        <w:rPr>
          <w:rFonts w:ascii="Malgun Gothic" w:hAnsi="Malgun Gothic" w:eastAsia="Malgun Gothic" w:cs="Malgun Gothic"/>
          <w:b w:val="0"/>
          <w:i w:val="0"/>
          <w:color w:val="000000"/>
        </w:rPr>
        <w:t xml:space="preserve">로 측정된 임대료 수준별 부담의 서열을 검사한다. 이는 이미 반증된 ‘전부 프라임’ 전제를 전체 인벤토리에 다시 부여하지 않기 위한 구현 계약이다. 검사 통과는 실제 수익성의 외부 검증이 아니며, 과거 가설 기각을 양성 결과로 바꾸지 않는다. </w:t>
      </w:r>
      <w:hyperlink w:anchor="source2">
        <w:r>
          <w:rPr>
            <w:rFonts w:ascii="Malgun Gothic" w:hAnsi="Malgun Gothic" w:eastAsia="Malgun Gothic" w:cs="Malgun Gothic"/>
            <w:color w:val="333333"/>
            <w:sz w:val="17"/>
          </w:rPr>
          <w:t>근거: POSTING-U02 [자료 2]</w:t>
        </w:r>
      </w:hyperlink>
    </w:p>
    <w:p>
      <w:pPr>
        <w:pStyle w:val="Heading2"/>
      </w:pPr>
      <w:r>
        <w:t>4.10 후속 검증용 추정매출 패널과 회수기간 검증의 구분</w:t>
      </w:r>
    </w:p>
    <w:p>
      <w:r>
        <w:rPr>
          <w:rFonts w:ascii="Malgun Gothic" w:hAnsi="Malgun Gothic" w:eastAsia="Malgun Gothic" w:cs="Malgun Gothic"/>
          <w:b w:val="0"/>
          <w:i w:val="0"/>
          <w:color w:val="000000"/>
        </w:rPr>
        <w:t xml:space="preserve">후속 작업은 기존 추정매출 원천을 Bronze→Silver→Gold 검증용 분기 패널로 정리했다. 보존 산출물은 142,984행·81거점, 2021Q1~2026Q2를 포함한다. 원천 업종 코드를 유지하고 중복 충돌을 거부하며 결손과 실제 영을 구분한다. 이 패널은 로컬 검증용으로 준비됐고 모델 입력·서빙에는 연결되지 않았다. 준비된 행 수를 실제 점포의 매출 관측 수나 회수기간 평가 표본으로 읽지 않는다. </w:t>
      </w:r>
      <w:hyperlink w:anchor="source13">
        <w:r>
          <w:rPr>
            <w:rFonts w:ascii="Malgun Gothic" w:hAnsi="Malgun Gothic" w:eastAsia="Malgun Gothic" w:cs="Malgun Gothic"/>
            <w:color w:val="333333"/>
            <w:sz w:val="17"/>
          </w:rPr>
          <w:t>근거: POSTING-V01 [자료 13]</w:t>
        </w:r>
      </w:hyperlink>
    </w:p>
    <w:p>
      <w:r>
        <w:rPr>
          <w:rFonts w:ascii="Malgun Gothic" w:hAnsi="Malgun Gothic" w:eastAsia="Malgun Gothic" w:cs="Malgun Gothic"/>
          <w:b w:val="0"/>
          <w:i w:val="0"/>
          <w:color w:val="000000"/>
        </w:rPr>
        <w:t xml:space="preserve">패널은 추정매출이며 POS 실측이 아니다. 여러 거점에 겹친 상권 자료를 합산하지 않고, 큰 업종·세부 업종의 대응이나 누락 분기를 임의로 채우지 않는다. 과거 수치는 사후 정정됐을 수 있어 예측 시점에 이용 가능했던 자료인지도 확인해야 한다. 또한 별도 공공자료의 소재지면적을 후보 호실의 가용면적으로 전용하지 않는다. 향후 회수기간을 검증하려면 업종 대응과 시점별 이용 가능성뿐 아니라 동일 점포의 비용·매출·영업 기간을 연결해야 한다. 이번 패널 구축은 그 검증의 재료를 준비한 단계이며 현실 회수기간 정확도에 관한 H4는 계속 미검증이다. </w:t>
      </w:r>
      <w:hyperlink w:anchor="source13">
        <w:r>
          <w:rPr>
            <w:rFonts w:ascii="Malgun Gothic" w:hAnsi="Malgun Gothic" w:eastAsia="Malgun Gothic" w:cs="Malgun Gothic"/>
            <w:color w:val="333333"/>
            <w:sz w:val="17"/>
          </w:rPr>
          <w:t>근거: POSTING-V01·PAGE-V02 [자료 13]</w:t>
        </w:r>
      </w:hyperlink>
    </w:p>
    <w:p>
      <w:pPr>
        <w:pStyle w:val="Heading1"/>
      </w:pPr>
      <w:r>
        <w:t>5 논의</w:t>
      </w:r>
    </w:p>
    <w:p>
      <w:pPr>
        <w:pStyle w:val="Heading2"/>
      </w:pPr>
      <w:r>
        <w:t>5.1 부재와 귀속 불가의 구분</w:t>
      </w:r>
    </w:p>
    <w:p>
      <w:r>
        <w:rPr>
          <w:rFonts w:ascii="Malgun Gothic" w:hAnsi="Malgun Gothic" w:eastAsia="Malgun Gothic" w:cs="Malgun Gothic"/>
          <w:b w:val="0"/>
          <w:i w:val="0"/>
          <w:color w:val="000000"/>
        </w:rPr>
        <w:t>진단 기록에서 구별해야 할 것은 데이터가 없는 경우와 데이터는 있으나 대상 단위에 귀속할 수 없는 경우다. 권리금은 계약 입력의 문제이고, 층별 면적은 존재하지만 건물 평균 후보에 특정 층을 붙이는 것은 표현 단위의 문제다. 공식 소스의 공공자산 면적은 별도 재고의 관측이고, 지역 벤치마크의 차이는 층 효과와 모집단 차이가 함께 섞인 값일 수 있다. 이 구분 없이 모두 ‘데이터 부족’으로 묶으면 이미 있는 자료를 재수집하거나 다른 모집단의 값을 가져와 결측을 채우게 된다. 3장의 네 유형은 이 구분을 진단 기록에 적용한 것이다.</w:t>
      </w:r>
    </w:p>
    <w:p>
      <w:pPr>
        <w:pStyle w:val="Heading2"/>
      </w:pPr>
      <w:r>
        <w:t>5.2 음성 결과의 해석</w:t>
      </w:r>
    </w:p>
    <w:p>
      <w:r>
        <w:rPr>
          <w:rFonts w:ascii="Malgun Gothic" w:hAnsi="Malgun Gothic" w:eastAsia="Malgun Gothic" w:cs="Malgun Gothic"/>
          <w:b w:val="0"/>
          <w:i w:val="0"/>
          <w:color w:val="000000"/>
        </w:rPr>
        <w:t>음성 결과의 해석에도 같은 주의가 필요하다. 운영 검사가 변경을 거절했다는 사실은 그 검사가 경제적 진실을 완전히 표현한다는 뜻이 아니다. 특히 후속 조사에서 출발 전제가 반증됐다면, 앞선 기각 기록은 당시 기준과 현재 확인된 한계를 함께 기술해야 한다. 본 연구의 기여는 독립 실패 횟수를 늘리는 데 있지 않고 각 경로의 의존성과 판정의 근거를 명확히 하는 데 있다.</w:t>
      </w:r>
    </w:p>
    <w:p>
      <w:pPr>
        <w:pStyle w:val="Heading2"/>
      </w:pPr>
      <w:r>
        <w:t>5.3 표현 방식과 정보량</w:t>
      </w:r>
    </w:p>
    <w:p>
      <w:r>
        <w:rPr>
          <w:rFonts w:ascii="Malgun Gothic" w:hAnsi="Malgun Gothic" w:eastAsia="Malgun Gothic" w:cs="Malgun Gothic"/>
          <w:b w:val="0"/>
          <w:i w:val="0"/>
          <w:color w:val="000000"/>
        </w:rPr>
        <w:t xml:space="preserve">기존 제품은 절차적으로 그린 입체 건물 표현을 층 상태 목록과 거리뷰 중심의 표현으로 바꾼 이력이 있다. 입체 형상이 실제 건물 형상 관측을 더하지 않는다면 화면의 상세함만으로 입력 정보가 늘었다고 볼 수 없다. 같은 이유로 층별 목록이 존재한다는 사실과 각 후보의 호실 면적·수익성이 확인됐다는 사실은 구분해야 한다. 이 사례는 표현과 관측을 구별하는 보조 논점이며, 화면 변경의 사용성·의사결정 개선 효과는 본 연구에서 평가하지 않았다. </w:t>
      </w:r>
      <w:hyperlink w:anchor="source6">
        <w:r>
          <w:rPr>
            <w:rFonts w:ascii="Malgun Gothic" w:hAnsi="Malgun Gothic" w:eastAsia="Malgun Gothic" w:cs="Malgun Gothic"/>
            <w:color w:val="333333"/>
            <w:sz w:val="17"/>
          </w:rPr>
          <w:t>기록: §0-T 「층 단위 매물 목록」·§0-V 「디지털 트윈」 [자료 6]</w:t>
        </w:r>
      </w:hyperlink>
    </w:p>
    <w:p>
      <w:pPr>
        <w:pStyle w:val="Heading2"/>
      </w:pPr>
      <w:r>
        <w:t>5.4 후속 검증의 설계</w:t>
      </w:r>
    </w:p>
    <w:p>
      <w:r>
        <w:rPr>
          <w:rFonts w:ascii="Malgun Gothic" w:hAnsi="Malgun Gothic" w:eastAsia="Malgun Gothic" w:cs="Malgun Gothic"/>
          <w:b w:val="0"/>
          <w:i w:val="0"/>
          <w:color w:val="000000"/>
        </w:rPr>
        <w:t xml:space="preserve">호실 수준 분석을 다시 열려면 같은 후보에 귀속 가능한 면적·층·임대가능 상태·관측시점을 함께 확보해야 한다. 그 자료는 공식 소스일 수도, 정당한 계약에 따른 임대인·중개 제공 자료일 수도 있다. 다만 입력이 확보되더라도 면적과 매출의 관계, 층 계수와 초기 투자 가정의 외부 검증은 별도 과제다. 본 원고는 새로운 출처 규칙이나 모델 재설계를 승인·구현하지 않는다. </w:t>
      </w:r>
      <w:hyperlink w:anchor="source8">
        <w:r>
          <w:rPr>
            <w:rFonts w:ascii="Malgun Gothic" w:hAnsi="Malgun Gothic" w:eastAsia="Malgun Gothic" w:cs="Malgun Gothic"/>
            <w:color w:val="333333"/>
            <w:sz w:val="17"/>
          </w:rPr>
          <w:t>재개 조건 [자료 8]</w:t>
        </w:r>
      </w:hyperlink>
    </w:p>
    <w:p>
      <w:r>
        <w:rPr>
          <w:rFonts w:ascii="Malgun Gothic" w:hAnsi="Malgun Gothic" w:eastAsia="Malgun Gothic" w:cs="Malgun Gothic"/>
          <w:b w:val="0"/>
          <w:i w:val="0"/>
          <w:color w:val="000000"/>
        </w:rPr>
        <w:t>H4를 검증하려면 먼저 아직 회수하지 못한 사례를 어떻게 처리할지 정해야 하며, 그 대신 진입과 퇴출 시점이 관측되는 생존을 1차 성과로 두는 설계가 현실적일 수 있다. Zhang과 Luo(2023)는 식당의 진입·퇴출 시점을 해당 플랫폼 페이지, 업체 웹사이트, 검색 결과에서 수집해 디지털 신호의 예측력을 비교했다. 이는 공개 자료로 생존 라벨을 만든 선례이며 설계 제안일 뿐이다. PlaceOS가 그러한 라벨을 확보했다는 뜻이 아니다. 평가는 Otis 등(2026)처럼 사용자 특성별 이질성을 함께 보아야 하며, 시나리오의 가정 노출이 사용자 판단에 기여하는지(Kayande 등, 2009)는 별도의 사용자 평가가 필요하다.</w:t>
      </w:r>
    </w:p>
    <w:p>
      <w:pPr>
        <w:pStyle w:val="Heading1"/>
      </w:pPr>
      <w:r>
        <w:t>6 한계</w:t>
      </w:r>
    </w:p>
    <w:p>
      <w:r>
        <w:rPr>
          <w:rFonts w:ascii="Malgun Gothic" w:hAnsi="Malgun Gothic" w:eastAsia="Malgun Gothic" w:cs="Malgun Gothic"/>
          <w:b w:val="0"/>
          <w:i w:val="0"/>
          <w:color w:val="000000"/>
        </w:rPr>
        <w:t>본 연구는 서울의 특정 후보 집합과 당시의 공개 자료·계산 코드에 관한 사례다. 공공데이터의 제공 범위는 달라질 수 있으므로 과거의 적격 후보 부재를 모든 미래 소스의 부재로 확장할 수 없다. 공식 문서 재확인과 보존 코드 검사는 과거 API 응답의 완전 재현이나 현재 전국 소스 전수조사와 다르다.</w:t>
      </w:r>
    </w:p>
    <w:p>
      <w:r>
        <w:rPr>
          <w:rFonts w:ascii="Malgun Gothic" w:hAnsi="Malgun Gothic" w:eastAsia="Malgun Gothic" w:cs="Malgun Gothic"/>
          <w:b w:val="0"/>
          <w:i w:val="0"/>
          <w:color w:val="000000"/>
        </w:rPr>
        <w:t>보존된 진단은 제품 개발 과정에서 축적된 기록이며, 모든 경로가 독립적인 사전등록 연구는 아니다. 특히 층번호 경로와 층별 분할은 중복되는 의존 관계를 갖고, 초기의 프라임 인벤토리 전제는 후속 반증을 포함해 읽어야 한다. 서로 다른 모집단의 결과를 합쳐 효과크기나 성공 확률을 계산하지 않는다.</w:t>
      </w:r>
    </w:p>
    <w:p>
      <w:r>
        <w:rPr>
          <w:rFonts w:ascii="Malgun Gothic" w:hAnsi="Malgun Gothic" w:eastAsia="Malgun Gothic" w:cs="Malgun Gothic"/>
          <w:b w:val="0"/>
          <w:i w:val="0"/>
          <w:color w:val="000000"/>
        </w:rPr>
        <w:t>실제 임대 계약, 호실 면적의 독립 현장 정답, 기업의 투자금·매출·생존 성과를 연결한 외부 검증은 확보하지 못했다. 따라서 균등분할이나 통계 기반 비용 모델이 정확하다고 결론 내리지 않으며, 수기 계수 폴백과 사용자 미입력 전제도 실측으로 취급하지 않는다. 회수기간 시나리오는 가정 아래의 비교이며 실제 회수를 보증하지 않는다.</w:t>
      </w:r>
    </w:p>
    <w:p>
      <w:r>
        <w:rPr>
          <w:rFonts w:ascii="Malgun Gothic" w:hAnsi="Malgun Gothic" w:eastAsia="Malgun Gothic" w:cs="Malgun Gothic"/>
          <w:b w:val="0"/>
          <w:i w:val="0"/>
          <w:color w:val="000000"/>
        </w:rPr>
        <w:t xml:space="preserve">문헌은 서지를 Crossref 기록으로 대조하고 초록을 확인한 범위에서 인용했으며 전문을 정독하지 않았다. Han 등(2022)과 Lu 등(2024)은 서지와 검색 요약만 확인했고 초록·본문 대조는 미완료다. 저널의 Q1 분류는 SCImago Journal Rank 최신판 기준이며 Clarivate JCR의 분야별 사분위는 확인하지 않았다. Otis 등(2026)은 온라인 선공개 상태의 논문이다. </w:t>
      </w:r>
      <w:hyperlink w:anchor="source14">
        <w:r>
          <w:rPr>
            <w:rFonts w:ascii="Malgun Gothic" w:hAnsi="Malgun Gothic" w:eastAsia="Malgun Gothic" w:cs="Malgun Gothic"/>
            <w:color w:val="333333"/>
            <w:sz w:val="17"/>
          </w:rPr>
          <w:t>문헌 확인 범위 [자료 14]</w:t>
        </w:r>
      </w:hyperlink>
    </w:p>
    <w:p>
      <w:pPr>
        <w:pStyle w:val="Heading1"/>
      </w:pPr>
      <w:r>
        <w:t>7 결론</w:t>
      </w:r>
    </w:p>
    <w:p>
      <w:r>
        <w:rPr>
          <w:rFonts w:ascii="Malgun Gothic" w:hAnsi="Malgun Gothic" w:eastAsia="Malgun Gothic" w:cs="Malgun Gothic"/>
          <w:b w:val="0"/>
          <w:i w:val="0"/>
          <w:color w:val="000000"/>
        </w:rPr>
        <w:t xml:space="preserve">서빙 범위에 맞춘 매출 근거 갱신은 수기 계수 폴백을 줄이는 구현 진전이지만 실제 투자 성과를 확인하지는 않았다. 디지털 접근성이 사업 유지에 중요할 수 있다는 연구 동기는 채널 매출의 임의 가산값을 정당화하지 않는다. 창업가를 위한 디지털 상권의 비용 정보는 관측 재료·계약 입력·계산 가정을 드러낸 조건부 시나리오로 제시해야 한다. </w:t>
      </w:r>
      <w:hyperlink w:anchor="source2">
        <w:r>
          <w:rPr>
            <w:rFonts w:ascii="Malgun Gothic" w:hAnsi="Malgun Gothic" w:eastAsia="Malgun Gothic" w:cs="Malgun Gothic"/>
            <w:color w:val="333333"/>
            <w:sz w:val="17"/>
          </w:rPr>
          <w:t>현행 근거와 한계 [자료 2]</w:t>
        </w:r>
      </w:hyperlink>
    </w:p>
    <w:p>
      <w:r>
        <w:rPr>
          <w:rFonts w:ascii="Malgun Gothic" w:hAnsi="Malgun Gothic" w:eastAsia="Malgun Gothic" w:cs="Malgun Gothic"/>
          <w:b w:val="0"/>
          <w:i w:val="0"/>
          <w:color w:val="000000"/>
        </w:rPr>
        <w:t>PlaceOS Posting의 진단 기록은 상가 입점 시나리오의 정밀화가 단순히 데이터 필드를 추가하는 문제로 끝나지 않음을 보여준다. 값의 존재, 후보에 대한 귀속, 모집단의 일치와 모델의 표현 단위를 함께 확인해야 하며, 배선 오류를 수정한 결과와 설명 가설의 지지도 구분해야 한다. 후속 조사에서 반증된 기대는 지우지 않고 해석을 수정해야 한다.</w:t>
      </w:r>
    </w:p>
    <w:p>
      <w:r>
        <w:rPr>
          <w:rFonts w:ascii="Malgun Gothic" w:hAnsi="Malgun Gothic" w:eastAsia="Malgun Gothic" w:cs="Malgun Gothic"/>
          <w:b w:val="0"/>
          <w:i w:val="0"/>
          <w:color w:val="000000"/>
        </w:rPr>
        <w:t>조사한 조건에서는 기존 건물 수준 후보를 실제 호실 인벤토리로 대체할 근거가 확보되지 않았고, 층번호 정보만으로 평균 후보를 호실 실측으로 바꿀 수도 없었다. 이는 해당 범위의 확인 결과다. 다음 단계는 같은 후보의 면적·상태·시점에 대한 참조자료 확보와 모델의 외부 검증이며, 근거가 확보되기 전에는 현재의 가정과 출처를 명시한 시나리오로 남겨야 한다.</w:t>
      </w:r>
    </w:p>
    <w:p>
      <w:pPr>
        <w:pStyle w:val="Heading1"/>
      </w:pPr>
      <w:r>
        <w:t>참고문헌</w:t>
      </w:r>
    </w:p>
    <w:p>
      <w:r>
        <w:rPr>
          <w:rFonts w:ascii="Malgun Gothic" w:hAnsi="Malgun Gothic" w:eastAsia="Malgun Gothic" w:cs="Malgun Gothic"/>
          <w:b w:val="0"/>
          <w:i w:val="0"/>
          <w:color w:val="000000"/>
        </w:rPr>
        <w:t xml:space="preserve">• Alsudais, A. (2021). Incorrect data in the widely used Inside Airbnb dataset. </w:t>
      </w:r>
      <w:r>
        <w:rPr>
          <w:rFonts w:ascii="Malgun Gothic" w:hAnsi="Malgun Gothic" w:eastAsia="Malgun Gothic" w:cs="Malgun Gothic"/>
          <w:b w:val="0"/>
          <w:i/>
          <w:color w:val="000000"/>
        </w:rPr>
        <w:t>Decision Support Systems, 141</w:t>
      </w:r>
      <w:r>
        <w:rPr>
          <w:rFonts w:ascii="Malgun Gothic" w:hAnsi="Malgun Gothic" w:eastAsia="Malgun Gothic" w:cs="Malgun Gothic"/>
          <w:b w:val="0"/>
          <w:i w:val="0"/>
          <w:color w:val="000000"/>
        </w:rPr>
        <w:t xml:space="preserve">, 113453. </w:t>
      </w:r>
      <w:hyperlink r:id="rId10">
        <w:r>
          <w:rPr>
            <w:rFonts w:ascii="Malgun Gothic" w:hAnsi="Malgun Gothic" w:eastAsia="Malgun Gothic" w:cs="Malgun Gothic"/>
            <w:color w:val="333333"/>
          </w:rPr>
          <w:t>https://doi.org/10.1016/j.dss.2020.113453</w:t>
        </w:r>
      </w:hyperlink>
      <w:r>
        <w:rPr>
          <w:rFonts w:ascii="Malgun Gothic" w:hAnsi="Malgun Gothic" w:eastAsia="Malgun Gothic" w:cs="Malgun Gothic"/>
          <w:b w:val="0"/>
          <w:i w:val="0"/>
          <w:color w:val="000000"/>
        </w:rPr>
        <w:t xml:space="preserve"> 검토 판본: 저자 공개본 arXiv:2007.03019v2. 확인 범위: 저자 공개본·서지·초록. 저널 분류: SJR Q1(정보시스템·경영정보).</w:t>
      </w:r>
    </w:p>
    <w:p>
      <w:r>
        <w:rPr>
          <w:rFonts w:ascii="Malgun Gothic" w:hAnsi="Malgun Gothic" w:eastAsia="Malgun Gothic" w:cs="Malgun Gothic"/>
          <w:b w:val="0"/>
          <w:i w:val="0"/>
          <w:color w:val="000000"/>
        </w:rPr>
        <w:t xml:space="preserve">• Ballou, D., Wang, R., Pazer, H., &amp; Tayi, G. K. (1998). Modeling information manufacturing systems to determine information product quality. </w:t>
      </w:r>
      <w:r>
        <w:rPr>
          <w:rFonts w:ascii="Malgun Gothic" w:hAnsi="Malgun Gothic" w:eastAsia="Malgun Gothic" w:cs="Malgun Gothic"/>
          <w:b w:val="0"/>
          <w:i/>
          <w:color w:val="000000"/>
        </w:rPr>
        <w:t>Management Science, 44</w:t>
      </w:r>
      <w:r>
        <w:rPr>
          <w:rFonts w:ascii="Malgun Gothic" w:hAnsi="Malgun Gothic" w:eastAsia="Malgun Gothic" w:cs="Malgun Gothic"/>
          <w:b w:val="0"/>
          <w:i w:val="0"/>
          <w:color w:val="000000"/>
        </w:rPr>
        <w:t xml:space="preserve">(4), 462–484. </w:t>
      </w:r>
      <w:hyperlink r:id="rId11">
        <w:r>
          <w:rPr>
            <w:rFonts w:ascii="Malgun Gothic" w:hAnsi="Malgun Gothic" w:eastAsia="Malgun Gothic" w:cs="Malgun Gothic"/>
            <w:color w:val="333333"/>
          </w:rPr>
          <w:t>https://doi.org/10.1287/mnsc.44.4.462</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Burton-Jones, A., &amp; Grange, C. (2013). From use to effective use: A representation theory perspective. </w:t>
      </w:r>
      <w:r>
        <w:rPr>
          <w:rFonts w:ascii="Malgun Gothic" w:hAnsi="Malgun Gothic" w:eastAsia="Malgun Gothic" w:cs="Malgun Gothic"/>
          <w:b w:val="0"/>
          <w:i/>
          <w:color w:val="000000"/>
        </w:rPr>
        <w:t>Information Systems Research, 24</w:t>
      </w:r>
      <w:r>
        <w:rPr>
          <w:rFonts w:ascii="Malgun Gothic" w:hAnsi="Malgun Gothic" w:eastAsia="Malgun Gothic" w:cs="Malgun Gothic"/>
          <w:b w:val="0"/>
          <w:i w:val="0"/>
          <w:color w:val="000000"/>
        </w:rPr>
        <w:t xml:space="preserve">(3), 632–658. </w:t>
      </w:r>
      <w:hyperlink r:id="rId12">
        <w:r>
          <w:rPr>
            <w:rFonts w:ascii="Malgun Gothic" w:hAnsi="Malgun Gothic" w:eastAsia="Malgun Gothic" w:cs="Malgun Gothic"/>
            <w:color w:val="333333"/>
          </w:rPr>
          <w:t>https://doi.org/10.1287/isre.1120.0444</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Forman, C., Ghose, A., &amp; Goldfarb, A. (2009). Competition between local and electronic markets: How the benefit of buying online depends on where you live. </w:t>
      </w:r>
      <w:r>
        <w:rPr>
          <w:rFonts w:ascii="Malgun Gothic" w:hAnsi="Malgun Gothic" w:eastAsia="Malgun Gothic" w:cs="Malgun Gothic"/>
          <w:b w:val="0"/>
          <w:i/>
          <w:color w:val="000000"/>
        </w:rPr>
        <w:t>Management Science, 55</w:t>
      </w:r>
      <w:r>
        <w:rPr>
          <w:rFonts w:ascii="Malgun Gothic" w:hAnsi="Malgun Gothic" w:eastAsia="Malgun Gothic" w:cs="Malgun Gothic"/>
          <w:b w:val="0"/>
          <w:i w:val="0"/>
          <w:color w:val="000000"/>
        </w:rPr>
        <w:t xml:space="preserve">(1), 47–57. </w:t>
      </w:r>
      <w:hyperlink r:id="rId13">
        <w:r>
          <w:rPr>
            <w:rFonts w:ascii="Malgun Gothic" w:hAnsi="Malgun Gothic" w:eastAsia="Malgun Gothic" w:cs="Malgun Gothic"/>
            <w:color w:val="333333"/>
          </w:rPr>
          <w:t>https://doi.org/10.1287/mnsc.1080.0932</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Ghose, A., Goldfarb, A., &amp; Han, S. P. (2013). How is the mobile Internet different? Search costs and local activities. </w:t>
      </w:r>
      <w:r>
        <w:rPr>
          <w:rFonts w:ascii="Malgun Gothic" w:hAnsi="Malgun Gothic" w:eastAsia="Malgun Gothic" w:cs="Malgun Gothic"/>
          <w:b w:val="0"/>
          <w:i/>
          <w:color w:val="000000"/>
        </w:rPr>
        <w:t>Information Systems Research, 24</w:t>
      </w:r>
      <w:r>
        <w:rPr>
          <w:rFonts w:ascii="Malgun Gothic" w:hAnsi="Malgun Gothic" w:eastAsia="Malgun Gothic" w:cs="Malgun Gothic"/>
          <w:b w:val="0"/>
          <w:i w:val="0"/>
          <w:color w:val="000000"/>
        </w:rPr>
        <w:t xml:space="preserve">(3), 613–631. </w:t>
      </w:r>
      <w:hyperlink r:id="rId14">
        <w:r>
          <w:rPr>
            <w:rFonts w:ascii="Malgun Gothic" w:hAnsi="Malgun Gothic" w:eastAsia="Malgun Gothic" w:cs="Malgun Gothic"/>
            <w:color w:val="333333"/>
          </w:rPr>
          <w:t>https://doi.org/10.1287/isre.1120.0453</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Han, S., Jia, X., Chen, X., Gupta, S., Kumar, A., &amp; Lin, Z. (2022). Search well and be wise: A machine learning approach to search for a profitable location. </w:t>
      </w:r>
      <w:r>
        <w:rPr>
          <w:rFonts w:ascii="Malgun Gothic" w:hAnsi="Malgun Gothic" w:eastAsia="Malgun Gothic" w:cs="Malgun Gothic"/>
          <w:b w:val="0"/>
          <w:i/>
          <w:color w:val="000000"/>
        </w:rPr>
        <w:t>Journal of Business Research, 144</w:t>
      </w:r>
      <w:r>
        <w:rPr>
          <w:rFonts w:ascii="Malgun Gothic" w:hAnsi="Malgun Gothic" w:eastAsia="Malgun Gothic" w:cs="Malgun Gothic"/>
          <w:b w:val="0"/>
          <w:i w:val="0"/>
          <w:color w:val="000000"/>
        </w:rPr>
        <w:t xml:space="preserve">, 416–427. </w:t>
      </w:r>
      <w:hyperlink r:id="rId15">
        <w:r>
          <w:rPr>
            <w:rFonts w:ascii="Malgun Gothic" w:hAnsi="Malgun Gothic" w:eastAsia="Malgun Gothic" w:cs="Malgun Gothic"/>
            <w:color w:val="333333"/>
          </w:rPr>
          <w:t>https://doi.org/10.1016/j.jbusres.2022.01.049</w:t>
        </w:r>
      </w:hyperlink>
      <w:r>
        <w:rPr>
          <w:rFonts w:ascii="Malgun Gothic" w:hAnsi="Malgun Gothic" w:eastAsia="Malgun Gothic" w:cs="Malgun Gothic"/>
          <w:b w:val="0"/>
          <w:i w:val="0"/>
          <w:color w:val="000000"/>
        </w:rPr>
        <w:t xml:space="preserve"> 확인 범위: 서지와 검색 요약(초록·본문 대조 미완료). 저널 분류: SJR Q1(경영·마케팅).</w:t>
      </w:r>
    </w:p>
    <w:p>
      <w:r>
        <w:rPr>
          <w:rFonts w:ascii="Malgun Gothic" w:hAnsi="Malgun Gothic" w:eastAsia="Malgun Gothic" w:cs="Malgun Gothic"/>
          <w:b w:val="0"/>
          <w:i w:val="0"/>
          <w:color w:val="000000"/>
        </w:rPr>
        <w:t xml:space="preserve">• Kayande, U., De Bruyn, A., Lilien, G. L., Rangaswamy, A., &amp; van Bruggen, G. H. (2009). How incorporating feedback mechanisms in a DSS affects DSS evaluations. </w:t>
      </w:r>
      <w:r>
        <w:rPr>
          <w:rFonts w:ascii="Malgun Gothic" w:hAnsi="Malgun Gothic" w:eastAsia="Malgun Gothic" w:cs="Malgun Gothic"/>
          <w:b w:val="0"/>
          <w:i/>
          <w:color w:val="000000"/>
        </w:rPr>
        <w:t>Information Systems Research, 20</w:t>
      </w:r>
      <w:r>
        <w:rPr>
          <w:rFonts w:ascii="Malgun Gothic" w:hAnsi="Malgun Gothic" w:eastAsia="Malgun Gothic" w:cs="Malgun Gothic"/>
          <w:b w:val="0"/>
          <w:i w:val="0"/>
          <w:color w:val="000000"/>
        </w:rPr>
        <w:t xml:space="preserve">(4), 527–546. </w:t>
      </w:r>
      <w:hyperlink r:id="rId16">
        <w:r>
          <w:rPr>
            <w:rFonts w:ascii="Malgun Gothic" w:hAnsi="Malgun Gothic" w:eastAsia="Malgun Gothic" w:cs="Malgun Gothic"/>
            <w:color w:val="333333"/>
          </w:rPr>
          <w:t>https://doi.org/10.1287/isre.1080.0198</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Lu, J., Zheng, X., Nervino, E., Li, Y., Xu, Z., &amp; Xu, Y. (2024). Retail store location screening: A machine learning-based approach. </w:t>
      </w:r>
      <w:r>
        <w:rPr>
          <w:rFonts w:ascii="Malgun Gothic" w:hAnsi="Malgun Gothic" w:eastAsia="Malgun Gothic" w:cs="Malgun Gothic"/>
          <w:b w:val="0"/>
          <w:i/>
          <w:color w:val="000000"/>
        </w:rPr>
        <w:t>Journal of Retailing and Consumer Services, 77</w:t>
      </w:r>
      <w:r>
        <w:rPr>
          <w:rFonts w:ascii="Malgun Gothic" w:hAnsi="Malgun Gothic" w:eastAsia="Malgun Gothic" w:cs="Malgun Gothic"/>
          <w:b w:val="0"/>
          <w:i w:val="0"/>
          <w:color w:val="000000"/>
        </w:rPr>
        <w:t xml:space="preserve">, 103620. </w:t>
      </w:r>
      <w:hyperlink r:id="rId17">
        <w:r>
          <w:rPr>
            <w:rFonts w:ascii="Malgun Gothic" w:hAnsi="Malgun Gothic" w:eastAsia="Malgun Gothic" w:cs="Malgun Gothic"/>
            <w:color w:val="333333"/>
          </w:rPr>
          <w:t>https://doi.org/10.1016/j.jretconser.2023.103620</w:t>
        </w:r>
      </w:hyperlink>
      <w:r>
        <w:rPr>
          <w:rFonts w:ascii="Malgun Gothic" w:hAnsi="Malgun Gothic" w:eastAsia="Malgun Gothic" w:cs="Malgun Gothic"/>
          <w:b w:val="0"/>
          <w:i w:val="0"/>
          <w:color w:val="000000"/>
        </w:rPr>
        <w:t xml:space="preserve"> 확인 범위: 서지와 검색 요약(초록·본문 대조 미완료). 저널 분류: SJR Q1(마케팅).</w:t>
      </w:r>
    </w:p>
    <w:p>
      <w:r>
        <w:rPr>
          <w:rFonts w:ascii="Malgun Gothic" w:hAnsi="Malgun Gothic" w:eastAsia="Malgun Gothic" w:cs="Malgun Gothic"/>
          <w:b w:val="0"/>
          <w:i w:val="0"/>
          <w:color w:val="000000"/>
        </w:rPr>
        <w:t xml:space="preserve">• Marsden, J. R., &amp; Pingry, D. E. (2018). Numerical data quality in IS research and the implications for replication. </w:t>
      </w:r>
      <w:r>
        <w:rPr>
          <w:rFonts w:ascii="Malgun Gothic" w:hAnsi="Malgun Gothic" w:eastAsia="Malgun Gothic" w:cs="Malgun Gothic"/>
          <w:b w:val="0"/>
          <w:i/>
          <w:color w:val="000000"/>
        </w:rPr>
        <w:t>Decision Support Systems, 115</w:t>
      </w:r>
      <w:r>
        <w:rPr>
          <w:rFonts w:ascii="Malgun Gothic" w:hAnsi="Malgun Gothic" w:eastAsia="Malgun Gothic" w:cs="Malgun Gothic"/>
          <w:b w:val="0"/>
          <w:i w:val="0"/>
          <w:color w:val="000000"/>
        </w:rPr>
        <w:t xml:space="preserve">, A1–A7. </w:t>
      </w:r>
      <w:hyperlink r:id="rId18">
        <w:r>
          <w:rPr>
            <w:rFonts w:ascii="Malgun Gothic" w:hAnsi="Malgun Gothic" w:eastAsia="Malgun Gothic" w:cs="Malgun Gothic"/>
            <w:color w:val="333333"/>
          </w:rPr>
          <w:t>https://doi.org/10.1016/j.dss.2018.10.007</w:t>
        </w:r>
      </w:hyperlink>
      <w:r>
        <w:rPr>
          <w:rFonts w:ascii="Malgun Gothic" w:hAnsi="Malgun Gothic" w:eastAsia="Malgun Gothic" w:cs="Malgun Gothic"/>
          <w:b w:val="0"/>
          <w:i w:val="0"/>
          <w:color w:val="000000"/>
        </w:rPr>
        <w:t xml:space="preserve"> 확인 범위: 출판사 공개 초록·서론. 저널 분류: SJR Q1(정보시스템·경영정보).</w:t>
      </w:r>
    </w:p>
    <w:p>
      <w:r>
        <w:rPr>
          <w:rFonts w:ascii="Malgun Gothic" w:hAnsi="Malgun Gothic" w:eastAsia="Malgun Gothic" w:cs="Malgun Gothic"/>
          <w:b w:val="0"/>
          <w:i w:val="0"/>
          <w:color w:val="000000"/>
        </w:rPr>
        <w:t xml:space="preserve">• Nambisan, S. (2017). Digital entrepreneurship: Toward a digital technology perspective of entrepreneurship. </w:t>
      </w:r>
      <w:r>
        <w:rPr>
          <w:rFonts w:ascii="Malgun Gothic" w:hAnsi="Malgun Gothic" w:eastAsia="Malgun Gothic" w:cs="Malgun Gothic"/>
          <w:b w:val="0"/>
          <w:i/>
          <w:color w:val="000000"/>
        </w:rPr>
        <w:t>Entrepreneurship Theory and Practice, 41</w:t>
      </w:r>
      <w:r>
        <w:rPr>
          <w:rFonts w:ascii="Malgun Gothic" w:hAnsi="Malgun Gothic" w:eastAsia="Malgun Gothic" w:cs="Malgun Gothic"/>
          <w:b w:val="0"/>
          <w:i w:val="0"/>
          <w:color w:val="000000"/>
        </w:rPr>
        <w:t xml:space="preserve">(6), 1029–1055. </w:t>
      </w:r>
      <w:hyperlink r:id="rId19">
        <w:r>
          <w:rPr>
            <w:rFonts w:ascii="Malgun Gothic" w:hAnsi="Malgun Gothic" w:eastAsia="Malgun Gothic" w:cs="Malgun Gothic"/>
            <w:color w:val="333333"/>
          </w:rPr>
          <w:t>https://doi.org/10.1111/etap.12254</w:t>
        </w:r>
      </w:hyperlink>
      <w:r>
        <w:rPr>
          <w:rFonts w:ascii="Malgun Gothic" w:hAnsi="Malgun Gothic" w:eastAsia="Malgun Gothic" w:cs="Malgun Gothic"/>
          <w:b w:val="0"/>
          <w:i w:val="0"/>
          <w:color w:val="000000"/>
        </w:rPr>
        <w:t xml:space="preserve"> 확인 범위: 서지·초록. 저널 분류: SJR Q1(경영·경제).</w:t>
      </w:r>
    </w:p>
    <w:p>
      <w:r>
        <w:rPr>
          <w:rFonts w:ascii="Malgun Gothic" w:hAnsi="Malgun Gothic" w:eastAsia="Malgun Gothic" w:cs="Malgun Gothic"/>
          <w:b w:val="0"/>
          <w:i w:val="0"/>
          <w:color w:val="000000"/>
        </w:rPr>
        <w:t xml:space="preserve">• Önüt, S., Efendigil, T., &amp; Soner Kara, S. (2010). A combined fuzzy MCDM approach for selecting shopping center site: An example from Istanbul, Turkey. </w:t>
      </w:r>
      <w:r>
        <w:rPr>
          <w:rFonts w:ascii="Malgun Gothic" w:hAnsi="Malgun Gothic" w:eastAsia="Malgun Gothic" w:cs="Malgun Gothic"/>
          <w:b w:val="0"/>
          <w:i/>
          <w:color w:val="000000"/>
        </w:rPr>
        <w:t>Expert Systems with Applications, 37</w:t>
      </w:r>
      <w:r>
        <w:rPr>
          <w:rFonts w:ascii="Malgun Gothic" w:hAnsi="Malgun Gothic" w:eastAsia="Malgun Gothic" w:cs="Malgun Gothic"/>
          <w:b w:val="0"/>
          <w:i w:val="0"/>
          <w:color w:val="000000"/>
        </w:rPr>
        <w:t xml:space="preserve">(3), 1973–1980. </w:t>
      </w:r>
      <w:hyperlink r:id="rId20">
        <w:r>
          <w:rPr>
            <w:rFonts w:ascii="Malgun Gothic" w:hAnsi="Malgun Gothic" w:eastAsia="Malgun Gothic" w:cs="Malgun Gothic"/>
            <w:color w:val="333333"/>
          </w:rPr>
          <w:t>https://doi.org/10.1016/j.eswa.2009.06.080</w:t>
        </w:r>
      </w:hyperlink>
      <w:r>
        <w:rPr>
          <w:rFonts w:ascii="Malgun Gothic" w:hAnsi="Malgun Gothic" w:eastAsia="Malgun Gothic" w:cs="Malgun Gothic"/>
          <w:b w:val="0"/>
          <w:i w:val="0"/>
          <w:color w:val="000000"/>
        </w:rPr>
        <w:t xml:space="preserve"> 확인 범위: 서지, 저자 소속 대학 기록의 초록. 저널 분류: SJR Q1(인공지능).</w:t>
      </w:r>
    </w:p>
    <w:p>
      <w:r>
        <w:rPr>
          <w:rFonts w:ascii="Malgun Gothic" w:hAnsi="Malgun Gothic" w:eastAsia="Malgun Gothic" w:cs="Malgun Gothic"/>
          <w:b w:val="0"/>
          <w:i w:val="0"/>
          <w:color w:val="000000"/>
        </w:rPr>
        <w:t xml:space="preserve">• Otis, N. G., Clarke, R., Delecourt, S., Holtz, D., &amp; Koning, R. (2026). The uneven impact of generative artificial intelligence on entrepreneurial performance: Evidence from a field experiment in Kenya. </w:t>
      </w:r>
      <w:r>
        <w:rPr>
          <w:rFonts w:ascii="Malgun Gothic" w:hAnsi="Malgun Gothic" w:eastAsia="Malgun Gothic" w:cs="Malgun Gothic"/>
          <w:b w:val="0"/>
          <w:i/>
          <w:color w:val="000000"/>
        </w:rPr>
        <w:t>Management Science</w:t>
      </w:r>
      <w:r>
        <w:rPr>
          <w:rFonts w:ascii="Malgun Gothic" w:hAnsi="Malgun Gothic" w:eastAsia="Malgun Gothic" w:cs="Malgun Gothic"/>
          <w:b w:val="0"/>
          <w:i w:val="0"/>
          <w:color w:val="000000"/>
        </w:rPr>
        <w:t xml:space="preserve">. 온라인 선공개. </w:t>
      </w:r>
      <w:hyperlink r:id="rId21">
        <w:r>
          <w:rPr>
            <w:rFonts w:ascii="Malgun Gothic" w:hAnsi="Malgun Gothic" w:eastAsia="Malgun Gothic" w:cs="Malgun Gothic"/>
            <w:color w:val="333333"/>
          </w:rPr>
          <w:t>https://doi.org/10.1287/mnsc.2024.06909</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Parssian, A., Sarkar, S., &amp; Jacob, V. S. (2004). Assessing data quality for information products: Impact of selection, projection, and Cartesian product. </w:t>
      </w:r>
      <w:r>
        <w:rPr>
          <w:rFonts w:ascii="Malgun Gothic" w:hAnsi="Malgun Gothic" w:eastAsia="Malgun Gothic" w:cs="Malgun Gothic"/>
          <w:b w:val="0"/>
          <w:i/>
          <w:color w:val="000000"/>
        </w:rPr>
        <w:t>Management Science, 50</w:t>
      </w:r>
      <w:r>
        <w:rPr>
          <w:rFonts w:ascii="Malgun Gothic" w:hAnsi="Malgun Gothic" w:eastAsia="Malgun Gothic" w:cs="Malgun Gothic"/>
          <w:b w:val="0"/>
          <w:i w:val="0"/>
          <w:color w:val="000000"/>
        </w:rPr>
        <w:t xml:space="preserve">(7), 967–982. </w:t>
      </w:r>
      <w:hyperlink r:id="rId22">
        <w:r>
          <w:rPr>
            <w:rFonts w:ascii="Malgun Gothic" w:hAnsi="Malgun Gothic" w:eastAsia="Malgun Gothic" w:cs="Malgun Gothic"/>
            <w:color w:val="333333"/>
          </w:rPr>
          <w:t>https://doi.org/10.1287/mnsc.1040.0237</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Recker, J., Indulska, M., Green, P., Burton-Jones, A., &amp; Weber, R. (2019). Information systems as representations: A review of the theory and evidence. </w:t>
      </w:r>
      <w:r>
        <w:rPr>
          <w:rFonts w:ascii="Malgun Gothic" w:hAnsi="Malgun Gothic" w:eastAsia="Malgun Gothic" w:cs="Malgun Gothic"/>
          <w:b w:val="0"/>
          <w:i/>
          <w:color w:val="000000"/>
        </w:rPr>
        <w:t>Journal of the Association for Information Systems</w:t>
      </w:r>
      <w:r>
        <w:rPr>
          <w:rFonts w:ascii="Malgun Gothic" w:hAnsi="Malgun Gothic" w:eastAsia="Malgun Gothic" w:cs="Malgun Gothic"/>
          <w:b w:val="0"/>
          <w:i w:val="0"/>
          <w:color w:val="000000"/>
        </w:rPr>
        <w:t xml:space="preserve">, 735–786. </w:t>
      </w:r>
      <w:hyperlink r:id="rId23">
        <w:r>
          <w:rPr>
            <w:rFonts w:ascii="Malgun Gothic" w:hAnsi="Malgun Gothic" w:eastAsia="Malgun Gothic" w:cs="Malgun Gothic"/>
            <w:color w:val="333333"/>
          </w:rPr>
          <w:t>https://doi.org/10.17705/1jais.00550</w:t>
        </w:r>
      </w:hyperlink>
      <w:r>
        <w:rPr>
          <w:rFonts w:ascii="Malgun Gothic" w:hAnsi="Malgun Gothic" w:eastAsia="Malgun Gothic" w:cs="Malgun Gothic"/>
          <w:b w:val="0"/>
          <w:i w:val="0"/>
          <w:color w:val="000000"/>
        </w:rPr>
        <w:t xml:space="preserve"> 확인 범위: 서지·초록(권호는 확인한 기록에 없음). 저널 분류: SJR Q1(정보시스템).</w:t>
      </w:r>
    </w:p>
    <w:p>
      <w:r>
        <w:rPr>
          <w:rFonts w:ascii="Malgun Gothic" w:hAnsi="Malgun Gothic" w:eastAsia="Malgun Gothic" w:cs="Malgun Gothic"/>
          <w:b w:val="0"/>
          <w:i w:val="0"/>
          <w:color w:val="000000"/>
        </w:rPr>
        <w:t xml:space="preserve">• Steininger, D. M. (2019). Linking information systems and entrepreneurship: A review and agenda for IT-associated and digital entrepreneurship research. </w:t>
      </w:r>
      <w:r>
        <w:rPr>
          <w:rFonts w:ascii="Malgun Gothic" w:hAnsi="Malgun Gothic" w:eastAsia="Malgun Gothic" w:cs="Malgun Gothic"/>
          <w:b w:val="0"/>
          <w:i/>
          <w:color w:val="000000"/>
        </w:rPr>
        <w:t>Information Systems Journal, 29</w:t>
      </w:r>
      <w:r>
        <w:rPr>
          <w:rFonts w:ascii="Malgun Gothic" w:hAnsi="Malgun Gothic" w:eastAsia="Malgun Gothic" w:cs="Malgun Gothic"/>
          <w:b w:val="0"/>
          <w:i w:val="0"/>
          <w:color w:val="000000"/>
        </w:rPr>
        <w:t xml:space="preserve">(2), 363–407. </w:t>
      </w:r>
      <w:hyperlink r:id="rId24">
        <w:r>
          <w:rPr>
            <w:rFonts w:ascii="Malgun Gothic" w:hAnsi="Malgun Gothic" w:eastAsia="Malgun Gothic" w:cs="Malgun Gothic"/>
            <w:color w:val="333333"/>
          </w:rPr>
          <w:t>https://doi.org/10.1111/isj.12206</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Wang, R. Y., &amp; Strong, D. M. (1996). Beyond accuracy: What data quality means to data consumers. </w:t>
      </w:r>
      <w:r>
        <w:rPr>
          <w:rFonts w:ascii="Malgun Gothic" w:hAnsi="Malgun Gothic" w:eastAsia="Malgun Gothic" w:cs="Malgun Gothic"/>
          <w:b w:val="0"/>
          <w:i/>
          <w:color w:val="000000"/>
        </w:rPr>
        <w:t>Journal of Management Information Systems, 12</w:t>
      </w:r>
      <w:r>
        <w:rPr>
          <w:rFonts w:ascii="Malgun Gothic" w:hAnsi="Malgun Gothic" w:eastAsia="Malgun Gothic" w:cs="Malgun Gothic"/>
          <w:b w:val="0"/>
          <w:i w:val="0"/>
          <w:color w:val="000000"/>
        </w:rPr>
        <w:t xml:space="preserve">(4), 5–33. </w:t>
      </w:r>
      <w:hyperlink r:id="rId25">
        <w:r>
          <w:rPr>
            <w:rFonts w:ascii="Malgun Gothic" w:hAnsi="Malgun Gothic" w:eastAsia="Malgun Gothic" w:cs="Malgun Gothic"/>
            <w:color w:val="333333"/>
          </w:rPr>
          <w:t>https://doi.org/10.1080/07421222.1996.11518099</w:t>
        </w:r>
      </w:hyperlink>
      <w:r>
        <w:rPr>
          <w:rFonts w:ascii="Malgun Gothic" w:hAnsi="Malgun Gothic" w:eastAsia="Malgun Gothic" w:cs="Malgun Gothic"/>
          <w:b w:val="0"/>
          <w:i w:val="0"/>
          <w:color w:val="000000"/>
        </w:rPr>
        <w:t xml:space="preserve"> 확인 범위: 서지·초록. 저널 분류: SJR Q1(경영정보).</w:t>
      </w:r>
    </w:p>
    <w:p>
      <w:r>
        <w:rPr>
          <w:rFonts w:ascii="Malgun Gothic" w:hAnsi="Malgun Gothic" w:eastAsia="Malgun Gothic" w:cs="Malgun Gothic"/>
          <w:b w:val="0"/>
          <w:i w:val="0"/>
          <w:color w:val="000000"/>
        </w:rPr>
        <w:t xml:space="preserve">• Zhang, M., &amp; Luo, L. (2023). Can consumer-posted photos serve as a leading indicator of restaurant survival? Evidence from Yelp. </w:t>
      </w:r>
      <w:r>
        <w:rPr>
          <w:rFonts w:ascii="Malgun Gothic" w:hAnsi="Malgun Gothic" w:eastAsia="Malgun Gothic" w:cs="Malgun Gothic"/>
          <w:b w:val="0"/>
          <w:i/>
          <w:color w:val="000000"/>
        </w:rPr>
        <w:t>Management Science, 69</w:t>
      </w:r>
      <w:r>
        <w:rPr>
          <w:rFonts w:ascii="Malgun Gothic" w:hAnsi="Malgun Gothic" w:eastAsia="Malgun Gothic" w:cs="Malgun Gothic"/>
          <w:b w:val="0"/>
          <w:i w:val="0"/>
          <w:color w:val="000000"/>
        </w:rPr>
        <w:t xml:space="preserve">(1), 25–50. </w:t>
      </w:r>
      <w:hyperlink r:id="rId26">
        <w:r>
          <w:rPr>
            <w:rFonts w:ascii="Malgun Gothic" w:hAnsi="Malgun Gothic" w:eastAsia="Malgun Gothic" w:cs="Malgun Gothic"/>
            <w:color w:val="333333"/>
          </w:rPr>
          <w:t>https://doi.org/10.1287/mnsc.2022.4359</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공식 자료의 URL과 당시 후보별 판정은 </w:t>
      </w:r>
      <w:hyperlink w:anchor="source8">
        <w:r>
          <w:rPr>
            <w:rFonts w:ascii="Malgun Gothic" w:hAnsi="Malgun Gothic" w:eastAsia="Malgun Gothic" w:cs="Malgun Gothic"/>
            <w:color w:val="333333"/>
            <w:sz w:val="17"/>
          </w:rPr>
          <w:t>공식 소스 조사 기록 [자료 8]</w:t>
        </w:r>
      </w:hyperlink>
      <w:r>
        <w:rPr>
          <w:rFonts w:ascii="Malgun Gothic" w:hAnsi="Malgun Gothic" w:eastAsia="Malgun Gothic" w:cs="Malgun Gothic"/>
          <w:b w:val="0"/>
          <w:i w:val="0"/>
          <w:color w:val="000000"/>
        </w:rPr>
        <w:t xml:space="preserve">에, 집필 중 대조 범위는 </w:t>
      </w:r>
      <w:hyperlink w:anchor="source15">
        <w:r>
          <w:rPr>
            <w:rFonts w:ascii="Malgun Gothic" w:hAnsi="Malgun Gothic" w:eastAsia="Malgun Gothic" w:cs="Malgun Gothic"/>
            <w:color w:val="333333"/>
            <w:sz w:val="17"/>
          </w:rPr>
          <w:t>집필·검수 기록 [자료 15]</w:t>
        </w:r>
      </w:hyperlink>
      <w:r>
        <w:rPr>
          <w:rFonts w:ascii="Malgun Gothic" w:hAnsi="Malgun Gothic" w:eastAsia="Malgun Gothic" w:cs="Malgun Gothic"/>
          <w:b w:val="0"/>
          <w:i w:val="0"/>
          <w:color w:val="000000"/>
        </w:rPr>
        <w:t>에 보존한다.</w:t>
      </w:r>
    </w:p>
    <w:p>
      <w:pPr>
        <w:pStyle w:val="Heading1"/>
      </w:pPr>
      <w:r>
        <w:t>자료 주석</w:t>
      </w:r>
    </w:p>
    <w:p>
      <w:r>
        <w:t>자료 경로는 저장소의 docs/papers를 기준으로 한다. 원천 전체의 공개 접근이나 독립 재현을 보장하지 않는다.</w:t>
      </w:r>
    </w:p>
    <w:p>
      <w:pPr>
        <w:spacing w:line="276" w:lineRule="auto"/>
      </w:pPr>
      <w:bookmarkStart w:id="1" w:name="source1"/>
      <w:r>
        <w:rPr>
          <w:rFonts w:ascii="Malgun Gothic" w:hAnsi="Malgun Gothic" w:eastAsia="Malgun Gothic" w:cs="Malgun Gothic"/>
          <w:b/>
          <w:color w:val="000000"/>
          <w:sz w:val="18"/>
        </w:rPr>
        <w:t>1. 근거: POSTING-E01–E05</w:t>
      </w:r>
      <w:bookmarkEnd w:id="1"/>
      <w:r>
        <w:rPr>
          <w:rFonts w:ascii="Malgun Gothic" w:hAnsi="Malgun Gothic" w:eastAsia="Malgun Gothic" w:cs="Malgun Gothic"/>
          <w:color w:val="000000"/>
          <w:sz w:val="18"/>
        </w:rPr>
        <w:br/>
        <w:t>evidence-index.md#posting-program-update</w:t>
      </w:r>
    </w:p>
    <w:p>
      <w:pPr>
        <w:spacing w:line="276" w:lineRule="auto"/>
      </w:pPr>
      <w:bookmarkStart w:id="2" w:name="source2"/>
      <w:r>
        <w:rPr>
          <w:rFonts w:ascii="Malgun Gothic" w:hAnsi="Malgun Gothic" w:eastAsia="Malgun Gothic" w:cs="Malgun Gothic"/>
          <w:b/>
          <w:color w:val="000000"/>
          <w:sz w:val="18"/>
        </w:rPr>
        <w:t>2. 근거: POSTING-U01·U02</w:t>
      </w:r>
      <w:bookmarkEnd w:id="2"/>
      <w:r>
        <w:rPr>
          <w:rFonts w:ascii="Malgun Gothic" w:hAnsi="Malgun Gothic" w:eastAsia="Malgun Gothic" w:cs="Malgun Gothic"/>
          <w:color w:val="000000"/>
          <w:sz w:val="18"/>
        </w:rPr>
        <w:br/>
        <w:t>evidence-index.md#pppp-update-20261011</w:t>
      </w:r>
    </w:p>
    <w:p>
      <w:pPr>
        <w:spacing w:line="276" w:lineRule="auto"/>
      </w:pPr>
      <w:bookmarkStart w:id="3" w:name="source3"/>
      <w:r>
        <w:rPr>
          <w:rFonts w:ascii="Malgun Gothic" w:hAnsi="Malgun Gothic" w:eastAsia="Malgun Gothic" w:cs="Malgun Gothic"/>
          <w:b/>
          <w:color w:val="000000"/>
          <w:sz w:val="18"/>
        </w:rPr>
        <w:t>3. 자료 명세</w:t>
      </w:r>
      <w:bookmarkEnd w:id="3"/>
      <w:r>
        <w:rPr>
          <w:rFonts w:ascii="Malgun Gothic" w:hAnsi="Malgun Gothic" w:eastAsia="Malgun Gothic" w:cs="Malgun Gothic"/>
          <w:color w:val="000000"/>
          <w:sz w:val="18"/>
        </w:rPr>
        <w:br/>
        <w:t>data-specification.md</w:t>
      </w:r>
    </w:p>
    <w:p>
      <w:pPr>
        <w:spacing w:line="276" w:lineRule="auto"/>
      </w:pPr>
      <w:bookmarkStart w:id="4" w:name="source4"/>
      <w:r>
        <w:rPr>
          <w:rFonts w:ascii="Malgun Gothic" w:hAnsi="Malgun Gothic" w:eastAsia="Malgun Gothic" w:cs="Malgun Gothic"/>
          <w:b/>
          <w:color w:val="000000"/>
          <w:sz w:val="18"/>
        </w:rPr>
        <w:t>4. 현재 계산 코드</w:t>
      </w:r>
      <w:bookmarkEnd w:id="4"/>
      <w:r>
        <w:rPr>
          <w:rFonts w:ascii="Malgun Gothic" w:hAnsi="Malgun Gothic" w:eastAsia="Malgun Gothic" w:cs="Malgun Gothic"/>
          <w:color w:val="000000"/>
          <w:sz w:val="18"/>
        </w:rPr>
        <w:br/>
        <w:t>../../apps/backend/app/services/districts.py</w:t>
      </w:r>
    </w:p>
    <w:p>
      <w:pPr>
        <w:spacing w:line="276" w:lineRule="auto"/>
      </w:pPr>
      <w:bookmarkStart w:id="5" w:name="source5"/>
      <w:r>
        <w:rPr>
          <w:rFonts w:ascii="Malgun Gothic" w:hAnsi="Malgun Gothic" w:eastAsia="Malgun Gothic" w:cs="Malgun Gothic"/>
          <w:b/>
          <w:color w:val="000000"/>
          <w:sz w:val="18"/>
        </w:rPr>
        <w:t>5. 기존 P3 근거</w:t>
      </w:r>
      <w:bookmarkEnd w:id="5"/>
      <w:r>
        <w:rPr>
          <w:rFonts w:ascii="Malgun Gothic" w:hAnsi="Malgun Gothic" w:eastAsia="Malgun Gothic" w:cs="Malgun Gothic"/>
          <w:color w:val="000000"/>
          <w:sz w:val="18"/>
        </w:rPr>
        <w:br/>
        <w:t>evidence-index.md</w:t>
      </w:r>
    </w:p>
    <w:p>
      <w:pPr>
        <w:spacing w:line="276" w:lineRule="auto"/>
      </w:pPr>
      <w:bookmarkStart w:id="6" w:name="source6"/>
      <w:r>
        <w:rPr>
          <w:rFonts w:ascii="Malgun Gothic" w:hAnsi="Malgun Gothic" w:eastAsia="Malgun Gothic" w:cs="Malgun Gothic"/>
          <w:b/>
          <w:color w:val="000000"/>
          <w:sz w:val="18"/>
        </w:rPr>
        <w:t>6. 감도 실험 이력</w:t>
      </w:r>
      <w:bookmarkEnd w:id="6"/>
      <w:r>
        <w:rPr>
          <w:rFonts w:ascii="Malgun Gothic" w:hAnsi="Malgun Gothic" w:eastAsia="Malgun Gothic" w:cs="Malgun Gothic"/>
          <w:color w:val="000000"/>
          <w:sz w:val="18"/>
        </w:rPr>
        <w:br/>
        <w:t>../feature-posting.md</w:t>
      </w:r>
    </w:p>
    <w:p>
      <w:pPr>
        <w:spacing w:line="276" w:lineRule="auto"/>
      </w:pPr>
      <w:bookmarkStart w:id="7" w:name="source7"/>
      <w:r>
        <w:rPr>
          <w:rFonts w:ascii="Malgun Gothic" w:hAnsi="Malgun Gothic" w:eastAsia="Malgun Gothic" w:cs="Malgun Gothic"/>
          <w:b/>
          <w:color w:val="000000"/>
          <w:sz w:val="18"/>
        </w:rPr>
        <w:t>7. 실제 유닛 로더</w:t>
      </w:r>
      <w:bookmarkEnd w:id="7"/>
      <w:r>
        <w:rPr>
          <w:rFonts w:ascii="Malgun Gothic" w:hAnsi="Malgun Gothic" w:eastAsia="Malgun Gothic" w:cs="Malgun Gothic"/>
          <w:color w:val="000000"/>
          <w:sz w:val="18"/>
        </w:rPr>
        <w:br/>
        <w:t>../../apps/backend/app/services/vacant_inventory.py</w:t>
      </w:r>
    </w:p>
    <w:p>
      <w:pPr>
        <w:spacing w:line="276" w:lineRule="auto"/>
      </w:pPr>
      <w:bookmarkStart w:id="8" w:name="source8"/>
      <w:r>
        <w:rPr>
          <w:rFonts w:ascii="Malgun Gothic" w:hAnsi="Malgun Gothic" w:eastAsia="Malgun Gothic" w:cs="Malgun Gothic"/>
          <w:b/>
          <w:color w:val="000000"/>
          <w:sz w:val="18"/>
        </w:rPr>
        <w:t>8. 공식 소스 조사</w:t>
      </w:r>
      <w:bookmarkEnd w:id="8"/>
      <w:r>
        <w:rPr>
          <w:rFonts w:ascii="Malgun Gothic" w:hAnsi="Malgun Gothic" w:eastAsia="Malgun Gothic" w:cs="Malgun Gothic"/>
          <w:color w:val="000000"/>
          <w:sz w:val="18"/>
        </w:rPr>
        <w:br/>
        <w:t>../finding-posting-unit-area-sources-2026-08-29.md</w:t>
      </w:r>
    </w:p>
    <w:p>
      <w:pPr>
        <w:spacing w:line="276" w:lineRule="auto"/>
      </w:pPr>
      <w:bookmarkStart w:id="9" w:name="source9"/>
      <w:r>
        <w:rPr>
          <w:rFonts w:ascii="Malgun Gothic" w:hAnsi="Malgun Gothic" w:eastAsia="Malgun Gothic" w:cs="Malgun Gothic"/>
          <w:b/>
          <w:color w:val="000000"/>
          <w:sz w:val="18"/>
        </w:rPr>
        <w:t>9. 적격성 계약</w:t>
      </w:r>
      <w:bookmarkEnd w:id="9"/>
      <w:r>
        <w:rPr>
          <w:rFonts w:ascii="Malgun Gothic" w:hAnsi="Malgun Gothic" w:eastAsia="Malgun Gothic" w:cs="Malgun Gothic"/>
          <w:color w:val="000000"/>
          <w:sz w:val="18"/>
        </w:rPr>
        <w:br/>
        <w:t>../../data/validation/posting_unit_area_sources.py</w:t>
      </w:r>
    </w:p>
    <w:p>
      <w:pPr>
        <w:spacing w:line="276" w:lineRule="auto"/>
      </w:pPr>
      <w:bookmarkStart w:id="10" w:name="source10"/>
      <w:r>
        <w:rPr>
          <w:rFonts w:ascii="Malgun Gothic" w:hAnsi="Malgun Gothic" w:eastAsia="Malgun Gothic" w:cs="Malgun Gothic"/>
          <w:b/>
          <w:color w:val="000000"/>
          <w:sz w:val="18"/>
        </w:rPr>
        <w:t>10. 층별 분할 프로브</w:t>
      </w:r>
      <w:bookmarkEnd w:id="10"/>
      <w:r>
        <w:rPr>
          <w:rFonts w:ascii="Malgun Gothic" w:hAnsi="Malgun Gothic" w:eastAsia="Malgun Gothic" w:cs="Malgun Gothic"/>
          <w:color w:val="000000"/>
          <w:sz w:val="18"/>
        </w:rPr>
        <w:br/>
        <w:t>../../reports/unit_floor_split_probe_2026-08-26.json</w:t>
      </w:r>
    </w:p>
    <w:p>
      <w:pPr>
        <w:spacing w:line="276" w:lineRule="auto"/>
      </w:pPr>
      <w:bookmarkStart w:id="11" w:name="source11"/>
      <w:r>
        <w:rPr>
          <w:rFonts w:ascii="Malgun Gothic" w:hAnsi="Malgun Gothic" w:eastAsia="Malgun Gothic" w:cs="Malgun Gothic"/>
          <w:b/>
          <w:color w:val="000000"/>
          <w:sz w:val="18"/>
        </w:rPr>
        <w:t>11. 집합건물 조사 보고서</w:t>
      </w:r>
      <w:bookmarkEnd w:id="11"/>
      <w:r>
        <w:rPr>
          <w:rFonts w:ascii="Malgun Gothic" w:hAnsi="Malgun Gothic" w:eastAsia="Malgun Gothic" w:cs="Malgun Gothic"/>
          <w:color w:val="000000"/>
          <w:sz w:val="18"/>
        </w:rPr>
        <w:br/>
        <w:t>../../reports/expos_pip_recovery_probe_2026-08-26.json</w:t>
      </w:r>
    </w:p>
    <w:p>
      <w:pPr>
        <w:spacing w:line="276" w:lineRule="auto"/>
      </w:pPr>
      <w:bookmarkStart w:id="12" w:name="source12"/>
      <w:r>
        <w:rPr>
          <w:rFonts w:ascii="Malgun Gothic" w:hAnsi="Malgun Gothic" w:eastAsia="Malgun Gothic" w:cs="Malgun Gothic"/>
          <w:b/>
          <w:color w:val="000000"/>
          <w:sz w:val="18"/>
        </w:rPr>
        <w:t>12. 보존 프로브</w:t>
      </w:r>
      <w:bookmarkEnd w:id="12"/>
      <w:r>
        <w:rPr>
          <w:rFonts w:ascii="Malgun Gothic" w:hAnsi="Malgun Gothic" w:eastAsia="Malgun Gothic" w:cs="Malgun Gothic"/>
          <w:color w:val="000000"/>
          <w:sz w:val="18"/>
        </w:rPr>
        <w:br/>
        <w:t>../../reports/posting_unit_area_flrno_probe_2026-09-06.json</w:t>
      </w:r>
    </w:p>
    <w:p>
      <w:pPr>
        <w:spacing w:line="276" w:lineRule="auto"/>
      </w:pPr>
      <w:bookmarkStart w:id="13" w:name="source13"/>
      <w:r>
        <w:rPr>
          <w:rFonts w:ascii="Malgun Gothic" w:hAnsi="Malgun Gothic" w:eastAsia="Malgun Gothic" w:cs="Malgun Gothic"/>
          <w:b/>
          <w:color w:val="000000"/>
          <w:sz w:val="18"/>
        </w:rPr>
        <w:t>13. 근거: POSTING-V01</w:t>
      </w:r>
      <w:bookmarkEnd w:id="13"/>
      <w:r>
        <w:rPr>
          <w:rFonts w:ascii="Malgun Gothic" w:hAnsi="Malgun Gothic" w:eastAsia="Malgun Gothic" w:cs="Malgun Gothic"/>
          <w:color w:val="000000"/>
          <w:sz w:val="18"/>
        </w:rPr>
        <w:br/>
        <w:t>evidence-index.md#update-20261018</w:t>
      </w:r>
    </w:p>
    <w:p>
      <w:pPr>
        <w:spacing w:line="276" w:lineRule="auto"/>
      </w:pPr>
      <w:bookmarkStart w:id="14" w:name="source14"/>
      <w:r>
        <w:rPr>
          <w:rFonts w:ascii="Malgun Gothic" w:hAnsi="Malgun Gothic" w:eastAsia="Malgun Gothic" w:cs="Malgun Gothic"/>
          <w:b/>
          <w:color w:val="000000"/>
          <w:sz w:val="18"/>
        </w:rPr>
        <w:t>14. 문헌 확인 범위</w:t>
      </w:r>
      <w:bookmarkEnd w:id="14"/>
      <w:r>
        <w:rPr>
          <w:rFonts w:ascii="Malgun Gothic" w:hAnsi="Malgun Gothic" w:eastAsia="Malgun Gothic" w:cs="Malgun Gothic"/>
          <w:color w:val="000000"/>
          <w:sz w:val="18"/>
        </w:rPr>
        <w:br/>
        <w:t>evidence-index.md#literature-q1-20261011</w:t>
      </w:r>
    </w:p>
    <w:p>
      <w:pPr>
        <w:spacing w:line="276" w:lineRule="auto"/>
      </w:pPr>
      <w:bookmarkStart w:id="15" w:name="source15"/>
      <w:r>
        <w:rPr>
          <w:rFonts w:ascii="Malgun Gothic" w:hAnsi="Malgun Gothic" w:eastAsia="Malgun Gothic" w:cs="Malgun Gothic"/>
          <w:b/>
          <w:color w:val="000000"/>
          <w:sz w:val="18"/>
        </w:rPr>
        <w:t>15. 집필·검수 기록</w:t>
      </w:r>
      <w:bookmarkEnd w:id="15"/>
      <w:r>
        <w:rPr>
          <w:rFonts w:ascii="Malgun Gothic" w:hAnsi="Malgun Gothic" w:eastAsia="Malgun Gothic" w:cs="Malgun Gothic"/>
          <w:color w:val="000000"/>
          <w:sz w:val="18"/>
        </w:rPr>
        <w:br/>
        <w:t>posting-program-writing-20260919.md</w:t>
      </w:r>
    </w:p>
    <w:sectPr w:rsidR="00FC693F" w:rsidRPr="0006063C" w:rsidSect="00034616">
      <w:footerReference w:type="default" r:id="rId9"/>
      <w:pgSz w:w="11906" w:h="16838"/>
      <w:pgMar w:top="1191"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algun Gothic">
    <w:embedRegular r:id="rIdPageRegular" w:fontKey="{AE0970E9-DCE4-4368-9AE5-B0044D281D03}"/>
    <w:embedBold r:id="rIdPageBold" w:fontKey="{E8CFCCEE-DF8C-418D-AE22-0F7455DC589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lgun Gothic" w:hAnsi="Malgun Gothic" w:eastAsia="Malgun Gothic" w:cs="Malgun Gothi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Malgun Gothic" w:hAnsi="Malgun Gothic" w:eastAsia="Malgun Gothic" w:cs="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Malgun Gothic" w:hAnsi="Malgun Gothic" w:eastAsia="Malgun Gothic" w:cs="Malgun Gothi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dss.2020.113453" TargetMode="External"/><Relationship Id="rId11" Type="http://schemas.openxmlformats.org/officeDocument/2006/relationships/hyperlink" Target="https://doi.org/10.1287/mnsc.44.4.462" TargetMode="External"/><Relationship Id="rId12" Type="http://schemas.openxmlformats.org/officeDocument/2006/relationships/hyperlink" Target="https://doi.org/10.1287/isre.1120.0444" TargetMode="External"/><Relationship Id="rId13" Type="http://schemas.openxmlformats.org/officeDocument/2006/relationships/hyperlink" Target="https://doi.org/10.1287/mnsc.1080.0932" TargetMode="External"/><Relationship Id="rId14" Type="http://schemas.openxmlformats.org/officeDocument/2006/relationships/hyperlink" Target="https://doi.org/10.1287/isre.1120.0453" TargetMode="External"/><Relationship Id="rId15" Type="http://schemas.openxmlformats.org/officeDocument/2006/relationships/hyperlink" Target="https://doi.org/10.1016/j.jbusres.2022.01.049" TargetMode="External"/><Relationship Id="rId16" Type="http://schemas.openxmlformats.org/officeDocument/2006/relationships/hyperlink" Target="https://doi.org/10.1287/isre.1080.0198" TargetMode="External"/><Relationship Id="rId17" Type="http://schemas.openxmlformats.org/officeDocument/2006/relationships/hyperlink" Target="https://doi.org/10.1016/j.jretconser.2023.103620" TargetMode="External"/><Relationship Id="rId18" Type="http://schemas.openxmlformats.org/officeDocument/2006/relationships/hyperlink" Target="https://doi.org/10.1016/j.dss.2018.10.007" TargetMode="External"/><Relationship Id="rId19" Type="http://schemas.openxmlformats.org/officeDocument/2006/relationships/hyperlink" Target="https://doi.org/10.1111/etap.12254" TargetMode="External"/><Relationship Id="rId20" Type="http://schemas.openxmlformats.org/officeDocument/2006/relationships/hyperlink" Target="https://doi.org/10.1016/j.eswa.2009.06.080" TargetMode="External"/><Relationship Id="rId21" Type="http://schemas.openxmlformats.org/officeDocument/2006/relationships/hyperlink" Target="https://doi.org/10.1287/mnsc.2024.06909" TargetMode="External"/><Relationship Id="rId22" Type="http://schemas.openxmlformats.org/officeDocument/2006/relationships/hyperlink" Target="https://doi.org/10.1287/mnsc.1040.0237" TargetMode="External"/><Relationship Id="rId23" Type="http://schemas.openxmlformats.org/officeDocument/2006/relationships/hyperlink" Target="https://doi.org/10.17705/1jais.00550" TargetMode="External"/><Relationship Id="rId24" Type="http://schemas.openxmlformats.org/officeDocument/2006/relationships/hyperlink" Target="https://doi.org/10.1111/isj.12206" TargetMode="External"/><Relationship Id="rId25" Type="http://schemas.openxmlformats.org/officeDocument/2006/relationships/hyperlink" Target="https://doi.org/10.1080/07421222.1996.11518099" TargetMode="External"/><Relationship Id="rId26" Type="http://schemas.openxmlformats.org/officeDocument/2006/relationships/hyperlink" Target="https://doi.org/10.1287/mnsc.2022.4359" TargetMode="External"/></Relationships>
</file>

<file path=word/_rels/fontTable.xml.rels><?xml version='1.0' encoding='UTF-8' standalone='yes'?>
<Relationships xmlns="http://schemas.openxmlformats.org/package/2006/relationships"><Relationship Id="rIdPageRegular" Type="http://schemas.openxmlformats.org/officeDocument/2006/relationships/font" Target="fonts/page-regular.odttf"/><Relationship Id="rIdPageBold" Type="http://schemas.openxmlformats.org/officeDocument/2006/relationships/font" Target="fonts/page-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공개 데이터 기반 상가 입점 회수기간 시나리오의 해상도 한계</dc:title>
  <dc:subject>PlaceOS Posting 연구</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