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거점 사전분포를 고려한 상권 그래프 신경망 업종 분류의 성능 한계</w:t>
      </w:r>
    </w:p>
    <w:p>
      <w:pPr>
        <w:pStyle w:val="Subtitle"/>
        <w:jc w:val="center"/>
      </w:pPr>
      <w:r>
        <w:t>PlaceOS Platform</w:t>
      </w:r>
    </w:p>
    <w:p>
      <w:pPr>
        <w:pStyle w:val="Heading1"/>
      </w:pPr>
      <w:r>
        <w:t>초록</w:t>
      </w:r>
    </w:p>
    <w:p>
      <w:r>
        <w:rPr>
          <w:rFonts w:ascii="Malgun Gothic" w:hAnsi="Malgun Gothic" w:eastAsia="Malgun Gothic" w:cs="Malgun Gothic"/>
          <w:b w:val="0"/>
          <w:i w:val="0"/>
          <w:color w:val="000000"/>
        </w:rPr>
        <w:t>공실을 창업·재창업 순환의 단절로 보고, 유동인구만으로 영업 유지가 설명되지 않는다는 현장 관찰에서 물리적 입지와 디지털 접근성의 관계를 연구 질문으로 삼았다. 본 논문은 그 질문의 준비 단계로 업종 복원 모델의 추가 정보와 검증 한계를 평가한다.</w:t>
      </w:r>
    </w:p>
    <w:p>
      <w:r>
        <w:rPr>
          <w:rFonts w:ascii="Malgun Gothic" w:hAnsi="Malgun Gothic" w:eastAsia="Malgun Gothic" w:cs="Malgun Gothic"/>
          <w:b w:val="0"/>
          <w:i w:val="0"/>
          <w:color w:val="000000"/>
        </w:rPr>
        <w:t xml:space="preserve">상권의 기존 업종 분포가 편중되어 있으면, 높은 업종 분류 정확도가 개별 입지에 대한 추가 정보를 뜻하지 않을 수 있다. 본 연구는 PlaceOS의 상권 그래프 신경망(GNN) 업종 복원 기록을 대상으로, 점포의 업종을 가리고 입지·건물·주변 구조로 복원하는 모형이 '거점 사전분포'(해당 거점에서 흔한 업종을 그대로 제시하는 기준선)보다 얼마나 더 많은 정보를 담는지 평가한다. 기준선이 정의상 맞힐 수 없는 부분집합(off-prior)과 같은 노드를 짝지은 쌍대 비교(McNemar)를 보조 도구로 사용한다. 역사적 서빙본(조건 A)의 Top-3 정확도는 91.7%였으나 거점 사전분포도 89.4%였다. 별도의 실험 모집단(조건 B)에서는 이웃 업종 피처, 조기종료 기준, 시간대별 생활인구 피처가 off-prior 성능의 뚜렷한 개선을 보여주지 않았다. 세분 라벨 과제(조건 C)의 동일 노드 쌍대 비교에서도 대조군과 집계구 피처군의 차이는 +0.03%p(p=1.0)였다. 이 결과는 검토한 설정에서 추가 이득이 제한적이었음을 보여줄 뿐 효과의 부재나 업종 추천 과제 전체의 이론적 상한을 증명하지 않는다. 추가 수집은 표본 수율과 근사 검출 경계를 사전에 대조한 뒤 보류했다. 81거점으로 재학습한 현행 조건 F에서는 같은 시험 집합의 Top-3가 모델 92.03%, 거점 사전분포 88.40%였고 차이의 거점 군집 부트스트랩 구간은 [+3.00, +4.25]%p였다. 이는 앞선 실험과 모집단이 다른 업종 복원 이득이며 창업 성과나 디지털 접근성의 효과 검증이 아니다. 본 연구의 기여는 높은 정확도를 기준선 대비 정보로 읽는 보고 절차, 그리고 음성 결과·검정력·데이터 판본을 함께 공개하는 방식을 하나의 사례로 제시하는 데 있다. </w:t>
      </w:r>
      <w:hyperlink w:anchor="source1">
        <w:r>
          <w:rPr>
            <w:rFonts w:ascii="Malgun Gothic" w:hAnsi="Malgun Gothic" w:eastAsia="Malgun Gothic" w:cs="Malgun Gothic"/>
            <w:color w:val="333333"/>
            <w:sz w:val="17"/>
          </w:rPr>
          <w:t>근거: PLATFORM-U01–U05 [자료 1]</w:t>
        </w:r>
      </w:hyperlink>
    </w:p>
    <w:p>
      <w:r>
        <w:rPr>
          <w:rFonts w:ascii="Malgun Gothic" w:hAnsi="Malgun Gothic" w:eastAsia="Malgun Gothic" w:cs="Malgun Gothic"/>
          <w:b w:val="0"/>
          <w:i w:val="0"/>
          <w:color w:val="000000"/>
        </w:rPr>
        <w:t xml:space="preserve">후속 세부 업종 과제(조건 H)에서는 층 정보를 추가했을 때 시드 평균 Top-3가 52.8%에서 55.9%로 변했고, 대조 대비 차이는 +3.1 [+2.5, +3.7]%p였다. 업종별 개선과 악화가 함께 나타났으며, 이는 현존 점포의 업종 복원 결과로 실제 창업 성과·미관측 거점 일반화·추천 활성화를 검증하지 않았다. 역사적 음성 결과를 과제 전체의 성능 상한으로 일반화하지 않아야 한다. </w:t>
      </w:r>
      <w:hyperlink w:anchor="source2">
        <w:r>
          <w:rPr>
            <w:rFonts w:ascii="Malgun Gothic" w:hAnsi="Malgun Gothic" w:eastAsia="Malgun Gothic" w:cs="Malgun Gothic"/>
            <w:color w:val="333333"/>
            <w:sz w:val="17"/>
          </w:rPr>
          <w:t>후속 근거: PLATFORM-V01–V04 [자료 2]</w:t>
        </w:r>
      </w:hyperlink>
    </w:p>
    <w:p>
      <w:r>
        <w:rPr>
          <w:rFonts w:ascii="Malgun Gothic" w:hAnsi="Malgun Gothic" w:eastAsia="Malgun Gothic" w:cs="Malgun Gothic"/>
          <w:b/>
          <w:i w:val="0"/>
          <w:color w:val="000000"/>
        </w:rPr>
        <w:t>주제어:</w:t>
      </w:r>
      <w:r>
        <w:rPr>
          <w:rFonts w:ascii="Malgun Gothic" w:hAnsi="Malgun Gothic" w:eastAsia="Malgun Gothic" w:cs="Malgun Gothic"/>
          <w:b w:val="0"/>
          <w:i w:val="0"/>
          <w:color w:val="000000"/>
        </w:rPr>
        <w:t xml:space="preserve"> 상권 분석, 그래프 신경망, 업종 분류, 기준선, 쌍대 평가, 검정력, 디지털 접근성</w:t>
      </w:r>
    </w:p>
    <w:p>
      <w:pPr>
        <w:pStyle w:val="Heading1"/>
      </w:pPr>
      <w:r>
        <w:t>1 서론</w:t>
      </w:r>
    </w:p>
    <w:p>
      <w:pPr>
        <w:pStyle w:val="Heading2"/>
      </w:pPr>
      <w:r>
        <w:t>1.1 연구 동기와 질문</w:t>
      </w:r>
    </w:p>
    <w:p>
      <w:r>
        <w:rPr>
          <w:rFonts w:ascii="Malgun Gothic" w:hAnsi="Malgun Gothic" w:eastAsia="Malgun Gothic" w:cs="Malgun Gothic"/>
          <w:b w:val="0"/>
          <w:i w:val="0"/>
          <w:color w:val="000000"/>
        </w:rPr>
        <w:t xml:space="preserve">본 연구는 ‘공실은 창업과 재창업의 사이클이 끊긴, 일종의 동맥경화다’라는 문제의식에서 출발했다. 이 표현은 빈 공간의 비율을 넘어, 폐업 뒤 새로운 사업자가 진입하는 순환이 막힌 상태를 가리키는 은유다. 연구자는 공실 현장 조사에서 유동인구가 많은 지역에서도 폐업이 나타나는 반면, 유동인구가 적은 지역에서는 배달 등을 통해 영업이 유지되는 사례를 관찰했다고 보고했다. 이 관찰은 연구 동기이며, 비교 표본과 관측 기간이 명세된 생존 분석 결과는 아니다. </w:t>
      </w:r>
      <w:hyperlink w:anchor="source1">
        <w:r>
          <w:rPr>
            <w:rFonts w:ascii="Malgun Gothic" w:hAnsi="Malgun Gothic" w:eastAsia="Malgun Gothic" w:cs="Malgun Gothic"/>
            <w:color w:val="333333"/>
            <w:sz w:val="17"/>
          </w:rPr>
          <w:t>연구 동기의 출처와 검증 범위 [자료 1]</w:t>
        </w:r>
      </w:hyperlink>
    </w:p>
    <w:p>
      <w:r>
        <w:rPr>
          <w:rFonts w:ascii="Malgun Gothic" w:hAnsi="Malgun Gothic" w:eastAsia="Malgun Gothic" w:cs="Malgun Gothic"/>
          <w:b w:val="0"/>
          <w:i w:val="0"/>
          <w:color w:val="000000"/>
        </w:rPr>
        <w:t>이 관찰은 ‘현재 상권에서는 물리적 입지보다 디지털 접근성이나 IT/SNS/AI 검색이 오프라인 영업에 더 큰 영향을 줄 수 있는가’라는 질문으로 이어졌다. 이 질문은 정보시스템(IS) 문헌이 다루어 온 문제와 맞닿아 있다. Forman 등(2009)은 지역에 오프라인 매장이 문을 열면 소비자가 온라인 구매에서 이탈한다고 보고했고, Ghose 등(2013)은 모바일 인터넷에서 사용자의 집 가까이에 있는 매장이 더 자주 클릭된다고 보고했다. Zhang과 Luo(2023)는 소비자가 게시한 사진이 리뷰·업체 특성·경쟁 환경을 통제한 뒤에도 식당 생존을 예측하며, 사진은 최대 3년, 리뷰는 1년까지 예측력을 가진다고 보였다. 이 연구들은 디지털 신호와 오프라인 성과의 연결이 지역과 채널 조건에 따라 달라짐을 보여주지만, 공실이 창업으로 이어지지 못하는 순환의 단절을 직접 다루지는 않는다. 따라서 디지털 접근성과 물리적 입지의 상대적 영향은 본 연구에서 미검증 가설로 남는다. 유동인구 피처의 비유의 결과를 디지털 접근성의 우월성으로 해석하지 않는다.</w:t>
      </w:r>
    </w:p>
    <w:p>
      <w:r>
        <w:rPr>
          <w:rFonts w:ascii="Malgun Gothic" w:hAnsi="Malgun Gothic" w:eastAsia="Malgun Gothic" w:cs="Malgun Gothic"/>
          <w:b w:val="0"/>
          <w:i w:val="0"/>
          <w:color w:val="000000"/>
        </w:rPr>
        <w:t xml:space="preserve">PlaceOS는 오프라인 상권을 디지털화하여 창업가가 공간·상권 맥락·비용·검증 활동을 함께 검토하는 의사결정 환경으로 상권을 새롭게 정의했다. PPPP에서 Place는 Platform, Product는 Page, Price는 Posting, Promotion은 Program에 대응한다. 여기서 Platform은 거래를 중개하는 디지털 플랫폼이 아니라, 하나의 상권을 SNS·디지털 관점에서 읽는 분석 단위를 가리킨다. IS 문헌은 디지털 플랫폼 연구에서 분석 단위와 디지털화의 정도를 명시해 개념의 혼선을 피하라고 요구해 왔으므로(de Reuver 등, 2018), 본 논문은 이 용어를 업종 맥락을 읽는 작업적 정의로만 사용한다. </w:t>
      </w:r>
      <w:hyperlink w:anchor="source1">
        <w:r>
          <w:rPr>
            <w:rFonts w:ascii="Malgun Gothic" w:hAnsi="Malgun Gothic" w:eastAsia="Malgun Gothic" w:cs="Malgun Gothic"/>
            <w:color w:val="333333"/>
            <w:sz w:val="17"/>
          </w:rPr>
          <w:t>기능 대응과 현행 범위 [자료 1]</w:t>
        </w:r>
      </w:hyperlink>
    </w:p>
    <w:p>
      <w:r>
        <w:rPr>
          <w:rFonts w:ascii="Malgun Gothic" w:hAnsi="Malgun Gothic" w:eastAsia="Malgun Gothic" w:cs="Malgun Gothic"/>
          <w:b w:val="0"/>
          <w:i w:val="0"/>
          <w:color w:val="000000"/>
        </w:rPr>
        <w:t>상업용 공실의 활용을 검토할 때 ‘이 자리에 어떤 업종을 둘 것인가’는 중요한 질문이다. 기존 점포의 업종을 가리고 위치와 주변 구조로 복원하는 노드 분류는 이 질문을 계산 가능한 과제로 바꾸는 방법이다. 그러나 현재 존재하는 업종을 잘 복원하는 능력은 신규 입점자의 매출이나 생존 가능성과 같지 않다. 관측된 입점 분포에는 수요뿐 아니라 임대료, 규제, 과거의 경쟁과 생존 선택도 반영되어 있다.</w:t>
      </w:r>
    </w:p>
    <w:p>
      <w:pPr>
        <w:pStyle w:val="Heading2"/>
      </w:pPr>
      <w:r>
        <w:t>1.2 연구의 공백과 접근</w:t>
      </w:r>
    </w:p>
    <w:p>
      <w:r>
        <w:rPr>
          <w:rFonts w:ascii="Malgun Gothic" w:hAnsi="Malgun Gothic" w:eastAsia="Malgun Gothic" w:cs="Malgun Gothic"/>
          <w:b w:val="0"/>
          <w:i w:val="0"/>
          <w:color w:val="000000"/>
        </w:rPr>
        <w:t>입지·업종 추천 연구는 대체로 모형 간 성능 비교를 보고한다. 그러나 한 상권 안에서는 업종 분포가 이미 크게 편중되어 있어서, ‘그 거점에서 흔한 업종을 제시하는’ 단순한 규칙이 높은 정확도를 낼 수 있다. 이 경우 모형의 정확도는 입지별 추가 정보가 아니라 거점의 사전분포를 반영할 뿐일 수 있다. 추천시스템 연구에서는 약하거나 충분히 최적화되지 않은 기준선이 진전을 과대평가한다는 점검이 이어져 왔고(Ferrari Dacrema 등, 2021), IS 연구에서는 설명력이나 높은 적합이 예측력을 보장하지 않으므로 예측 가능성 자체를 평가해야 한다는 주장이 있다(Shmueli와 Koppius, 2011). 본 연구는 이 두 문제의식을 상권 업종 복원에 적용한다.</w:t>
      </w:r>
    </w:p>
    <w:p>
      <w:r>
        <w:rPr>
          <w:rFonts w:ascii="Malgun Gothic" w:hAnsi="Malgun Gothic" w:eastAsia="Malgun Gothic" w:cs="Malgun Gothic"/>
          <w:b w:val="0"/>
          <w:i w:val="0"/>
          <w:color w:val="000000"/>
        </w:rPr>
        <w:t>구체적으로 (i) 정확도를 거점 사전분포 기준선과의 차이로 읽고, (ii) 기준선이 정의상 실패하는 부분집합(off-prior)을 별도로 보며, (iii) 같은 노드의 적중 여부를 짝지은 쌍대 비교로 피처군의 차이를 판정하고, (iv) 추가 수집이 그 차이를 가를 수 있는지를 수집 전에 계산한다. 분석은 보존된 개발 실험을 사후 정리한 것이며 사전등록 실험이나 새로운 학습 실행의 보고가 아니다.</w:t>
      </w:r>
    </w:p>
    <w:p>
      <w:pPr>
        <w:pStyle w:val="Heading2"/>
      </w:pPr>
      <w:r>
        <w:t>1.3 연구질문 RQ와 가설</w:t>
      </w:r>
    </w:p>
    <w:p>
      <w:r>
        <w:rPr>
          <w:rFonts w:ascii="Malgun Gothic" w:hAnsi="Malgun Gothic" w:eastAsia="Malgun Gothic" w:cs="Malgun Gothic"/>
          <w:b w:val="0"/>
          <w:i w:val="0"/>
          <w:color w:val="000000"/>
        </w:rPr>
        <w:t>아래 가설은 보존된 결과를 연구질문에 연결하기 위해 사후에 명시한 것이다. 실험 전에 등록한 가설이나 새로운 확인 실험으로 제시하지 않는다. H1은 관측 성능의 방향, H2는 같은 노드에서의 비교, H3은 아직 실행하지 않은 외부 성과 연구를 대상으로 한다.</w:t>
      </w:r>
    </w:p>
    <w:p>
      <w:r>
        <w:rPr>
          <w:rFonts w:ascii="Malgun Gothic" w:hAnsi="Malgun Gothic" w:eastAsia="Malgun Gothic" w:cs="Malgun Gothic"/>
          <w:b/>
          <w:i w:val="0"/>
          <w:color w:val="000000"/>
        </w:rPr>
        <w:t>RQ1. 높은 업종 분류 정확도는 거점 사전분포 기준선보다 추가적인 예측 정보를 제공하는가?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H1:</w:t>
      </w:r>
      <w:r>
        <w:rPr>
          <w:rFonts w:ascii="Malgun Gothic" w:hAnsi="Malgun Gothic" w:eastAsia="Malgun Gothic" w:cs="Malgun Gothic"/>
          <w:b w:val="0"/>
          <w:i w:val="0"/>
          <w:color w:val="000000"/>
        </w:rPr>
        <w:t xml:space="preserve"> 조건 A에서 GNN의 Top-1과 Top-3가 각각 대응하는 거점 사전분포 기준선보다 높다. 검증 변수는 동일 조건의 정확도이며, off-prior 성능은 기준선이 실패하는 부분집합을 설명하는 보조 지표다. 이 가설은 관측된 차이의 방향을 확인하는 것으로, 구조의 인과 효과나 모집단에서의 유의한 우월성을 뜻하지 않는다.</w:t>
      </w:r>
    </w:p>
    <w:p>
      <w:r>
        <w:rPr>
          <w:rFonts w:ascii="Malgun Gothic" w:hAnsi="Malgun Gothic" w:eastAsia="Malgun Gothic" w:cs="Malgun Gothic"/>
          <w:b/>
          <w:i w:val="0"/>
          <w:color w:val="000000"/>
        </w:rPr>
        <w:t>RQ2. 세분 업종 과제에서 집계구 피처 추가는 대조군보다 off-prior 분류를 개선하는가?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H2:</w:t>
      </w:r>
      <w:r>
        <w:rPr>
          <w:rFonts w:ascii="Malgun Gothic" w:hAnsi="Malgun Gothic" w:eastAsia="Malgun Gothic" w:cs="Malgun Gothic"/>
          <w:b w:val="0"/>
          <w:i w:val="0"/>
          <w:color w:val="000000"/>
        </w:rPr>
        <w:t xml:space="preserve"> 조건 C의 jipgyegu_115가 control_105보다 off-prior Top-3에서 우월하다. 동일 노드의 적중 여부를 짝지어 비교하며, 귀무가설 H0는 두 방향의 불일치 확률이 같다는 것이다. 보존된 양측 McNemar 검정의 유의수준 0.05와 차이의 방향을 함께 사용한다. 사후적으로 단측 검정으로 바꾸거나 다른 라벨 과제의 표본을 합치지 않는다.</w:t>
      </w:r>
    </w:p>
    <w:p>
      <w:r>
        <w:rPr>
          <w:rFonts w:ascii="Malgun Gothic" w:hAnsi="Malgun Gothic" w:eastAsia="Malgun Gothic" w:cs="Malgun Gothic"/>
          <w:b/>
          <w:i w:val="0"/>
          <w:color w:val="000000"/>
        </w:rPr>
        <w:t>RQ3. 기존 점포 업종 복원에서 관측한 이득이 실제 입점 의사결정 성과로 이어지는가?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H3:</w:t>
      </w:r>
      <w:r>
        <w:rPr>
          <w:rFonts w:ascii="Malgun Gothic" w:hAnsi="Malgun Gothic" w:eastAsia="Malgun Gothic" w:cs="Malgun Gothic"/>
          <w:b w:val="0"/>
          <w:i w:val="0"/>
          <w:color w:val="000000"/>
        </w:rPr>
        <w:t xml:space="preserve"> GNN 추천을 이용한 의사결정은 거점 사전분포 추천을 이용한 의사결정보다 실제 입점 성과를 개선한다. 이 가설은 후속 검증 대상이며, 현재 분류 실험으로 판정하지 않는다. 실제 검증에는 매출·생존 등 주성과지표와 관측 기간을 사전에 정하고, 두 의사결정 방식의 비교 가능성을 확보한 외부 성과 자료가 필요하다.</w:t>
      </w:r>
    </w:p>
    <w:p>
      <w:pPr>
        <w:pStyle w:val="Heading2"/>
      </w:pPr>
      <w:r>
        <w:t>1.4 연구의 기여</w:t>
      </w:r>
    </w:p>
    <w:p>
      <w:r>
        <w:rPr>
          <w:rFonts w:ascii="Malgun Gothic" w:hAnsi="Malgun Gothic" w:eastAsia="Malgun Gothic" w:cs="Malgun Gothic"/>
          <w:b w:val="0"/>
          <w:i w:val="0"/>
          <w:color w:val="000000"/>
        </w:rPr>
        <w:t>첫째, 높은 정확도를 거점 사전분포 대비 추가 정보로 읽는 보고 절차(전체 성능, off-prior, 쌍대 비교)를 하나의 사례로 제시한다. 둘째, 이웃 업종 분포·조기종료 기준·시간대 피처가 개선하지 못한 기록과 그 해석 범위를 지우지 않고 남긴다. 셋째, 추가 수집의 표본 수율과 근사 검출 경계를 수집 전에 계산해 수집을 보류한 판단 과정을 보고한다. 넷째, 역사적 실험과 현행 재학습의 모집단을 분리해 기록한다. off-prior를 새로운 보편 지표로 제안하거나 구조적 기여의 인과 추정치로 해석하지 않는다.</w:t>
      </w:r>
    </w:p>
    <w:p>
      <w:pPr>
        <w:pStyle w:val="Heading1"/>
      </w:pPr>
      <w:r>
        <w:t>2 관련 연구</w:t>
      </w:r>
    </w:p>
    <w:p>
      <w:pPr>
        <w:pStyle w:val="Heading2"/>
      </w:pPr>
      <w:r>
        <w:t>2.1 입지·업종 추천과 도시 데이터</w:t>
      </w:r>
    </w:p>
    <w:p>
      <w:r>
        <w:rPr>
          <w:rFonts w:ascii="Malgun Gothic" w:hAnsi="Malgun Gothic" w:eastAsia="Malgun Gothic" w:cs="Malgun Gothic"/>
          <w:b w:val="0"/>
          <w:i w:val="0"/>
          <w:color w:val="000000"/>
        </w:rPr>
        <w:t>도시에서 생성되는 데이터를 수집·분석해 서비스로 되돌리는 도시 컴퓨팅(urban computing)은 도시 계획과 경제 등 여러 응용을 포괄하는 분야로 정리되어 왔다(Zheng 등, 2014). 그 안에서 점포 입지·업종 추천은 체인점이나 소셜 미디어·위치 기반 서비스 자료를 이용해 후보 지점의 적합성이나 인기를 예측하는 문제로 다루어졌다. Yu 등(2016)은 주어진 위치에 가장 알맞은 점포 유형을 추천하되 서빙하는 고객 수를 극대화하는 목표를 두고, 위치 특성과 이웃 점포 관계를 피처로 사용했다. Guo 등(2018)은 데이터가 부족한 새 도시에서의 체인점 입지를 다른 도시와 유사 기업의 지식을 옮겨 추천하는 CityTransfer를 제안했고, Liu 등(2021)은 라벨이 없는 목표 도시로 지식을 전이하는 적대적 학습과 전이 가능성 가중 방식을 제안했다. 공간 상호작용을 반영하기 위해 그래프 합성곱 신경망(GCN; Kipf와 Welling, 2017)을 입지 선정에 적용한 사례도 있다. Lan 등(2022)은 대중교통망 기반 그래프로 싱가포르의 점포 입지 매력도를 예측해, 지역 지리 특성만 쓰는 경쟁 방법보다 우수함을 보고했다.</w:t>
      </w:r>
    </w:p>
    <w:p>
      <w:r>
        <w:rPr>
          <w:rFonts w:ascii="Malgun Gothic" w:hAnsi="Malgun Gothic" w:eastAsia="Malgun Gothic" w:cs="Malgun Gothic"/>
          <w:b w:val="0"/>
          <w:i w:val="0"/>
          <w:color w:val="000000"/>
        </w:rPr>
        <w:t>이 연구들은 대체로 점포 입지의 ‘적합성’이나 ‘인기’를 목표로 하며 체인 기업 자료나 이용자 자료를 쓴다. 본 연구의 과제는 이와 다르다. 기존 점포의 업종을 가린 뒤 복원하는 분류이며, 신규 점포의 성과 라벨이 없다. 따라서 이 논문의 결과를 입점 성공 예측으로 읽지 않고, 관련 연구의 성능과 직접 비교하지도 않는다.</w:t>
      </w:r>
    </w:p>
    <w:p>
      <w:pPr>
        <w:pStyle w:val="Heading2"/>
      </w:pPr>
      <w:r>
        <w:t>2.2 예측 성능의 해석: 기준선, 예측 가능성, 누수</w:t>
      </w:r>
    </w:p>
    <w:p>
      <w:r>
        <w:rPr>
          <w:rFonts w:ascii="Malgun Gothic" w:hAnsi="Malgun Gothic" w:eastAsia="Malgun Gothic" w:cs="Malgun Gothic"/>
          <w:b w:val="0"/>
          <w:i w:val="0"/>
          <w:color w:val="000000"/>
        </w:rPr>
        <w:t>Shmueli와 Koppius(2011)는 예측 분석이 IS 연구에서 하는 역할을 이론 생성, 측정 개발, 경쟁 이론의 비교, 기존 모형의 개선, 관련성 평가, 현상의 예측 가능성 평가 여섯 가지로 정리하고, 설명력이 예측력을 함의하지 않는다고 지적한다. 본 연구에서 말하는 ‘성능 한계’는 마지막 역할, 곧 업종 복원이라는 현상이 이 정보 집합에서 얼마나 예측 가능한가에 대한 경험적 평가에 가깝다.</w:t>
      </w:r>
    </w:p>
    <w:p>
      <w:r>
        <w:rPr>
          <w:rFonts w:ascii="Malgun Gothic" w:hAnsi="Malgun Gothic" w:eastAsia="Malgun Gothic" w:cs="Malgun Gothic"/>
          <w:b w:val="0"/>
          <w:i w:val="0"/>
          <w:color w:val="000000"/>
        </w:rPr>
        <w:t>Ferrari Dacrema 등(2021)은 학회에 발표된 재현 가능한 신경망 추천 방법 12개 가운데 11개가 최근접 이웃이나 선형 모형 같은 개념적으로 단순한 방법에 뒤질 수 있음을 보이며, 기준선의 선택과 최적화가 보고된 진전을 좌우함을 지적했다. 거점 사전분포는 본 연구의 ‘단순한 방법’이다. Kaufman 등(2012)은 학습·예측의 분리와 누수(leakage)의 점검을 제시하며, 표본이 독립동일분포라는 가정이 깨지는 사례도 누수의 범주로 다룬다. Shchur 등(2018)은 그래프 신경망 평가에서 분할과 학습 절차가 모델 비교를 왜곡할 수 있음을 보였다. 본 연구는 이러한 점검을 대규모 벤치마크가 아니라 하나의 현업 데이터셋의 보고 절차에 적용한다.</w:t>
      </w:r>
    </w:p>
    <w:p>
      <w:pPr>
        <w:pStyle w:val="Heading2"/>
      </w:pPr>
      <w:r>
        <w:t>2.3 통계적 해석: 검정력과 표본 규모</w:t>
      </w:r>
    </w:p>
    <w:p>
      <w:r>
        <w:rPr>
          <w:rFonts w:ascii="Malgun Gothic" w:hAnsi="Malgun Gothic" w:eastAsia="Malgun Gothic" w:cs="Malgun Gothic"/>
          <w:b w:val="0"/>
          <w:i w:val="0"/>
          <w:color w:val="000000"/>
        </w:rPr>
        <w:t>Baroudi와 Orlikowski(1989)는 MIS 연구가 대체로 낮은 통계적 검정력을 갖고 있어 실제 현상을 놓칠 확률이 높음을 보이고, 표본 확대 외에도 검정력을 높일 방법이 있음을 제시했다. 반대로 Lin 등(2013)은 표본이 매우 클 때 p값이 쉽게 0에 가까워져 실용적 의미가 없는 결과를 지지하게 되는 문제를 지적하며, p값에만 의존하지 않도록 완화 조치를 취할 것을 권고한다. 본 연구는 두 문제를 모두 마주한다. 표본이 작을 때의 ‘가르지 못함’(검정력 문제)과 표본이 클 때의 ‘유의하지만 작음’(실용적 의미 문제)을 구별하기 위해 조건 C에서는 쌍대 차이와 p값을, 조건 F에서는 차이의 구간을 함께 보고한다. 같은 시험 집합에서 한 번만 학습한 두 분류기의 비교에는 McNemar 검정이 제1종 오류가 낮은 검정으로 보고되어 왔다(Dietterich, 1998).</w:t>
      </w:r>
    </w:p>
    <w:p>
      <w:pPr>
        <w:pStyle w:val="Heading2"/>
      </w:pPr>
      <w:r>
        <w:t>2.4 디지털 신호, 생존, 감성 정보</w:t>
      </w:r>
    </w:p>
    <w:p>
      <w:r>
        <w:rPr>
          <w:rFonts w:ascii="Malgun Gothic" w:hAnsi="Malgun Gothic" w:eastAsia="Malgun Gothic" w:cs="Malgun Gothic"/>
          <w:b w:val="0"/>
          <w:i w:val="0"/>
          <w:color w:val="000000"/>
        </w:rPr>
        <w:t>Zhang과 Luo(2023)는 생존 시점이 관측되는 식당 자료에서 사진과 리뷰의 예측력을 비교했고, Li 등(2023)은 리뷰의 측면 기반 감성이 전체 감성보다 식당 생존 예측을 개선함을 보고했다. Kumar 등(2018)은 온라인 응답이 이웃 업소의 성과에까지 번지며 그 정도가 직접 경쟁 여부에 따라 달라짐을 보였다. 반면 Luca와 Zervas(2016)는 Yelp 식당 리뷰의 상당 부분이 필터링되는 의심 리뷰이고 경쟁이 강할수록 불리한 가짜 리뷰를 받을 가능성이 커진다고 보고해, 리뷰 기반 신호의 신뢰 문제를 환기한다. 이 연구들은 리뷰 원문이나 사진에 접근할 수 있고 생존 라벨이 있는 환경이다. PlaceOS는 접근 가능한 검색 스니펫과 기존 점포의 업종만 가지므로, 감성 경로의 기각은 접근 가능한 자료의 한계이지 감성 정보 자체의 반증이 아니다.</w:t>
      </w:r>
    </w:p>
    <w:p>
      <w:pPr>
        <w:pStyle w:val="Heading2"/>
      </w:pPr>
      <w:r>
        <w:t>2.5 본 연구의 위치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9"/>
        <w:gridCol w:w="1732"/>
        <w:gridCol w:w="5580"/>
      </w:tblGrid>
      <w:tr>
        <w:trPr>
          <w:cantSplit/>
          <w:tblHeader/>
        </w:trPr>
        <w:tc>
          <w:tcPr>
            <w:tcW w:type="dxa" w:w="2099"/>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문헌</w:t>
            </w:r>
          </w:p>
        </w:tc>
        <w:tc>
          <w:tcPr>
            <w:tcW w:type="dxa" w:w="1732"/>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게재지</w:t>
            </w:r>
          </w:p>
        </w:tc>
        <w:tc>
          <w:tcPr>
            <w:tcW w:type="dxa" w:w="5580"/>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확인한 핵심과 본 연구와의 관계</w:t>
            </w:r>
          </w:p>
        </w:tc>
      </w:tr>
      <w:tr>
        <w:trPr>
          <w:cantSplit/>
        </w:trPr>
        <w:tc>
          <w:tcPr>
            <w:tcW w:type="dxa" w:w="2099"/>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Guo 등(2018), Liu 등(2021)</w:t>
            </w:r>
          </w:p>
        </w:tc>
        <w:tc>
          <w:tcPr>
            <w:tcW w:type="dxa" w:w="1732"/>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IMWUT, ACM TKDD</w:t>
            </w:r>
          </w:p>
        </w:tc>
        <w:tc>
          <w:tcPr>
            <w:tcW w:type="dxa" w:w="558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체인점 입지 추천의 도시 간 전이. 본 연구는 전이가 아니라 서울 내 업종 복원이며 기준선 대비 이득을 묻는다</w:t>
            </w:r>
          </w:p>
        </w:tc>
      </w:tr>
      <w:tr>
        <w:trPr>
          <w:cantSplit/>
        </w:trPr>
        <w:tc>
          <w:tcPr>
            <w:tcW w:type="dxa" w:w="2099"/>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Yu 등(2016)</w:t>
            </w:r>
          </w:p>
        </w:tc>
        <w:tc>
          <w:tcPr>
            <w:tcW w:type="dxa" w:w="1732"/>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ACM TKDD</w:t>
            </w:r>
          </w:p>
        </w:tc>
        <w:tc>
          <w:tcPr>
            <w:tcW w:type="dxa" w:w="558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위치별 점포 유형 추천. 목표가 고객 수 극대화이며 라벨·자료가 다르다</w:t>
            </w:r>
          </w:p>
        </w:tc>
      </w:tr>
      <w:tr>
        <w:trPr>
          <w:cantSplit/>
        </w:trPr>
        <w:tc>
          <w:tcPr>
            <w:tcW w:type="dxa" w:w="2099"/>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Lan 등(2022)</w:t>
            </w:r>
          </w:p>
        </w:tc>
        <w:tc>
          <w:tcPr>
            <w:tcW w:type="dxa" w:w="1732"/>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Remote Sensing</w:t>
            </w:r>
          </w:p>
        </w:tc>
        <w:tc>
          <w:tcPr>
            <w:tcW w:type="dxa" w:w="558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GCN 입지 선정. 로컬 피처 대비 이득을 보고하나 거점 사전분포 대비 이득은 확인하지 않았다</w:t>
            </w:r>
          </w:p>
        </w:tc>
      </w:tr>
      <w:tr>
        <w:trPr>
          <w:cantSplit/>
        </w:trPr>
        <w:tc>
          <w:tcPr>
            <w:tcW w:type="dxa" w:w="2099"/>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Ferrari Dacrema 등(2021)</w:t>
            </w:r>
          </w:p>
        </w:tc>
        <w:tc>
          <w:tcPr>
            <w:tcW w:type="dxa" w:w="1732"/>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ACM TOIS</w:t>
            </w:r>
          </w:p>
        </w:tc>
        <w:tc>
          <w:tcPr>
            <w:tcW w:type="dxa" w:w="558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약한 기준선이 진전을 과대평가한다는 점검. 본 연구는 같은 문제의식을 업종 복원에 적용한다</w:t>
            </w:r>
          </w:p>
        </w:tc>
      </w:tr>
      <w:tr>
        <w:trPr>
          <w:cantSplit/>
        </w:trPr>
        <w:tc>
          <w:tcPr>
            <w:tcW w:type="dxa" w:w="2099"/>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Shmueli와 Koppius(2011)</w:t>
            </w:r>
          </w:p>
        </w:tc>
        <w:tc>
          <w:tcPr>
            <w:tcW w:type="dxa" w:w="1732"/>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MIS Quarterly</w:t>
            </w:r>
          </w:p>
        </w:tc>
        <w:tc>
          <w:tcPr>
            <w:tcW w:type="dxa" w:w="558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예측 가능성 평가의 역할. ‘성능 한계’를 예측 가능성의 경험적 평가로 위치시킨다</w:t>
            </w:r>
          </w:p>
        </w:tc>
      </w:tr>
      <w:tr>
        <w:trPr>
          <w:cantSplit/>
        </w:trPr>
        <w:tc>
          <w:tcPr>
            <w:tcW w:type="dxa" w:w="2099"/>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Zhang과 Luo(2023), Li 등(2023)</w:t>
            </w:r>
          </w:p>
        </w:tc>
        <w:tc>
          <w:tcPr>
            <w:tcW w:type="dxa" w:w="1732"/>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Management Science, Tourism Management</w:t>
            </w:r>
          </w:p>
        </w:tc>
        <w:tc>
          <w:tcPr>
            <w:tcW w:type="dxa" w:w="558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생존 라벨이 있는 디지털 신호 연구. H3의 외부 성과 설계 선례이며 본 연구에는 해당 라벨이 없다</w:t>
            </w:r>
          </w:p>
        </w:tc>
      </w:tr>
    </w:tbl>
    <w:p>
      <w:pPr>
        <w:spacing w:after="0"/>
      </w:pPr>
    </w:p>
    <w:p>
      <w:r>
        <w:rPr>
          <w:rFonts w:ascii="Malgun Gothic" w:hAnsi="Malgun Gothic" w:eastAsia="Malgun Gothic" w:cs="Malgun Gothic"/>
          <w:b w:val="0"/>
          <w:i w:val="0"/>
          <w:color w:val="000000"/>
        </w:rPr>
        <w:t>본 연구는 새로운 모형을 제안하지 않는다. 확인한 초록 범위에서 위 입지·업종 추천 연구들이 거점 사전분포 기준선 대비 이득을 보고했는지는 알 수 없으므로, 본 연구의 위치는 ‘기준선 대비 이득, 비유의 결과의 검정력 해석, 수집 보류의 사전 판단, 데이터 판본의 분리’를 한 사례에서 함께 보고하는 데 있다.</w:t>
      </w:r>
    </w:p>
    <w:p>
      <w:pPr>
        <w:pStyle w:val="Heading1"/>
      </w:pPr>
      <w:r>
        <w:t>3 데이터와 방법</w:t>
      </w:r>
    </w:p>
    <w:p>
      <w:pPr>
        <w:pStyle w:val="Heading2"/>
      </w:pPr>
      <w:r>
        <w:t>3.1 그래프와 연구 범위</w:t>
      </w:r>
    </w:p>
    <w:p>
      <w:r>
        <w:rPr>
          <w:rFonts w:ascii="Malgun Gothic" w:hAnsi="Malgun Gothic" w:eastAsia="Malgun Gothic" w:cs="Malgun Gothic"/>
          <w:b w:val="0"/>
          <w:i w:val="0"/>
          <w:color w:val="000000"/>
        </w:rPr>
        <w:t>역사적 그래프는 점포를 노드로, 공간 근접(spatial_knn), 같은 건물(same_building), 같은 체인(same_chain)을 연결 관계로 표현했다. 모형은 GCNConv 기반이며 입지와 건물 특성, 주변 밀집도 및 거점 정보를 사용했다. 공실에서 관측할 수 없는 점포명이나 자기 업종은 직접 피처에서 제외했지만, 체인 연결 자체는 이미 운영 중인 점포의 업종과 관련될 수 있다. 그러므로 직접 라벨을 가렸다는 사실만으로 공실 적용 시의 정보 가용성이 보장되지는 않는다.</w:t>
      </w:r>
    </w:p>
    <w:p>
      <w:r>
        <w:rPr>
          <w:rFonts w:ascii="Malgun Gothic" w:hAnsi="Malgun Gothic" w:eastAsia="Malgun Gothic" w:cs="Malgun Gothic"/>
          <w:b w:val="0"/>
          <w:i w:val="0"/>
          <w:color w:val="000000"/>
        </w:rPr>
        <w:t>조건 A는 66거점·47,442노드·188,673엣지·117피처의 역사적 서빙본이다. 조건 B는 54거점의 대분류 실험이며, 조건 C는 같은 거점 범위에서 라벨을 세분한 별도 과제다. 조건 F는 81거점으로 재학습한 현행 서빙본이다. 조건별 결과는 아래 표의 범위에서만 해석한다.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8"/>
        <w:gridCol w:w="2068"/>
        <w:gridCol w:w="2379"/>
        <w:gridCol w:w="2896"/>
      </w:tblGrid>
      <w:tr>
        <w:trPr>
          <w:cantSplit/>
          <w:tblHeader/>
        </w:trPr>
        <w:tc>
          <w:tcPr>
            <w:tcW w:type="dxa" w:w="2068"/>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조건</w:t>
            </w:r>
          </w:p>
        </w:tc>
        <w:tc>
          <w:tcPr>
            <w:tcW w:type="dxa" w:w="2068"/>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거점</w:t>
            </w:r>
          </w:p>
        </w:tc>
        <w:tc>
          <w:tcPr>
            <w:tcW w:type="dxa" w:w="2379"/>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라벨</w:t>
            </w:r>
          </w:p>
        </w:tc>
        <w:tc>
          <w:tcPr>
            <w:tcW w:type="dxa" w:w="2896"/>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역할</w:t>
            </w:r>
          </w:p>
        </w:tc>
      </w:tr>
      <w:tr>
        <w:trPr>
          <w:cantSplit/>
        </w:trPr>
        <w:tc>
          <w:tcPr>
            <w:tcW w:type="dxa" w:w="206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A</w:t>
            </w:r>
          </w:p>
        </w:tc>
        <w:tc>
          <w:tcPr>
            <w:tcW w:type="dxa" w:w="206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66</w:t>
            </w:r>
          </w:p>
        </w:tc>
        <w:tc>
          <w:tcPr>
            <w:tcW w:type="dxa" w:w="2379"/>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대분류 7종</w:t>
            </w:r>
          </w:p>
        </w:tc>
        <w:tc>
          <w:tcPr>
            <w:tcW w:type="dxa" w:w="2896"/>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역사적 서빙본 기술</w:t>
            </w:r>
          </w:p>
        </w:tc>
      </w:tr>
      <w:tr>
        <w:trPr>
          <w:cantSplit/>
        </w:trPr>
        <w:tc>
          <w:tcPr>
            <w:tcW w:type="dxa" w:w="206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B</w:t>
            </w:r>
          </w:p>
        </w:tc>
        <w:tc>
          <w:tcPr>
            <w:tcW w:type="dxa" w:w="206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54</w:t>
            </w:r>
          </w:p>
        </w:tc>
        <w:tc>
          <w:tcPr>
            <w:tcW w:type="dxa" w:w="2379"/>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대분류 7종</w:t>
            </w:r>
          </w:p>
        </w:tc>
        <w:tc>
          <w:tcPr>
            <w:tcW w:type="dxa" w:w="2896"/>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피처·조기종료 변경 비교</w:t>
            </w:r>
          </w:p>
        </w:tc>
      </w:tr>
      <w:tr>
        <w:trPr>
          <w:cantSplit/>
        </w:trPr>
        <w:tc>
          <w:tcPr>
            <w:tcW w:type="dxa" w:w="206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C</w:t>
            </w:r>
          </w:p>
        </w:tc>
        <w:tc>
          <w:tcPr>
            <w:tcW w:type="dxa" w:w="206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54</w:t>
            </w:r>
          </w:p>
        </w:tc>
        <w:tc>
          <w:tcPr>
            <w:tcW w:type="dxa" w:w="2379"/>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세분 32클래스</w:t>
            </w:r>
          </w:p>
        </w:tc>
        <w:tc>
          <w:tcPr>
            <w:tcW w:type="dxa" w:w="2896"/>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동일 과제 안의 쌍대 비교</w:t>
            </w:r>
          </w:p>
        </w:tc>
      </w:tr>
      <w:tr>
        <w:trPr>
          <w:cantSplit/>
        </w:trPr>
        <w:tc>
          <w:tcPr>
            <w:tcW w:type="dxa" w:w="206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F</w:t>
            </w:r>
          </w:p>
        </w:tc>
        <w:tc>
          <w:tcPr>
            <w:tcW w:type="dxa" w:w="206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81</w:t>
            </w:r>
          </w:p>
        </w:tc>
        <w:tc>
          <w:tcPr>
            <w:tcW w:type="dxa" w:w="2379"/>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대분류 중 6클래스(group_mapped)</w:t>
            </w:r>
          </w:p>
        </w:tc>
        <w:tc>
          <w:tcPr>
            <w:tcW w:type="dxa" w:w="2896"/>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현행 재학습, 기준선 대비 판정</w:t>
            </w:r>
          </w:p>
        </w:tc>
      </w:tr>
    </w:tbl>
    <w:p>
      <w:pPr>
        <w:spacing w:after="0"/>
      </w:pPr>
    </w:p>
    <w:p>
      <w:r>
        <w:rPr>
          <w:rFonts w:ascii="Malgun Gothic" w:hAnsi="Malgun Gothic" w:eastAsia="Malgun Gothic" w:cs="Malgun Gothic"/>
          <w:b w:val="0"/>
          <w:i w:val="0"/>
          <w:color w:val="000000"/>
        </w:rPr>
        <w:t>조건 A와 B의 성능 차이를 시간에 따른 개선이나 저하로 해석하지 않는다. 수요신호 도입 전후의 초기 실험도 별도로 기술한다. 현재 학습 코드에는 노드 소스 교체와 과거 원천 삭제가 기록되어 있으므로, 이 논문의 역사적 수치를 현행 데이터로 다시 학습한 결과처럼 제시하지 않는다.</w:t>
      </w:r>
    </w:p>
    <w:p>
      <w:pPr>
        <w:pStyle w:val="Heading2"/>
      </w:pPr>
      <w:r>
        <w:t>3.2 과제와 평가 분할</w:t>
      </w:r>
    </w:p>
    <w:p>
      <w:r>
        <w:rPr>
          <w:rFonts w:ascii="Malgun Gothic" w:hAnsi="Malgun Gothic" w:eastAsia="Malgun Gothic" w:cs="Malgun Gothic"/>
          <w:b w:val="0"/>
          <w:i w:val="0"/>
          <w:color w:val="000000"/>
        </w:rPr>
        <w:t>대분류 과제는 음식점, 카페, 편의점, 병원, 약국, 숙박, 문화시설의 업종을 복원한다. 분할은 클래스별 층화 60/20/20의 학습·검증·시험 노드 분할이다. 같은 그래프의 구조와 피처를 이용하는 전이적(transductive) 평가이므로 새로운 거점 전체를 보지 못한 상태의 일반화 평가와 다르다.</w:t>
      </w:r>
    </w:p>
    <w:p>
      <w:r>
        <w:rPr>
          <w:rFonts w:ascii="Malgun Gothic" w:hAnsi="Malgun Gothic" w:eastAsia="Malgun Gothic" w:cs="Malgun Gothic"/>
          <w:b w:val="0"/>
          <w:i w:val="0"/>
          <w:color w:val="000000"/>
        </w:rPr>
        <w:t>거점 사전분포는 학습 노드의 라벨만으로 구성한다. 각 거점의 최빈 업종과 상위 업종을 기준선으로 사용하며 시험 라벨을 빈도 계산에 넣지 않는다. Top-1과 Top-3는 각각 첫 예측 및 상위 후보 안에 정답이 포함되는 비율이다. macro-F1은 클래스별 성능을 구분해서 읽기 위한 보조 지표다. 저장된 lift는 Top-1 기준선 대비 상대 증가율이며 Top-3의 차이가 아니다.</w:t>
      </w:r>
    </w:p>
    <w:p>
      <w:pPr>
        <w:pStyle w:val="Heading2"/>
      </w:pPr>
      <w:r>
        <w:t>3.3 off-prior와 쌍대 비교</w:t>
      </w:r>
    </w:p>
    <w:p>
      <w:r>
        <w:rPr>
          <w:rFonts w:ascii="Malgun Gothic" w:hAnsi="Malgun Gothic" w:eastAsia="Malgun Gothic" w:cs="Malgun Gothic"/>
          <w:b w:val="0"/>
          <w:i w:val="0"/>
          <w:color w:val="000000"/>
        </w:rPr>
        <w:t>off-prior 집합은 시험 노드 중 정답 업종이 해당 거점의 학습 라벨 상위 Top-3에 없는 노드로 정의한다. 따라서 이 집합에서 거점 Top-3 기준선은 정의상 맞힐 수 없다. 이 지표는 흔한 업종의 높은 빈도가 전체 성능을 지배하는 현상을 드러내지만 전체 창업 후보의 대표 표본은 아니다. 또한 노드 피처와 그래프 구조의 기여를 서로 분리하지 않는다.</w:t>
      </w:r>
    </w:p>
    <w:p>
      <w:r>
        <w:rPr>
          <w:rFonts w:ascii="Malgun Gothic" w:hAnsi="Malgun Gothic" w:eastAsia="Malgun Gothic" w:cs="Malgun Gothic"/>
          <w:b w:val="0"/>
          <w:i w:val="0"/>
          <w:color w:val="000000"/>
        </w:rPr>
        <w:t>피처군 사이 비교에는 동일한 라벨·분할·노드 집합에서 생성된 예측을 사용한다. McNemar 검정은 한 팔만 맞힌 불일치 쌍에 기반한다. 라벨 과제가 달라지면 off-prior 집합도 바뀌므로 대분류와 세분류를 직접 쌍대 비교하지 않는다. 단일 팔의 표준오차 범위 안에 차이가 있다는 사실만으로 두 팔의 동등성을 판정하지 않는다.</w:t>
      </w:r>
    </w:p>
    <w:p>
      <w:pPr>
        <w:pStyle w:val="Heading1"/>
      </w:pPr>
      <w:r>
        <w:t>4 결과</w:t>
      </w:r>
    </w:p>
    <w:p>
      <w:pPr>
        <w:pStyle w:val="Heading2"/>
      </w:pPr>
      <w:r>
        <w:t>4.1 역사적 서빙본과 기준선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7"/>
        <w:gridCol w:w="3137"/>
        <w:gridCol w:w="3137"/>
      </w:tblGrid>
      <w:tr>
        <w:trPr>
          <w:cantSplit/>
          <w:tblHeader/>
        </w:trPr>
        <w:tc>
          <w:tcPr>
            <w:tcW w:type="dxa" w:w="3137"/>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조건 A</w:t>
            </w:r>
          </w:p>
        </w:tc>
        <w:tc>
          <w:tcPr>
            <w:tcW w:type="dxa" w:w="3137"/>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Top-1</w:t>
            </w:r>
          </w:p>
        </w:tc>
        <w:tc>
          <w:tcPr>
            <w:tcW w:type="dxa" w:w="3137"/>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Top-3</w:t>
            </w:r>
          </w:p>
        </w:tc>
      </w:tr>
      <w:tr>
        <w:trPr>
          <w:cantSplit/>
        </w:trPr>
        <w:tc>
          <w:tcPr>
            <w:tcW w:type="dxa" w:w="3137"/>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GNN 서빙본</w:t>
            </w:r>
          </w:p>
        </w:tc>
        <w:tc>
          <w:tcPr>
            <w:tcW w:type="dxa" w:w="3137"/>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64.9%</w:t>
            </w:r>
          </w:p>
        </w:tc>
        <w:tc>
          <w:tcPr>
            <w:tcW w:type="dxa" w:w="3137"/>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91.7%</w:t>
            </w:r>
          </w:p>
        </w:tc>
      </w:tr>
      <w:tr>
        <w:trPr>
          <w:cantSplit/>
        </w:trPr>
        <w:tc>
          <w:tcPr>
            <w:tcW w:type="dxa" w:w="3137"/>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거점 사전분포 기준선</w:t>
            </w:r>
          </w:p>
        </w:tc>
        <w:tc>
          <w:tcPr>
            <w:tcW w:type="dxa" w:w="3137"/>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61.7%</w:t>
            </w:r>
          </w:p>
        </w:tc>
        <w:tc>
          <w:tcPr>
            <w:tcW w:type="dxa" w:w="3137"/>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89.4%</w:t>
            </w:r>
          </w:p>
        </w:tc>
      </w:tr>
    </w:tbl>
    <w:p>
      <w:pPr>
        <w:spacing w:after="0"/>
      </w:pPr>
    </w:p>
    <w:p>
      <w:r>
        <w:rPr>
          <w:rFonts w:ascii="Malgun Gothic" w:hAnsi="Malgun Gothic" w:eastAsia="Malgun Gothic" w:cs="Malgun Gothic"/>
          <w:b w:val="0"/>
          <w:i w:val="0"/>
          <w:color w:val="000000"/>
        </w:rPr>
        <w:t>macro-F1은 0.235였고 저장된 Top-1 상대 lift는 +5.3%다. 높은 Top-3만으로 거점 평균을 넘어서는 충분한 입지 구분력을 주장하기 어렵다. off-prior Top-3는 n=1,011에서 33.8%였다. 이 값은 별도 모집단인 조건 B의 값과 직접 비교하지 않는다.</w:t>
      </w:r>
    </w:p>
    <w:p>
      <w:pPr>
        <w:pStyle w:val="Heading2"/>
      </w:pPr>
      <w:r>
        <w:t>4.2 수요신호 도입의 관측된 개선</w:t>
      </w:r>
    </w:p>
    <w:p>
      <w:r>
        <w:rPr>
          <w:rFonts w:ascii="Malgun Gothic" w:hAnsi="Malgun Gothic" w:eastAsia="Malgun Gothic" w:cs="Malgun Gothic"/>
          <w:b w:val="0"/>
          <w:i w:val="0"/>
          <w:color w:val="000000"/>
        </w:rPr>
        <w:t>초기 수요신호 도입 기록에서는 피처가 58열에서 95열로 바뀌면서 macro-F1이 0.1887에서 0.2124로 증가했다. 상대 증가는 +12.6%였고 Top-1은 0.6308에서 0.6384로, Top-3는 0.9050에서 0.9080으로 변했다. 이 결과는 해당 비교에서 피처 추가와 개선이 함께 관측되었음을 보여준다. 반복 시드의 불확실성이나 실제 창업 성과의 개선을 측정한 것은 아니다. macro-F1의 증가만으로 특정 희소 업종의 개선 크기를 역산하지도 않는다.</w:t>
      </w:r>
    </w:p>
    <w:p>
      <w:pPr>
        <w:pStyle w:val="Heading2"/>
      </w:pPr>
      <w:r>
        <w:t>4.3 피처와 조기종료 변경의 제한된 이득</w:t>
      </w:r>
    </w:p>
    <w:p>
      <w:r>
        <w:rPr>
          <w:rFonts w:ascii="Malgun Gothic" w:hAnsi="Malgun Gothic" w:eastAsia="Malgun Gothic" w:cs="Malgun Gothic"/>
          <w:b w:val="0"/>
          <w:i w:val="0"/>
          <w:color w:val="000000"/>
        </w:rPr>
        <w:t>조건 B의 보존 기록은 다음과 같다. 기준을 포함한 표의 각 행은 동일 연구 과정의 비교이며 독립된 모집단에서 반복한 실험들이 아니다.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0"/>
        <w:gridCol w:w="2768"/>
        <w:gridCol w:w="3383"/>
      </w:tblGrid>
      <w:tr>
        <w:trPr>
          <w:cantSplit/>
          <w:tblHeader/>
        </w:trPr>
        <w:tc>
          <w:tcPr>
            <w:tcW w:type="dxa" w:w="3260"/>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설정</w:t>
            </w:r>
          </w:p>
        </w:tc>
        <w:tc>
          <w:tcPr>
            <w:tcW w:type="dxa" w:w="2768"/>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off-prior Top-3</w:t>
            </w:r>
          </w:p>
        </w:tc>
        <w:tc>
          <w:tcPr>
            <w:tcW w:type="dxa" w:w="3383"/>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해석</w:t>
            </w:r>
          </w:p>
        </w:tc>
      </w:tr>
      <w:tr>
        <w:trPr>
          <w:cantSplit/>
        </w:trPr>
        <w:tc>
          <w:tcPr>
            <w:tcW w:type="dxa" w:w="3260"/>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기준 105열</w:t>
            </w:r>
          </w:p>
        </w:tc>
        <w:tc>
          <w:tcPr>
            <w:tcW w:type="dxa" w:w="276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37.63%</w:t>
            </w:r>
          </w:p>
        </w:tc>
        <w:tc>
          <w:tcPr>
            <w:tcW w:type="dxa" w:w="3383"/>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비교 기준</w:t>
            </w:r>
          </w:p>
        </w:tc>
      </w:tr>
      <w:tr>
        <w:trPr>
          <w:cantSplit/>
        </w:trPr>
        <w:tc>
          <w:tcPr>
            <w:tcW w:type="dxa" w:w="3260"/>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이웃 업종 분포 추가 113열</w:t>
            </w:r>
          </w:p>
        </w:tc>
        <w:tc>
          <w:tcPr>
            <w:tcW w:type="dxa" w:w="276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36.49%</w:t>
            </w:r>
          </w:p>
        </w:tc>
        <w:tc>
          <w:tcPr>
            <w:tcW w:type="dxa" w:w="3383"/>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해당 지표 개선 관측 안 됨</w:t>
            </w:r>
          </w:p>
        </w:tc>
      </w:tr>
      <w:tr>
        <w:trPr>
          <w:cantSplit/>
        </w:trPr>
        <w:tc>
          <w:tcPr>
            <w:tcW w:type="dxa" w:w="3260"/>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조기종료 기준 변경</w:t>
            </w:r>
          </w:p>
        </w:tc>
        <w:tc>
          <w:tcPr>
            <w:tcW w:type="dxa" w:w="276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35.92~37.17%</w:t>
            </w:r>
          </w:p>
        </w:tc>
        <w:tc>
          <w:tcPr>
            <w:tcW w:type="dxa" w:w="3383"/>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선택 기준 변경만으로 개선 안 됨</w:t>
            </w:r>
          </w:p>
        </w:tc>
      </w:tr>
      <w:tr>
        <w:trPr>
          <w:cantSplit/>
        </w:trPr>
        <w:tc>
          <w:tcPr>
            <w:tcW w:type="dxa" w:w="3260"/>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행정동 시간대 피처 추가 115열</w:t>
            </w:r>
          </w:p>
        </w:tc>
        <w:tc>
          <w:tcPr>
            <w:tcW w:type="dxa" w:w="276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37.51%</w:t>
            </w:r>
          </w:p>
        </w:tc>
        <w:tc>
          <w:tcPr>
            <w:tcW w:type="dxa" w:w="3383"/>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해당 지표 개선 관측 안 됨</w:t>
            </w:r>
          </w:p>
        </w:tc>
      </w:tr>
    </w:tbl>
    <w:p>
      <w:pPr>
        <w:spacing w:after="0"/>
      </w:pPr>
    </w:p>
    <w:p>
      <w:r>
        <w:rPr>
          <w:rFonts w:ascii="Malgun Gothic" w:hAnsi="Malgun Gothic" w:eastAsia="Malgun Gothic" w:cs="Malgun Gothic"/>
          <w:b w:val="0"/>
          <w:i w:val="0"/>
          <w:color w:val="000000"/>
        </w:rPr>
        <w:t>이웃 업종 분포는 학습 노드의 라벨만 집계하고 자기 자신을 제외한다. 그럼에도 해당 비교에서 목표 지표가 개선되지 않았다. 조기종료 기준을 검증 off-prior에 직접 맞춘 팔도 시험 성능의 뚜렷한 향상을 보이지 않았다. 이는 선택 기준을 바꾸는 것만으로 문제가 해소된다는 설명을 지지하지 않지만, 최적화 가능성을 모두 배제하는 증명은 아니다.</w:t>
      </w:r>
    </w:p>
    <w:p>
      <w:r>
        <w:rPr>
          <w:rFonts w:ascii="Malgun Gothic" w:hAnsi="Malgun Gothic" w:eastAsia="Malgun Gothic" w:cs="Malgun Gothic"/>
          <w:b w:val="0"/>
          <w:i w:val="0"/>
          <w:color w:val="000000"/>
        </w:rPr>
        <w:t>행정동 시간대 피처는 거점 내 분산 0.221을 가진 10열을 추가한 기록이다. 입력이 실제로 달라졌어도 성능 개선으로 이어지지 않았다. 결과는 변동량의 존재와 분류에 유용한 정보가 동일하지 않음을 시사한다. 다만 공간 단위, 측정 오차, 모형 활용 방식 중 어느 요인이 원인인지는 이 비교만으로 식별되지 않는다.</w:t>
      </w:r>
    </w:p>
    <w:p>
      <w:pPr>
        <w:pStyle w:val="Heading2"/>
      </w:pPr>
      <w:r>
        <w:t>4.4 세분 라벨의 쌍대 평가</w:t>
      </w:r>
    </w:p>
    <w:p>
      <w:r>
        <w:rPr>
          <w:rFonts w:ascii="Malgun Gothic" w:hAnsi="Malgun Gothic" w:eastAsia="Malgun Gothic" w:cs="Malgun Gothic"/>
          <w:b w:val="0"/>
          <w:i w:val="0"/>
          <w:color w:val="000000"/>
        </w:rPr>
        <w:t>조건 C에서는 off-prior 표본이 대분류의 877에서 세분 과제의 3,785로 늘었다. 4.32배는 표본 수의 비율이며 검정력의 배수가 아니다. 보고된 단일 비율 표준오차는 1.63%p에서 0.78%p로 작아졌지만 라벨과 평가 부분집합도 달라졌다.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3"/>
        <w:gridCol w:w="1848"/>
        <w:gridCol w:w="1848"/>
        <w:gridCol w:w="1848"/>
        <w:gridCol w:w="1905"/>
      </w:tblGrid>
      <w:tr>
        <w:trPr>
          <w:cantSplit/>
          <w:tblHeader/>
        </w:trPr>
        <w:tc>
          <w:tcPr>
            <w:tcW w:type="dxa" w:w="1963"/>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설정</w:t>
            </w:r>
          </w:p>
        </w:tc>
        <w:tc>
          <w:tcPr>
            <w:tcW w:type="dxa" w:w="1848"/>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Top-1</w:t>
            </w:r>
          </w:p>
        </w:tc>
        <w:tc>
          <w:tcPr>
            <w:tcW w:type="dxa" w:w="1848"/>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Top-3</w:t>
            </w:r>
          </w:p>
        </w:tc>
        <w:tc>
          <w:tcPr>
            <w:tcW w:type="dxa" w:w="1848"/>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macro-F1</w:t>
            </w:r>
          </w:p>
        </w:tc>
        <w:tc>
          <w:tcPr>
            <w:tcW w:type="dxa" w:w="1905"/>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off-prior Top-3</w:t>
            </w:r>
          </w:p>
        </w:tc>
      </w:tr>
      <w:tr>
        <w:trPr>
          <w:cantSplit/>
        </w:trPr>
        <w:tc>
          <w:tcPr>
            <w:tcW w:type="dxa" w:w="1963"/>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control_105</w:t>
            </w:r>
          </w:p>
        </w:tc>
        <w:tc>
          <w:tcPr>
            <w:tcW w:type="dxa" w:w="184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0.3267</w:t>
            </w:r>
          </w:p>
        </w:tc>
        <w:tc>
          <w:tcPr>
            <w:tcW w:type="dxa" w:w="184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0.6063</w:t>
            </w:r>
          </w:p>
        </w:tc>
        <w:tc>
          <w:tcPr>
            <w:tcW w:type="dxa" w:w="184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0.0733</w:t>
            </w:r>
          </w:p>
        </w:tc>
        <w:tc>
          <w:tcPr>
            <w:tcW w:type="dxa" w:w="1905"/>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0.2349</w:t>
            </w:r>
          </w:p>
        </w:tc>
      </w:tr>
      <w:tr>
        <w:trPr>
          <w:cantSplit/>
        </w:trPr>
        <w:tc>
          <w:tcPr>
            <w:tcW w:type="dxa" w:w="1963"/>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adong_115</w:t>
            </w:r>
          </w:p>
        </w:tc>
        <w:tc>
          <w:tcPr>
            <w:tcW w:type="dxa" w:w="184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0.3229</w:t>
            </w:r>
          </w:p>
        </w:tc>
        <w:tc>
          <w:tcPr>
            <w:tcW w:type="dxa" w:w="184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0.6033</w:t>
            </w:r>
          </w:p>
        </w:tc>
        <w:tc>
          <w:tcPr>
            <w:tcW w:type="dxa" w:w="1848"/>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0.0719</w:t>
            </w:r>
          </w:p>
        </w:tc>
        <w:tc>
          <w:tcPr>
            <w:tcW w:type="dxa" w:w="1905"/>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0.2325</w:t>
            </w:r>
          </w:p>
        </w:tc>
      </w:tr>
      <w:tr>
        <w:trPr>
          <w:cantSplit/>
        </w:trPr>
        <w:tc>
          <w:tcPr>
            <w:tcW w:type="dxa" w:w="1963"/>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jipgyegu_115</w:t>
            </w:r>
          </w:p>
        </w:tc>
        <w:tc>
          <w:tcPr>
            <w:tcW w:type="dxa" w:w="184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0.3272</w:t>
            </w:r>
          </w:p>
        </w:tc>
        <w:tc>
          <w:tcPr>
            <w:tcW w:type="dxa" w:w="184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0.6031</w:t>
            </w:r>
          </w:p>
        </w:tc>
        <w:tc>
          <w:tcPr>
            <w:tcW w:type="dxa" w:w="1848"/>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0.0710</w:t>
            </w:r>
          </w:p>
        </w:tc>
        <w:tc>
          <w:tcPr>
            <w:tcW w:type="dxa" w:w="1905"/>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0.2351</w:t>
            </w:r>
          </w:p>
        </w:tc>
      </w:tr>
    </w:tbl>
    <w:p>
      <w:pPr>
        <w:spacing w:after="0"/>
      </w:pPr>
    </w:p>
    <w:p>
      <w:r>
        <w:rPr>
          <w:rFonts w:ascii="Malgun Gothic" w:hAnsi="Malgun Gothic" w:eastAsia="Malgun Gothic" w:cs="Malgun Gothic"/>
          <w:b w:val="0"/>
          <w:i w:val="0"/>
          <w:color w:val="000000"/>
        </w:rPr>
        <w:t>대조군과 집계구 피처군에서 함께 맞힌 노드는 741, 함께 틀린 노드는 2,747, 대조군만 맞힌 노드는 148, 집계구군만 맞힌 노드는 149였다. 불일치 쌍은 297이고 차이는 +0.03%p다. 보존 요약의 연속성 보정 McNemar 통계량은 chi2=0.0, p=1.0이었다. 해당 비교에서 유의한 차이가 관측되지 않았다는 결론은 가능하지만 효과가 정확히 영이거나 실용적으로 동등하다는 결론은 아니다. 사전 동등성 한계와 그에 맞는 검정이 없기 때문이다.</w:t>
      </w:r>
    </w:p>
    <w:p>
      <w:pPr>
        <w:pStyle w:val="Heading2"/>
      </w:pPr>
      <w:r>
        <w:t>4.5 가설 검증 결과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32"/>
        <w:gridCol w:w="1871"/>
        <w:gridCol w:w="6108"/>
      </w:tblGrid>
      <w:tr>
        <w:trPr>
          <w:cantSplit/>
          <w:tblHeader/>
        </w:trPr>
        <w:tc>
          <w:tcPr>
            <w:tcW w:type="dxa" w:w="1432"/>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가설</w:t>
            </w:r>
          </w:p>
        </w:tc>
        <w:tc>
          <w:tcPr>
            <w:tcW w:type="dxa" w:w="1871"/>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판정</w:t>
            </w:r>
          </w:p>
        </w:tc>
        <w:tc>
          <w:tcPr>
            <w:tcW w:type="dxa" w:w="6108"/>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근거와 판정 범위</w:t>
            </w:r>
          </w:p>
        </w:tc>
      </w:tr>
      <w:tr>
        <w:trPr>
          <w:cantSplit/>
        </w:trPr>
        <w:tc>
          <w:tcPr>
            <w:tcW w:type="dxa" w:w="1432"/>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H1 기준선 대비 관측 성능 향상</w:t>
            </w:r>
          </w:p>
        </w:tc>
        <w:tc>
          <w:tcPr>
            <w:tcW w:type="dxa" w:w="1871"/>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기술적 지지</w:t>
            </w:r>
          </w:p>
        </w:tc>
        <w:tc>
          <w:tcPr>
            <w:tcW w:type="dxa" w:w="6108"/>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조건 A의 Top-1 64.9% 대 61.7%, Top-3 91.7% 대 89.4%. 관측 차이는 양수지만 반복 시드·공간 외부 검증의 유의성은 미평가</w:t>
            </w:r>
          </w:p>
        </w:tc>
      </w:tr>
      <w:tr>
        <w:trPr>
          <w:cantSplit/>
        </w:trPr>
        <w:tc>
          <w:tcPr>
            <w:tcW w:type="dxa" w:w="1432"/>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H2 집계구 피처군의 우월성</w:t>
            </w:r>
          </w:p>
        </w:tc>
        <w:tc>
          <w:tcPr>
            <w:tcW w:type="dxa" w:w="1871"/>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지지되지 않음</w:t>
            </w:r>
          </w:p>
        </w:tc>
        <w:tc>
          <w:tcPr>
            <w:tcW w:type="dxa" w:w="6108"/>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조건 C의 차이 +0.03%p, McNemar p=1.0. H0를 기각하지 못했으며 효과가 영이거나 두 팔이 동등하다는 판정은 아님</w:t>
            </w:r>
          </w:p>
        </w:tc>
      </w:tr>
      <w:tr>
        <w:trPr>
          <w:cantSplit/>
        </w:trPr>
        <w:tc>
          <w:tcPr>
            <w:tcW w:type="dxa" w:w="1432"/>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H3 실제 입점 성과 개선</w:t>
            </w:r>
          </w:p>
        </w:tc>
        <w:tc>
          <w:tcPr>
            <w:tcW w:type="dxa" w:w="187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미검증</w:t>
            </w:r>
          </w:p>
        </w:tc>
        <w:tc>
          <w:tcPr>
            <w:tcW w:type="dxa" w:w="6108"/>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실제 입점 성과를 연결한 비교 자료 없음. 업종 복원 정확도로 대체할 수 없음</w:t>
            </w:r>
          </w:p>
        </w:tc>
      </w:tr>
    </w:tbl>
    <w:p>
      <w:pPr>
        <w:spacing w:after="0"/>
      </w:pPr>
    </w:p>
    <w:p>
      <w:r>
        <w:rPr>
          <w:rFonts w:ascii="Malgun Gothic" w:hAnsi="Malgun Gothic" w:eastAsia="Malgun Gothic" w:cs="Malgun Gothic"/>
          <w:b w:val="0"/>
          <w:i w:val="0"/>
          <w:color w:val="000000"/>
        </w:rPr>
        <w:t xml:space="preserve">H1의 제한적인 기술적 지지와 H2의 비유의 결과는 모순되지 않는다. 조건 A의 기준선 비교와 조건 C의 추가 피처 비교는 서로 다른 질문이다. 수집 수율과 근사 검출 경계는 후속 실험의 자원 판단을 위한 자료이며 H2의 효과 부재나 H3의 성과 개선을 추가로 검증하지 않는다. </w:t>
      </w:r>
      <w:hyperlink w:anchor="source3">
        <w:r>
          <w:rPr>
            <w:rFonts w:ascii="Malgun Gothic" w:hAnsi="Malgun Gothic" w:eastAsia="Malgun Gothic" w:cs="Malgun Gothic"/>
            <w:color w:val="333333"/>
            <w:sz w:val="17"/>
          </w:rPr>
          <w:t>검증 근거: P1 및 PLATFORM-E01–E06 [자료 3]</w:t>
        </w:r>
      </w:hyperlink>
    </w:p>
    <w:p>
      <w:pPr>
        <w:pStyle w:val="Heading2"/>
      </w:pPr>
      <w:r>
        <w:t>4.6 현행 재학습과 검색 근거 연결: 역사적 실험과의 구분</w:t>
      </w:r>
    </w:p>
    <w:p>
      <w:r>
        <w:rPr>
          <w:rFonts w:ascii="Malgun Gothic" w:hAnsi="Malgun Gothic" w:eastAsia="Malgun Gothic" w:cs="Malgun Gothic"/>
          <w:b w:val="0"/>
          <w:i w:val="0"/>
          <w:color w:val="000000"/>
        </w:rPr>
        <w:t xml:space="preserve">현행 서빙본은 조건 F로 분리한다. 서빙 81거점의 새 점포 자료로 노드 90,419·엣지 279,468·피처 132열의 그래프를 구성했으며, group_mapped로 사상된 클래스 6개를 다룬다. 시험 노드는 18,087개다. 조건 A/B/C 및 이후 조건 E와 원천·노드 집합이 달라, 아래 결과를 앞선 피처 실험의 개선 전후나 반복 재현으로 해석하지 않는다. </w:t>
      </w:r>
      <w:hyperlink w:anchor="source1">
        <w:r>
          <w:rPr>
            <w:rFonts w:ascii="Malgun Gothic" w:hAnsi="Malgun Gothic" w:eastAsia="Malgun Gothic" w:cs="Malgun Gothic"/>
            <w:color w:val="333333"/>
            <w:sz w:val="17"/>
          </w:rPr>
          <w:t>근거: PLATFORM-U01 [자료 1]</w:t>
        </w:r>
      </w:hyperlink>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7"/>
        <w:gridCol w:w="3734"/>
      </w:tblGrid>
      <w:tr>
        <w:trPr>
          <w:cantSplit/>
          <w:tblHeader/>
        </w:trPr>
        <w:tc>
          <w:tcPr>
            <w:tcW w:type="dxa" w:w="5677"/>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조건 F의 동일 시험 집합 비교</w:t>
            </w:r>
          </w:p>
        </w:tc>
        <w:tc>
          <w:tcPr>
            <w:tcW w:type="dxa" w:w="3734"/>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값</w:t>
            </w:r>
          </w:p>
        </w:tc>
      </w:tr>
      <w:tr>
        <w:trPr>
          <w:cantSplit/>
        </w:trPr>
        <w:tc>
          <w:tcPr>
            <w:tcW w:type="dxa" w:w="5677"/>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모델 Top-3 / 거점 사전분포 Top-3</w:t>
            </w:r>
          </w:p>
        </w:tc>
        <w:tc>
          <w:tcPr>
            <w:tcW w:type="dxa" w:w="3734"/>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92.03% / 88.40%</w:t>
            </w:r>
          </w:p>
        </w:tc>
      </w:tr>
      <w:tr>
        <w:trPr>
          <w:cantSplit/>
        </w:trPr>
        <w:tc>
          <w:tcPr>
            <w:tcW w:type="dxa" w:w="5677"/>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차이 / 거점 군집 부트스트랩 95% 구간</w:t>
            </w:r>
          </w:p>
        </w:tc>
        <w:tc>
          <w:tcPr>
            <w:tcW w:type="dxa" w:w="3734"/>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+3.63%p / [+3.00, +4.25]%p</w:t>
            </w:r>
          </w:p>
        </w:tc>
      </w:tr>
      <w:tr>
        <w:trPr>
          <w:cantSplit/>
        </w:trPr>
        <w:tc>
          <w:tcPr>
            <w:tcW w:type="dxa" w:w="5677"/>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모델만 적중 / 기준선만 적중</w:t>
            </w:r>
          </w:p>
        </w:tc>
        <w:tc>
          <w:tcPr>
            <w:tcW w:type="dxa" w:w="3734"/>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920 / 264</w:t>
            </w:r>
          </w:p>
        </w:tc>
      </w:tr>
      <w:tr>
        <w:trPr>
          <w:cantSplit/>
        </w:trPr>
        <w:tc>
          <w:tcPr>
            <w:tcW w:type="dxa" w:w="5677"/>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off-prior Top-3 / 해당 표본</w:t>
            </w:r>
          </w:p>
        </w:tc>
        <w:tc>
          <w:tcPr>
            <w:tcW w:type="dxa" w:w="3734"/>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43.85% / 2,098자리</w:t>
            </w:r>
          </w:p>
        </w:tc>
      </w:tr>
      <w:tr>
        <w:trPr>
          <w:cantSplit/>
        </w:trPr>
        <w:tc>
          <w:tcPr>
            <w:tcW w:type="dxa" w:w="5677"/>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macro-F1</w:t>
            </w:r>
          </w:p>
        </w:tc>
        <w:tc>
          <w:tcPr>
            <w:tcW w:type="dxa" w:w="3734"/>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0.2504</w:t>
            </w:r>
          </w:p>
        </w:tc>
      </w:tr>
    </w:tbl>
    <w:p>
      <w:pPr>
        <w:spacing w:after="0"/>
      </w:pPr>
    </w:p>
    <w:p>
      <w:r>
        <w:rPr>
          <w:rFonts w:ascii="Malgun Gothic" w:hAnsi="Malgun Gothic" w:eastAsia="Malgun Gothic" w:cs="Malgun Gothic"/>
          <w:b w:val="0"/>
          <w:i w:val="0"/>
          <w:color w:val="000000"/>
        </w:rPr>
        <w:t xml:space="preserve">현행 판정은 차이의 구간과 쌍대 검사를 함께 사용하는 코드 계약에서 ‘실력’이다. 이는 조건 F의 업종 복원에서 거점 사전분포보다 추가 이득이 관측되었다는 결과다. 앞선 조건 C의 집계구 피처 비교가 지지되지 않았다는 판정은 유지된다. 새 거점 일반화, 신규 창업자의 매출·생존, 검색 노출의 효과는 이 결과로 판정하지 않는다. off-prior는 관측 전용이며, 쌍대 검사의 자리 독립 가정과 공간적 의존성에 관한 한계도 남는다. 이 원고 갱신은 보존 Gold와 판정 스크립트를 대조한 것이며 학습을 다시 실행한 것은 아니다. </w:t>
      </w:r>
      <w:hyperlink w:anchor="source1">
        <w:r>
          <w:rPr>
            <w:rFonts w:ascii="Malgun Gothic" w:hAnsi="Malgun Gothic" w:eastAsia="Malgun Gothic" w:cs="Malgun Gothic"/>
            <w:color w:val="333333"/>
            <w:sz w:val="17"/>
          </w:rPr>
          <w:t>근거: PLATFORM-U02·U03 [자료 1]</w:t>
        </w:r>
      </w:hyperlink>
    </w:p>
    <w:p>
      <w:r>
        <w:rPr>
          <w:rFonts w:ascii="Malgun Gothic" w:hAnsi="Malgun Gothic" w:eastAsia="Malgun Gothic" w:cs="Malgun Gothic"/>
          <w:b w:val="0"/>
          <w:i w:val="0"/>
          <w:color w:val="000000"/>
        </w:rPr>
        <w:t xml:space="preserve">또한 Platform은 identity.collected로 검색 결과의 제목·원문 링크·작성일·검색어·수집일과 행정동 소비를 제공한다. 원문 본문과 요약을 Gold에 싣지 않으며, 소비는 공식 행정동 코드에 연결한 원값으로 제시한다. 이를 점포 매출이나 소득으로 환산하지 않는다. 검색 자료는 광고성·실제 지역 귀속을 검증한 리뷰가 아니며, 화면 조회 연결은 GNN에 검색·감성 피처를 추가했다는 뜻이 아니다. 따라서 과거 감성 경로의 기각을 해소한 결과로 보고하지 않는다. </w:t>
      </w:r>
      <w:hyperlink w:anchor="source1">
        <w:r>
          <w:rPr>
            <w:rFonts w:ascii="Malgun Gothic" w:hAnsi="Malgun Gothic" w:eastAsia="Malgun Gothic" w:cs="Malgun Gothic"/>
            <w:color w:val="333333"/>
            <w:sz w:val="17"/>
          </w:rPr>
          <w:t>근거: PLATFORM-U05 [자료 1]</w:t>
        </w:r>
      </w:hyperlink>
    </w:p>
    <w:p>
      <w:r>
        <w:rPr>
          <w:rFonts w:ascii="Malgun Gothic" w:hAnsi="Malgun Gothic" w:eastAsia="Malgun Gothic" w:cs="Malgun Gothic"/>
          <w:b w:val="0"/>
          <w:i w:val="0"/>
          <w:color w:val="000000"/>
        </w:rPr>
        <w:t xml:space="preserve">공실 예측 LSTM은 별도 태스크다. 현행 방향·오차 게이트는 확인 기준 이후 신규 표본이 없어 ‘확인대기’로 남아 있다. 업종 복원 게이트가 충족됐다고 Platform 전체의 예측 성과가 확정된 것으로 쓰지 않는다. </w:t>
      </w:r>
      <w:hyperlink w:anchor="source1">
        <w:r>
          <w:rPr>
            <w:rFonts w:ascii="Malgun Gothic" w:hAnsi="Malgun Gothic" w:eastAsia="Malgun Gothic" w:cs="Malgun Gothic"/>
            <w:color w:val="333333"/>
            <w:sz w:val="17"/>
          </w:rPr>
          <w:t>근거: PLATFORM-U04 [자료 1]</w:t>
        </w:r>
      </w:hyperlink>
    </w:p>
    <w:p>
      <w:pPr>
        <w:pStyle w:val="Heading2"/>
      </w:pPr>
      <w:r>
        <w:t>4.7 후속 세부 업종 실험: 층 정보의 이득과 남은 평가 간극</w:t>
      </w:r>
    </w:p>
    <w:p>
      <w:r>
        <w:rPr>
          <w:rFonts w:ascii="Malgun Gothic" w:hAnsi="Malgun Gothic" w:eastAsia="Malgun Gothic" w:cs="Malgun Gothic"/>
          <w:b w:val="0"/>
          <w:i w:val="0"/>
          <w:color w:val="000000"/>
        </w:rPr>
        <w:t xml:space="preserve">후속 조건 H는 현존 점포의 세부 업종을 복원하는 별도 과제다. 81거점의 중복 제거된 61,165노드·27클래스 중 test 12,243노드를 사용한다. 조건 C의 세분 라벨 실험 및 현행 대분류 조건 F와 라벨·모집단이 다르므로 전후 개선율로 연결하지 않는다. 분할을 고정하고 초기화 시드를 바꾸어 대조군과 층·교통·시간대·전체 피처 팔을 비교했다. 최대 80에포크·patience 15·hidden 64, 검증 Top-1 선택을 사용했으며 시험 성능으로 모델을 선택하지 않았다. 아래는 시드 평균 적중을 거점 단위로 재표본한 95% 구간이다. 구간은 학습 초기화의 변동까지 포괄하지 않는다. </w:t>
      </w:r>
      <w:hyperlink w:anchor="source2">
        <w:r>
          <w:rPr>
            <w:rFonts w:ascii="Malgun Gothic" w:hAnsi="Malgun Gothic" w:eastAsia="Malgun Gothic" w:cs="Malgun Gothic"/>
            <w:color w:val="333333"/>
            <w:sz w:val="17"/>
          </w:rPr>
          <w:t>근거: PLATFORM-V01·V02 [자료 2]</w:t>
        </w:r>
      </w:hyperlink>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91"/>
        <w:gridCol w:w="1591"/>
        <w:gridCol w:w="1591"/>
        <w:gridCol w:w="1591"/>
        <w:gridCol w:w="3049"/>
      </w:tblGrid>
      <w:tr>
        <w:trPr>
          <w:cantSplit/>
          <w:tblHeader/>
        </w:trPr>
        <w:tc>
          <w:tcPr>
            <w:tcW w:type="dxa" w:w="1591"/>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피처 팔</w:t>
            </w:r>
          </w:p>
        </w:tc>
        <w:tc>
          <w:tcPr>
            <w:tcW w:type="dxa" w:w="1591"/>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피처 수</w:t>
            </w:r>
          </w:p>
        </w:tc>
        <w:tc>
          <w:tcPr>
            <w:tcW w:type="dxa" w:w="1591"/>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모델 Top-3</w:t>
            </w:r>
          </w:p>
        </w:tc>
        <w:tc>
          <w:tcPr>
            <w:tcW w:type="dxa" w:w="1591"/>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동일 표본 기준선</w:t>
            </w:r>
          </w:p>
        </w:tc>
        <w:tc>
          <w:tcPr>
            <w:tcW w:type="dxa" w:w="3049"/>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대조 대비 차이·95% 구간(%p)</w:t>
            </w:r>
          </w:p>
        </w:tc>
      </w:tr>
      <w:tr>
        <w:trPr>
          <w:cantSplit/>
        </w:trPr>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대조</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132</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52.8%</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45.4%</w:t>
            </w:r>
          </w:p>
        </w:tc>
        <w:tc>
          <w:tcPr>
            <w:tcW w:type="dxa" w:w="3049"/>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해당 없음</w:t>
            </w:r>
          </w:p>
        </w:tc>
      </w:tr>
      <w:tr>
        <w:trPr>
          <w:cantSplit/>
        </w:trPr>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층</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137</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55.9%</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45.4%</w:t>
            </w:r>
          </w:p>
        </w:tc>
        <w:tc>
          <w:tcPr>
            <w:tcW w:type="dxa" w:w="3049"/>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+3.1 [+2.5, +3.7]</w:t>
            </w:r>
          </w:p>
        </w:tc>
      </w:tr>
      <w:tr>
        <w:trPr>
          <w:cantSplit/>
        </w:trPr>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교통</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136</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53.2%</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45.4%</w:t>
            </w:r>
          </w:p>
        </w:tc>
        <w:tc>
          <w:tcPr>
            <w:tcW w:type="dxa" w:w="3049"/>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+0.4 [+0.1, +0.7]</w:t>
            </w:r>
          </w:p>
        </w:tc>
      </w:tr>
      <w:tr>
        <w:trPr>
          <w:cantSplit/>
        </w:trPr>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시간대</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142</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53.2%</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45.4%</w:t>
            </w:r>
          </w:p>
        </w:tc>
        <w:tc>
          <w:tcPr>
            <w:tcW w:type="dxa" w:w="3049"/>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+0.4 [+0.1, +0.7]</w:t>
            </w:r>
          </w:p>
        </w:tc>
      </w:tr>
      <w:tr>
        <w:trPr>
          <w:cantSplit/>
        </w:trPr>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전체</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151</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56.1%</w:t>
            </w:r>
          </w:p>
        </w:tc>
        <w:tc>
          <w:tcPr>
            <w:tcW w:type="dxa" w:w="1591"/>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45.4%</w:t>
            </w:r>
          </w:p>
        </w:tc>
        <w:tc>
          <w:tcPr>
            <w:tcW w:type="dxa" w:w="3049"/>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+3.3 [+2.6, +3.9]</w:t>
            </w:r>
          </w:p>
        </w:tc>
      </w:tr>
    </w:tbl>
    <w:p>
      <w:pPr>
        <w:spacing w:after="0"/>
      </w:pPr>
    </w:p>
    <w:p>
      <w:r>
        <w:rPr>
          <w:rFonts w:ascii="Malgun Gothic" w:hAnsi="Malgun Gothic" w:eastAsia="Malgun Gothic" w:cs="Malgun Gothic"/>
          <w:b w:val="0"/>
          <w:i w:val="0"/>
          <w:color w:val="000000"/>
        </w:rPr>
        <w:t xml:space="preserve">층 피처의 이득은 이 과제에서 관측됐지만 모든 업종에 같은 방향으로 나타나지는 않았다. 요가·필라테스의 층−대조 차이는 +11.4 [+8.3, +14.2]%p인 반면 미용실은 −2.9 [−4.3, −1.6]%p였다. 네일숍은 층 팔에서도 절대 Top-3가 8.1%였고, 의류의 차이 구간은 영을 포함했다. 골프·PC방·기타 숙박은 층 팔에서도 적중이 없었다. 공연장·전시장·갤러리는 시험 표본이 없어 성능을 산출할 수 없다. 업종별 다중비교를 보정하지 않았으므로 개별 업종 결과는 탐색적 관측으로 읽는다. </w:t>
      </w:r>
      <w:hyperlink w:anchor="source2">
        <w:r>
          <w:rPr>
            <w:rFonts w:ascii="Malgun Gothic" w:hAnsi="Malgun Gothic" w:eastAsia="Malgun Gothic" w:cs="Malgun Gothic"/>
            <w:color w:val="333333"/>
            <w:sz w:val="17"/>
          </w:rPr>
          <w:t>근거: PLATFORM-V03 [자료 2]</w:t>
        </w:r>
      </w:hyperlink>
    </w:p>
    <w:p>
      <w:r>
        <w:rPr>
          <w:rFonts w:ascii="Malgun Gothic" w:hAnsi="Malgun Gothic" w:eastAsia="Malgun Gothic" w:cs="Malgun Gothic"/>
          <w:b w:val="0"/>
          <w:i w:val="0"/>
          <w:color w:val="000000"/>
        </w:rPr>
        <w:t xml:space="preserve">교통·시간대 팔은 시험 표본 재표본 구간이 양수였으나 차이가 작고 학습 초기화 변동과 구간의 포괄 범위가 다르다. 보존 실험의 ‘견고한 효과 미입증’ 해석을 유지하며 효과 부재로 바꾸어 쓰지 않는다. 전체 팔과 층 단독의 직접 차이도 별도로 검정하지 않았다. 같은 거점·건물의 점포가 학습·시험에 섞이며, 공실 유닛의 층을 모델 입력으로 전달하는 서빙 경로와 미관측 거점·미래 시점 일반화는 이번 실험 범위 밖이다. 따라서 층의 이득은 매출·생존·상권 순위 개선이나 미지원 업종의 추천 활성화 근거가 아니다. </w:t>
      </w:r>
      <w:hyperlink w:anchor="source2">
        <w:r>
          <w:rPr>
            <w:rFonts w:ascii="Malgun Gothic" w:hAnsi="Malgun Gothic" w:eastAsia="Malgun Gothic" w:cs="Malgun Gothic"/>
            <w:color w:val="333333"/>
            <w:sz w:val="17"/>
          </w:rPr>
          <w:t>근거: PLATFORM-V01–V03 [자료 2]</w:t>
        </w:r>
      </w:hyperlink>
    </w:p>
    <w:p>
      <w:r>
        <w:rPr>
          <w:rFonts w:ascii="Malgun Gothic" w:hAnsi="Malgun Gothic" w:eastAsia="Malgun Gothic" w:cs="Malgun Gothic"/>
          <w:b w:val="0"/>
          <w:i w:val="0"/>
          <w:color w:val="000000"/>
        </w:rPr>
        <w:t xml:space="preserve">별도의 공간 이웃 전용 비교에서는 같은 체인·같은 건물 엣지를 제외하고 학습 점포의 주변 업종 피처를 추가했다. Top-1은 29.94%→30.61%, macro-F1은 0.1078→0.1162로 변했으나 Top-3는 51.76%→51.72%로 전체 개선이 관측되지 않았다. 이는 동일 입력·분할 해시를 확인한 단일 분할·초기화의 비교이며 통계적 유의성은 검정하지 않았다. 역사적 이웃 피처의 기각을 뒤집거나 층 실험과 섞어 엣지 효과를 추정하지 않는다. </w:t>
      </w:r>
      <w:hyperlink w:anchor="source2">
        <w:r>
          <w:rPr>
            <w:rFonts w:ascii="Malgun Gothic" w:hAnsi="Malgun Gothic" w:eastAsia="Malgun Gothic" w:cs="Malgun Gothic"/>
            <w:color w:val="333333"/>
            <w:sz w:val="17"/>
          </w:rPr>
          <w:t>근거: PLATFORM-V04 [자료 2]</w:t>
        </w:r>
      </w:hyperlink>
    </w:p>
    <w:p>
      <w:pPr>
        <w:pStyle w:val="Heading1"/>
      </w:pPr>
      <w:r>
        <w:t>5 추가 수집을 보류한 판단</w:t>
      </w:r>
    </w:p>
    <w:p>
      <w:pPr>
        <w:pStyle w:val="Heading2"/>
      </w:pPr>
      <w:r>
        <w:t>5.1 수집 수율의 사전 점검</w:t>
      </w:r>
    </w:p>
    <w:p>
      <w:r>
        <w:rPr>
          <w:rFonts w:ascii="Malgun Gothic" w:hAnsi="Malgun Gothic" w:eastAsia="Malgun Gothic" w:cs="Malgun Gothic"/>
          <w:b w:val="0"/>
          <w:i w:val="0"/>
          <w:color w:val="000000"/>
        </w:rPr>
        <w:t>추가 거점이 off-prior 평가 표본을 얼마나 늘릴지 학습 없는 프로브로 점검했다. 보존 기록의 노드당 수율은 0.0217이고 거점별 변동계수는 0.39였다. 당시 수율을 외삽하면 off-prior 표본을 배로 늘리는 데 평균 수율 기준 신규 56곳, 높은 수율의 거점을 선택하는 가정에서도 45곳이 필요했다. 이는 기존 표본과 유사한 분포를 가정한 추정이며 새로운 거점의 실제 수집 결과가 아니다. 변동계수만으로 거점의 동질성까지 입증할 수는 없다.</w:t>
      </w:r>
    </w:p>
    <w:p>
      <w:pPr>
        <w:pStyle w:val="Heading2"/>
      </w:pPr>
      <w:r>
        <w:t>5.2 근사 검출 경계의 비교</w:t>
      </w:r>
    </w:p>
    <w:p>
      <w:r>
        <w:rPr>
          <w:rFonts w:ascii="Malgun Gothic" w:hAnsi="Malgun Gothic" w:eastAsia="Malgun Gothic" w:cs="Malgun Gothic"/>
          <w:b w:val="0"/>
          <w:i w:val="0"/>
          <w:color w:val="000000"/>
        </w:rPr>
        <w:t>당시 기록은 불일치 쌍 수를 D, 평가 노드 수를 n으로 놓고 유의수준 0.05에서 1.96√D/n에 해당하는 근사 경계를 계산했다. 원기록은 이를 최소검출효과(MDE)라고 부르지만 목표 검정력을 포함한 표본설계와는 구분해야 한다. 이 계산은 검정력에 대한 사전 점검(Baroudi와 Orlikowski, 1989)의 간이 형태다. 표의 단위는 퍼센트포인트다.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9"/>
        <w:gridCol w:w="3036"/>
        <w:gridCol w:w="3036"/>
      </w:tblGrid>
      <w:tr>
        <w:trPr>
          <w:cantSplit/>
          <w:tblHeader/>
        </w:trPr>
        <w:tc>
          <w:tcPr>
            <w:tcW w:type="dxa" w:w="3339"/>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당시 계산 조건</w:t>
            </w:r>
          </w:p>
        </w:tc>
        <w:tc>
          <w:tcPr>
            <w:tcW w:type="dxa" w:w="3036"/>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n</w:t>
            </w:r>
          </w:p>
        </w:tc>
        <w:tc>
          <w:tcPr>
            <w:tcW w:type="dxa" w:w="3036"/>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근사 검출 경계</w:t>
            </w:r>
          </w:p>
        </w:tc>
      </w:tr>
      <w:tr>
        <w:trPr>
          <w:cantSplit/>
        </w:trPr>
        <w:tc>
          <w:tcPr>
            <w:tcW w:type="dxa" w:w="3339"/>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대분류 기존</w:t>
            </w:r>
          </w:p>
        </w:tc>
        <w:tc>
          <w:tcPr>
            <w:tcW w:type="dxa" w:w="3036"/>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877</w:t>
            </w:r>
          </w:p>
        </w:tc>
        <w:tc>
          <w:tcPr>
            <w:tcW w:type="dxa" w:w="3036"/>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2.25%p</w:t>
            </w:r>
          </w:p>
        </w:tc>
      </w:tr>
      <w:tr>
        <w:trPr>
          <w:cantSplit/>
        </w:trPr>
        <w:tc>
          <w:tcPr>
            <w:tcW w:type="dxa" w:w="3339"/>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세분류 기존</w:t>
            </w:r>
          </w:p>
        </w:tc>
        <w:tc>
          <w:tcPr>
            <w:tcW w:type="dxa" w:w="3036"/>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3,785</w:t>
            </w:r>
          </w:p>
        </w:tc>
        <w:tc>
          <w:tcPr>
            <w:tcW w:type="dxa" w:w="3036"/>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0.89%p</w:t>
            </w:r>
          </w:p>
        </w:tc>
      </w:tr>
      <w:tr>
        <w:trPr>
          <w:cantSplit/>
        </w:trPr>
        <w:tc>
          <w:tcPr>
            <w:tcW w:type="dxa" w:w="3339"/>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대분류 표본 배증 가정</w:t>
            </w:r>
          </w:p>
        </w:tc>
        <w:tc>
          <w:tcPr>
            <w:tcW w:type="dxa" w:w="3036"/>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1,754</w:t>
            </w:r>
          </w:p>
        </w:tc>
        <w:tc>
          <w:tcPr>
            <w:tcW w:type="dxa" w:w="3036"/>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1.59%p</w:t>
            </w:r>
          </w:p>
        </w:tc>
      </w:tr>
      <w:tr>
        <w:trPr>
          <w:cantSplit/>
        </w:trPr>
        <w:tc>
          <w:tcPr>
            <w:tcW w:type="dxa" w:w="3339"/>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세분류 표본 배증 가정</w:t>
            </w:r>
          </w:p>
        </w:tc>
        <w:tc>
          <w:tcPr>
            <w:tcW w:type="dxa" w:w="3036"/>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7,570</w:t>
            </w:r>
          </w:p>
        </w:tc>
        <w:tc>
          <w:tcPr>
            <w:tcW w:type="dxa" w:w="3036"/>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0.63%p</w:t>
            </w:r>
          </w:p>
        </w:tc>
      </w:tr>
    </w:tbl>
    <w:p>
      <w:pPr>
        <w:spacing w:after="0"/>
      </w:pPr>
    </w:p>
    <w:p>
      <w:r>
        <w:rPr>
          <w:rFonts w:ascii="Malgun Gothic" w:hAnsi="Malgun Gothic" w:eastAsia="Malgun Gothic" w:cs="Malgun Gothic"/>
          <w:b w:val="0"/>
          <w:i w:val="0"/>
          <w:color w:val="000000"/>
        </w:rPr>
        <w:t>이 계산은 당시 관측한 작은 차이를 가르는 데 단순 수집 확대의 효율이 낮을 수 있음을 보여주는 의사결정 참고자료였다. 다만 세분류의 낮은 경계가 대분류의 동일한 효과를 더 잘 검출한다는 뜻은 아니다. 과제가 다르고 불일치 구조도 달라지기 때문이다. 필요한 거점 수를 서울의 실제 가능한 거점 수와 동일시하거나, 이 계산을 수집 확대가 원리적으로 무의미하다는 증명으로 읽어서는 안 된다.</w:t>
      </w:r>
    </w:p>
    <w:p>
      <w:pPr>
        <w:pStyle w:val="Heading1"/>
      </w:pPr>
      <w:r>
        <w:t>6 논의</w:t>
      </w:r>
    </w:p>
    <w:p>
      <w:pPr>
        <w:pStyle w:val="Heading2"/>
      </w:pPr>
      <w:r>
        <w:t>6.1 높은 정확도, 기준선 대비 이득, 희소 업종의 구분</w:t>
      </w:r>
    </w:p>
    <w:p>
      <w:r>
        <w:rPr>
          <w:rFonts w:ascii="Malgun Gothic" w:hAnsi="Malgun Gothic" w:eastAsia="Malgun Gothic" w:cs="Malgun Gothic"/>
          <w:b w:val="0"/>
          <w:i w:val="0"/>
          <w:color w:val="000000"/>
        </w:rPr>
        <w:t>관측된 결과는 높은 절대 정확도, 기준선 대비 추가 이득, 드문 업종에 대한 복원 능력을 나누어 읽을 필요를 보여준다. 거점의 흔한 업종을 맞히는 것은 유효한 예측일 수 있지만 개별 후보 공간을 구별하는 근거와는 다르다. 조건 A에서 Top-3 정확도 91.7%는 거점 사전분포의 89.4%에 비해 높지만 그 차이는 작았고, 조건 F에서는 같은 구조의 차이가 구간과 쌍대 검사로 지지되는 ‘실력’으로 판정되었다. 두 결과는 서로 다른 모집단이므로 이어 붙여 개선으로 읽을 수 없다. 다만 기준선을 함께 보고하는 절차가 없었다면 두 경우 모두 높은 Top-3 정확도로만 전달되었을 것이다. 이는 약한 기준선이 진전을 과대평가한다는 문제(Ferrari Dacrema 등, 2021)가 상권 분석에서도 같은 방식으로 나타날 수 있음을 보여주는 사례다. off-prior는 그 차이를 드러내는 진단 도구이며 전체 서비스 효용의 대체 지표는 아니다.</w:t>
      </w:r>
    </w:p>
    <w:p>
      <w:pPr>
        <w:pStyle w:val="Heading2"/>
      </w:pPr>
      <w:r>
        <w:t>6.2 성능 한계의 의미와 정보의 종류</w:t>
      </w:r>
    </w:p>
    <w:p>
      <w:r>
        <w:rPr>
          <w:rFonts w:ascii="Malgun Gothic" w:hAnsi="Malgun Gothic" w:eastAsia="Malgun Gothic" w:cs="Malgun Gothic"/>
          <w:b w:val="0"/>
          <w:i w:val="0"/>
          <w:color w:val="000000"/>
        </w:rPr>
        <w:t>본 연구에서 말하는 성능 한계는 검토한 피처와 선택 절차에서 반복적으로 개선이 제한되었다는 경험적 관찰이다. 피처의 정보량만이 유일한 원인이라고 단정하지 않는다. 모형 구조, 최적화, 공간적 의존성 및 레이블 오차를 완전히 분리한 실험은 없었다. 후속 검증은 동일 피처의 비그래프 모형 비교와 거점·시점 외부 검증을 포함해야 한다.</w:t>
      </w:r>
    </w:p>
    <w:p>
      <w:r>
        <w:rPr>
          <w:rFonts w:ascii="Malgun Gothic" w:hAnsi="Malgun Gothic" w:eastAsia="Malgun Gothic" w:cs="Malgun Gothic"/>
          <w:b w:val="0"/>
          <w:i w:val="0"/>
          <w:color w:val="000000"/>
        </w:rPr>
        <w:t>추가 수집을 보류한 근거는 ‘같은 종류의 거점을 더 모아도 판별 해상도가 크게 늘지 않는다’는 산술이었다. Martens 등(2016)은 전통적인 구조화 데이터에서는 규모를 키워도 뚜렷한 개선이 없었지만 세밀한 행동 데이터에서는 규모의 이득이 계속되었다고 보고한다. 본 연구의 판단은 학습 곡선이 아니라 수율과 검출 경계의 계산에 근거하고 과제와 자료도 다르므로, 이 보고의 재확인으로 읽을 수는 없다. 다만 후속 연구가 거점 수를 늘리기보다 업종 자체에 대한 다른 종류의 정보를 확보하는 방향을 먼저 검토할 이유는 된다.</w:t>
      </w:r>
    </w:p>
    <w:p>
      <w:pPr>
        <w:pStyle w:val="Heading2"/>
      </w:pPr>
      <w:r>
        <w:t>6.3 감성 경로의 기각과 그 범위</w:t>
      </w:r>
    </w:p>
    <w:p>
      <w:r>
        <w:rPr>
          <w:rFonts w:ascii="Malgun Gothic" w:hAnsi="Malgun Gothic" w:eastAsia="Malgun Gothic" w:cs="Malgun Gothic"/>
          <w:b w:val="0"/>
          <w:i w:val="0"/>
          <w:color w:val="000000"/>
        </w:rPr>
        <w:t>감성 경로의 기각도 가설 자체의 반증과 구분된다. 보존된 검색 자료 진단에서는 27거점·8,554건 중 점포명이 함께 언급된 사례가 15건(0.2%)이었고 짧은 검색 스니펫으로 점포 관계를 만들기 어려웠다. 이는 접근 가능한 자료가 의도한 피처를 지지하지 못했다는 결과다. 리뷰 원문에 접근할 수 있는 연구에서는 측면 기반 감성이 식당 생존 예측을 개선했다는 보고(Li 등, 2023)가 있으며, 반대로 리뷰 자료 자체가 의심 리뷰를 포함한다는 보고(Luca와 Zervas, 2016)도 있다. 두 보고는 이 경로를 다시 열 때 자료의 접근성과 신뢰성을 먼저 확인해야 함을 시사한다.</w:t>
      </w:r>
    </w:p>
    <w:p>
      <w:pPr>
        <w:pStyle w:val="Heading2"/>
      </w:pPr>
      <w:r>
        <w:t>6.4 이웃 업소 관계에 대한 후속 가설</w:t>
      </w:r>
    </w:p>
    <w:p>
      <w:r>
        <w:rPr>
          <w:rFonts w:ascii="Malgun Gothic" w:hAnsi="Malgun Gothic" w:eastAsia="Malgun Gothic" w:cs="Malgun Gothic"/>
          <w:b w:val="0"/>
          <w:i w:val="0"/>
          <w:color w:val="000000"/>
        </w:rPr>
        <w:t>Kumar 등(2018)은 한 업소의 온라인 응답이 이웃 업소의 성과에 미치는 외부효과가 두 업소가 직접 경쟁하는지에 따라 달라짐을 보고했다. 본 연구의 이웃 업종 분포 피처는 이웃 업소 사이의 관계 종류를 구별하지 않는다. 이웃 구조가 기여하지 못한 원인의 하나가 관계의 종류를 구별하지 못한 데 있는지는 본 연구가 검증하지 않았으며, 후속 실험의 가설로만 남긴다.</w:t>
      </w:r>
    </w:p>
    <w:p>
      <w:pPr>
        <w:pStyle w:val="Heading2"/>
      </w:pPr>
      <w:r>
        <w:t>6.5 연구와 실무에 대한 함의</w:t>
      </w:r>
    </w:p>
    <w:p>
      <w:r>
        <w:rPr>
          <w:rFonts w:ascii="Malgun Gothic" w:hAnsi="Malgun Gothic" w:eastAsia="Malgun Gothic" w:cs="Malgun Gothic"/>
          <w:b w:val="0"/>
          <w:i w:val="0"/>
          <w:color w:val="000000"/>
        </w:rPr>
        <w:t>IS 연구에 대한 함의는 보고 절차다. 업종 추천을 포함한 의사결정 지원 분석은 절대 정확도에 더해 거점 사전분포 같은 단순 기준선과의 차이, 그 차이의 구간, 비유의 결과를 해석할 검정력의 근거, 데이터 판본을 함께 보고할 때 독자가 결과를 과대 해석하지 않는다. 실무에 대한 함의는 서비스 표현이다. 업종 복원 정확도를 입지의 적합성이나 성공 가능성으로 표시하지 않고, 기준선 대비 이득과 미검증 범위를 함께 제시해야 한다. 이 함의는 본 연구 결과에서 도출한 설계 제안이며 이러한 표시가 사용자 판단을 개선한다는 효과까지 검증한 것은 아니다.</w:t>
      </w:r>
    </w:p>
    <w:p>
      <w:pPr>
        <w:pStyle w:val="Heading1"/>
      </w:pPr>
      <w:r>
        <w:t>7 한계</w:t>
      </w:r>
    </w:p>
    <w:p>
      <w:r>
        <w:rPr>
          <w:rFonts w:ascii="Malgun Gothic" w:hAnsi="Malgun Gothic" w:eastAsia="Malgun Gothic" w:cs="Malgun Gothic"/>
          <w:b w:val="0"/>
          <w:i w:val="0"/>
          <w:color w:val="000000"/>
        </w:rPr>
        <w:t xml:space="preserve">역사적 실험은 서울의 특정 점포 모집단과 단일 시드 42에 의존한다. 후속 조건 H의 피처 비교는 초기화 시드 42·43·44를 사용했으나 분할은 고정했고, 구간은 시험 표본 변동만 반영했다. 공간 이웃 전용 비교는 여전히 단일 초기화다. 노드 층화 분할은 공간적으로 가까운 노드와 같은 체인을 서로 다른 분할에 포함할 수 있다. 이는 학습·평가 간 정보 유출(Kaufman 등, 2012)의 한 형태일 수 있으며, 독립 표본을 가정한 표준오차와 검정은 공간적 의존성을 충분히 반영하지 못할 수 있다. 반복적으로 같은 시험 집합을 진단한 개발 과정의 선택 편향도 남는다. </w:t>
      </w:r>
      <w:hyperlink w:anchor="source2">
        <w:r>
          <w:rPr>
            <w:rFonts w:ascii="Malgun Gothic" w:hAnsi="Malgun Gothic" w:eastAsia="Malgun Gothic" w:cs="Malgun Gothic"/>
            <w:color w:val="333333"/>
            <w:sz w:val="17"/>
          </w:rPr>
          <w:t>후속 실험 범위 [자료 2]</w:t>
        </w:r>
      </w:hyperlink>
    </w:p>
    <w:p>
      <w:r>
        <w:rPr>
          <w:rFonts w:ascii="Malgun Gothic" w:hAnsi="Malgun Gothic" w:eastAsia="Malgun Gothic" w:cs="Malgun Gothic"/>
          <w:b w:val="0"/>
          <w:i w:val="0"/>
          <w:color w:val="000000"/>
        </w:rPr>
        <w:t>대분류와 세분류는 다른 과제이며 수요신호 도입 초기 기록도 후속 조건과 합산할 수 없다. 입점 적합성의 정답, 신규 점포의 매출·생존 결과 및 공실에서의 실제 추천 효용은 평가하지 않았다. existing-store 분류를 창업 성공률로 표현해서는 안 된다.</w:t>
      </w:r>
    </w:p>
    <w:p>
      <w:r>
        <w:rPr>
          <w:rFonts w:ascii="Malgun Gothic" w:hAnsi="Malgun Gothic" w:eastAsia="Malgun Gothic" w:cs="Malgun Gothic"/>
          <w:b w:val="0"/>
          <w:i w:val="0"/>
          <w:color w:val="000000"/>
        </w:rPr>
        <w:t>재현성에도 제약이 있다. 노드 소스는 2026-09-15에 교체되었고 이전 Bronze가 삭제되어 옛 그래프를 현재 코드와 원천만으로 재구축할 수 없다. 보존된 요약과 코드 계약의 검산은 가능하지만 전체 학습의 독립 재현을 완료했다고 주장하지 않는다. 노드별 예측 덤프의 비추적 상태도 쌍대 비교를 외부에서 재검증하는 데 제약이 된다.</w:t>
      </w:r>
    </w:p>
    <w:p>
      <w:r>
        <w:rPr>
          <w:rFonts w:ascii="Malgun Gothic" w:hAnsi="Malgun Gothic" w:eastAsia="Malgun Gothic" w:cs="Malgun Gothic"/>
          <w:b w:val="0"/>
          <w:i w:val="0"/>
          <w:color w:val="000000"/>
        </w:rPr>
        <w:t xml:space="preserve">문헌 확인 범위에도 한계가 있다. 인용한 문헌은 서지를 Crossref 기록으로 대조하고 초록을 확인한 범위이며 전문을 정독한 것이 아니다. Li 등(2023)은 기관 공개 요약, Lan 등(2022)은 DOAJ 초록으로 확인했다. 저널의 Q1 분류는 SCImago Journal Rank 최신판 기준이며 Clarivate JCR의 분야별 사분위는 확인하지 않았다. </w:t>
      </w:r>
      <w:hyperlink w:anchor="source4">
        <w:r>
          <w:rPr>
            <w:rFonts w:ascii="Malgun Gothic" w:hAnsi="Malgun Gothic" w:eastAsia="Malgun Gothic" w:cs="Malgun Gothic"/>
            <w:color w:val="333333"/>
            <w:sz w:val="17"/>
          </w:rPr>
          <w:t>문헌 확인 범위 [자료 4]</w:t>
        </w:r>
      </w:hyperlink>
    </w:p>
    <w:p>
      <w:pPr>
        <w:pStyle w:val="Heading1"/>
      </w:pPr>
      <w:r>
        <w:t>8 결론</w:t>
      </w:r>
    </w:p>
    <w:p>
      <w:r>
        <w:rPr>
          <w:rFonts w:ascii="Malgun Gothic" w:hAnsi="Malgun Gothic" w:eastAsia="Malgun Gothic" w:cs="Malgun Gothic"/>
          <w:b w:val="0"/>
          <w:i w:val="0"/>
          <w:color w:val="000000"/>
        </w:rPr>
        <w:t xml:space="preserve">현행 조건 F의 기준선 대비 이득은 역사적 피처 실험의 제한된 개선과 구분해서 보고한다. 검색 근거의 제공과 업종 추천의 통계 판정은 창업가의 의사결정을 지원할 재료지만, 공실의 재활용이나 생존 개선을 확인한 결과는 아니다. 디지털 접근성이 물리적 입지보다 더 큰 영향을 주는지 평가하려면 채널별 노출·주문·방문과 실제 사업 성과를 같은 점포·시점으로 연결하고 업종·임대료·영업 기간 등 경쟁 설명을 통제할 별도 설계가 필요하다. </w:t>
      </w:r>
      <w:hyperlink w:anchor="source1">
        <w:r>
          <w:rPr>
            <w:rFonts w:ascii="Malgun Gothic" w:hAnsi="Malgun Gothic" w:eastAsia="Malgun Gothic" w:cs="Malgun Gothic"/>
            <w:color w:val="333333"/>
            <w:sz w:val="17"/>
          </w:rPr>
          <w:t>현행 근거와 미검증 범위 [자료 1]</w:t>
        </w:r>
      </w:hyperlink>
    </w:p>
    <w:p>
      <w:r>
        <w:rPr>
          <w:rFonts w:ascii="Malgun Gothic" w:hAnsi="Malgun Gothic" w:eastAsia="Malgun Gothic" w:cs="Malgun Gothic"/>
          <w:b w:val="0"/>
          <w:i w:val="0"/>
          <w:color w:val="000000"/>
        </w:rPr>
        <w:t>PlaceOS의 역사적 업종 분류 기록에서는 높은 Top-3 정확도와 제한적인 기준선 대비 이득이 함께 나타났다. off-prior 평가와 동일 과제 안의 쌍대 비교는 피처·학습 선택 변경의 효과를 과장하지 않도록 돕는다. 추가 수집을 보류한 기록은 결과뿐 아니라 연구 자원의 배분 판단도 보고할 필요를 보여준다.</w:t>
      </w:r>
    </w:p>
    <w:p>
      <w:r>
        <w:rPr>
          <w:rFonts w:ascii="Malgun Gothic" w:hAnsi="Malgun Gothic" w:eastAsia="Malgun Gothic" w:cs="Malgun Gothic"/>
          <w:b w:val="0"/>
          <w:i w:val="0"/>
          <w:color w:val="000000"/>
        </w:rPr>
        <w:t xml:space="preserve">역사적 피처 비교가 지지하는 결론은 당시 검토한 설정에서 뚜렷한 추가 이득을 확인하지 못했다는 것이다. 효과의 부재나 과제의 이론적 상한은 증명하지 않았다. 후속 조건 H에서 관측된 층 정보의 이득과 업종별 악화는 그 한계를 재확인한다. 특정 피처·과제의 음성 결과를 모든 입지 정보의 무효성으로 확대할 수 없으며, 양성 결과 역시 실제 추천의 효용으로 확대할 수 없다. 향후에는 고정된 데이터 판본과 외부 평가 단위, 독립적으로 확보한 입점 성과를 바탕으로 업종 복원과 실제 추천의 간극을 평가해야 한다. </w:t>
      </w:r>
      <w:hyperlink w:anchor="source2">
        <w:r>
          <w:rPr>
            <w:rFonts w:ascii="Malgun Gothic" w:hAnsi="Malgun Gothic" w:eastAsia="Malgun Gothic" w:cs="Malgun Gothic"/>
            <w:color w:val="333333"/>
            <w:sz w:val="17"/>
          </w:rPr>
          <w:t>후속 근거 [자료 2]</w:t>
        </w:r>
      </w:hyperlink>
    </w:p>
    <w:p>
      <w:pPr>
        <w:pStyle w:val="Heading1"/>
      </w:pPr>
      <w:r>
        <w:t>참고문헌</w:t>
      </w:r>
    </w:p>
    <w:p>
      <w:r>
        <w:rPr>
          <w:rFonts w:ascii="Malgun Gothic" w:hAnsi="Malgun Gothic" w:eastAsia="Malgun Gothic" w:cs="Malgun Gothic"/>
          <w:b w:val="0"/>
          <w:i w:val="0"/>
          <w:color w:val="000000"/>
        </w:rPr>
        <w:t xml:space="preserve">• Baroudi, J. J., &amp; Orlikowski, W. J. (1989). The problem of statistical power in MIS research. </w:t>
      </w:r>
      <w:r>
        <w:rPr>
          <w:rFonts w:ascii="Malgun Gothic" w:hAnsi="Malgun Gothic" w:eastAsia="Malgun Gothic" w:cs="Malgun Gothic"/>
          <w:b w:val="0"/>
          <w:i/>
          <w:color w:val="000000"/>
        </w:rPr>
        <w:t>MIS Quarterly, 13</w:t>
      </w:r>
      <w:r>
        <w:rPr>
          <w:rFonts w:ascii="Malgun Gothic" w:hAnsi="Malgun Gothic" w:eastAsia="Malgun Gothic" w:cs="Malgun Gothic"/>
          <w:b w:val="0"/>
          <w:i w:val="0"/>
          <w:color w:val="000000"/>
        </w:rPr>
        <w:t xml:space="preserve">(1), 87–106. </w:t>
      </w:r>
      <w:hyperlink r:id="rId10">
        <w:r>
          <w:rPr>
            <w:rFonts w:ascii="Malgun Gothic" w:hAnsi="Malgun Gothic" w:eastAsia="Malgun Gothic" w:cs="Malgun Gothic"/>
            <w:color w:val="333333"/>
          </w:rPr>
          <w:t>https://doi.org/10.2307/248704</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de Reuver, M., Sørensen, C., &amp; Basole, R. C. (2018). The digital platform: A research agenda. </w:t>
      </w:r>
      <w:r>
        <w:rPr>
          <w:rFonts w:ascii="Malgun Gothic" w:hAnsi="Malgun Gothic" w:eastAsia="Malgun Gothic" w:cs="Malgun Gothic"/>
          <w:b w:val="0"/>
          <w:i/>
          <w:color w:val="000000"/>
        </w:rPr>
        <w:t>Journal of Information Technology, 33</w:t>
      </w:r>
      <w:r>
        <w:rPr>
          <w:rFonts w:ascii="Malgun Gothic" w:hAnsi="Malgun Gothic" w:eastAsia="Malgun Gothic" w:cs="Malgun Gothic"/>
          <w:b w:val="0"/>
          <w:i w:val="0"/>
          <w:color w:val="000000"/>
        </w:rPr>
        <w:t xml:space="preserve">(2), 124–135. </w:t>
      </w:r>
      <w:hyperlink r:id="rId11">
        <w:r>
          <w:rPr>
            <w:rFonts w:ascii="Malgun Gothic" w:hAnsi="Malgun Gothic" w:eastAsia="Malgun Gothic" w:cs="Malgun Gothic"/>
            <w:color w:val="333333"/>
          </w:rPr>
          <w:t>https://doi.org/10.1057/s41265-016-0033-3</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Dietterich, T. G. (1998). Approximate statistical tests for comparing supervised classification learning algorithms. </w:t>
      </w:r>
      <w:r>
        <w:rPr>
          <w:rFonts w:ascii="Malgun Gothic" w:hAnsi="Malgun Gothic" w:eastAsia="Malgun Gothic" w:cs="Malgun Gothic"/>
          <w:b w:val="0"/>
          <w:i/>
          <w:color w:val="000000"/>
        </w:rPr>
        <w:t>Neural Computation, 10</w:t>
      </w:r>
      <w:r>
        <w:rPr>
          <w:rFonts w:ascii="Malgun Gothic" w:hAnsi="Malgun Gothic" w:eastAsia="Malgun Gothic" w:cs="Malgun Gothic"/>
          <w:b w:val="0"/>
          <w:i w:val="0"/>
          <w:color w:val="000000"/>
        </w:rPr>
        <w:t xml:space="preserve">(7), 1895–1923. </w:t>
      </w:r>
      <w:hyperlink r:id="rId12">
        <w:r>
          <w:rPr>
            <w:rFonts w:ascii="Malgun Gothic" w:hAnsi="Malgun Gothic" w:eastAsia="Malgun Gothic" w:cs="Malgun Gothic"/>
            <w:color w:val="333333"/>
          </w:rPr>
          <w:t>https://doi.org/10.1162/089976698300017197</w:t>
        </w:r>
      </w:hyperlink>
      <w:r>
        <w:rPr>
          <w:rFonts w:ascii="Malgun Gothic" w:hAnsi="Malgun Gothic" w:eastAsia="Malgun Gothic" w:cs="Malgun Gothic"/>
          <w:b w:val="0"/>
          <w:i w:val="0"/>
          <w:color w:val="000000"/>
        </w:rPr>
        <w:t xml:space="preserve"> 확인 범위: 서지·초록. 방법론 인용이며 Q1 근거로 세지 않는다.</w:t>
      </w:r>
    </w:p>
    <w:p>
      <w:r>
        <w:rPr>
          <w:rFonts w:ascii="Malgun Gothic" w:hAnsi="Malgun Gothic" w:eastAsia="Malgun Gothic" w:cs="Malgun Gothic"/>
          <w:b w:val="0"/>
          <w:i w:val="0"/>
          <w:color w:val="000000"/>
        </w:rPr>
        <w:t xml:space="preserve">• Ferrari Dacrema, M., Boglio, S., Cremonesi, P., &amp; Jannach, D. (2021). A troubling analysis of reproducibility and progress in recommender systems research. </w:t>
      </w:r>
      <w:r>
        <w:rPr>
          <w:rFonts w:ascii="Malgun Gothic" w:hAnsi="Malgun Gothic" w:eastAsia="Malgun Gothic" w:cs="Malgun Gothic"/>
          <w:b w:val="0"/>
          <w:i/>
          <w:color w:val="000000"/>
        </w:rPr>
        <w:t>ACM Transactions on Information Systems, 39</w:t>
      </w:r>
      <w:r>
        <w:rPr>
          <w:rFonts w:ascii="Malgun Gothic" w:hAnsi="Malgun Gothic" w:eastAsia="Malgun Gothic" w:cs="Malgun Gothic"/>
          <w:b w:val="0"/>
          <w:i w:val="0"/>
          <w:color w:val="000000"/>
        </w:rPr>
        <w:t xml:space="preserve">(2), 1–49. </w:t>
      </w:r>
      <w:hyperlink r:id="rId13">
        <w:r>
          <w:rPr>
            <w:rFonts w:ascii="Malgun Gothic" w:hAnsi="Malgun Gothic" w:eastAsia="Malgun Gothic" w:cs="Malgun Gothic"/>
            <w:color w:val="333333"/>
          </w:rPr>
          <w:t>https://doi.org/10.1145/3434185</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Forman, C., Ghose, A., &amp; Goldfarb, A. (2009). Competition between local and electronic markets: How the benefit of buying online depends on where you live. </w:t>
      </w:r>
      <w:r>
        <w:rPr>
          <w:rFonts w:ascii="Malgun Gothic" w:hAnsi="Malgun Gothic" w:eastAsia="Malgun Gothic" w:cs="Malgun Gothic"/>
          <w:b w:val="0"/>
          <w:i/>
          <w:color w:val="000000"/>
        </w:rPr>
        <w:t>Management Science, 55</w:t>
      </w:r>
      <w:r>
        <w:rPr>
          <w:rFonts w:ascii="Malgun Gothic" w:hAnsi="Malgun Gothic" w:eastAsia="Malgun Gothic" w:cs="Malgun Gothic"/>
          <w:b w:val="0"/>
          <w:i w:val="0"/>
          <w:color w:val="000000"/>
        </w:rPr>
        <w:t xml:space="preserve">(1), 47–57. </w:t>
      </w:r>
      <w:hyperlink r:id="rId14">
        <w:r>
          <w:rPr>
            <w:rFonts w:ascii="Malgun Gothic" w:hAnsi="Malgun Gothic" w:eastAsia="Malgun Gothic" w:cs="Malgun Gothic"/>
            <w:color w:val="333333"/>
          </w:rPr>
          <w:t>https://doi.org/10.1287/mnsc.1080.0932</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Ghose, A., Goldfarb, A., &amp; Han, S. P. (2013). How is the mobile Internet different? Search costs and local activities. </w:t>
      </w:r>
      <w:r>
        <w:rPr>
          <w:rFonts w:ascii="Malgun Gothic" w:hAnsi="Malgun Gothic" w:eastAsia="Malgun Gothic" w:cs="Malgun Gothic"/>
          <w:b w:val="0"/>
          <w:i/>
          <w:color w:val="000000"/>
        </w:rPr>
        <w:t>Information Systems Research, 24</w:t>
      </w:r>
      <w:r>
        <w:rPr>
          <w:rFonts w:ascii="Malgun Gothic" w:hAnsi="Malgun Gothic" w:eastAsia="Malgun Gothic" w:cs="Malgun Gothic"/>
          <w:b w:val="0"/>
          <w:i w:val="0"/>
          <w:color w:val="000000"/>
        </w:rPr>
        <w:t xml:space="preserve">(3), 613–631. </w:t>
      </w:r>
      <w:hyperlink r:id="rId15">
        <w:r>
          <w:rPr>
            <w:rFonts w:ascii="Malgun Gothic" w:hAnsi="Malgun Gothic" w:eastAsia="Malgun Gothic" w:cs="Malgun Gothic"/>
            <w:color w:val="333333"/>
          </w:rPr>
          <w:t>https://doi.org/10.1287/isre.1120.0453</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 Guo, B., Li, J., Zheng, V. W., Wang, Z., &amp; Yu, Z. (2018). CityTransfer: Transferring inter- and intra-city knowledge for chain store site recommendation based on multi-source urban data. </w:t>
      </w:r>
      <w:r>
        <w:rPr>
          <w:rFonts w:ascii="Malgun Gothic" w:hAnsi="Malgun Gothic" w:eastAsia="Malgun Gothic" w:cs="Malgun Gothic"/>
          <w:b w:val="0"/>
          <w:i/>
          <w:color w:val="000000"/>
        </w:rPr>
        <w:t>Proceedings of the ACM on Interactive, Mobile, Wearable and Ubiquitous Technologies, 1</w:t>
      </w:r>
      <w:r>
        <w:rPr>
          <w:rFonts w:ascii="Malgun Gothic" w:hAnsi="Malgun Gothic" w:eastAsia="Malgun Gothic" w:cs="Malgun Gothic"/>
          <w:b w:val="0"/>
          <w:i w:val="0"/>
          <w:color w:val="000000"/>
        </w:rPr>
        <w:t xml:space="preserve">(4), 1–23. </w:t>
      </w:r>
      <w:hyperlink r:id="rId16">
        <w:r>
          <w:rPr>
            <w:rFonts w:ascii="Malgun Gothic" w:hAnsi="Malgun Gothic" w:eastAsia="Malgun Gothic" w:cs="Malgun Gothic"/>
            <w:color w:val="333333"/>
          </w:rPr>
          <w:t>https://doi.org/10.1145/3161411</w:t>
        </w:r>
      </w:hyperlink>
      <w:r>
        <w:rPr>
          <w:rFonts w:ascii="Malgun Gothic" w:hAnsi="Malgun Gothic" w:eastAsia="Malgun Gothic" w:cs="Malgun Gothic"/>
          <w:b w:val="0"/>
          <w:i w:val="0"/>
          <w:color w:val="000000"/>
        </w:rPr>
        <w:t xml:space="preserve"> 확인 범위: 서지·초록. 저널 분류는 확인하지 않았다.</w:t>
      </w:r>
    </w:p>
    <w:p>
      <w:r>
        <w:rPr>
          <w:rFonts w:ascii="Malgun Gothic" w:hAnsi="Malgun Gothic" w:eastAsia="Malgun Gothic" w:cs="Malgun Gothic"/>
          <w:b w:val="0"/>
          <w:i w:val="0"/>
          <w:color w:val="000000"/>
        </w:rPr>
        <w:t xml:space="preserve">• Kaufman, S., Rosset, S., Perlich, C., &amp; Stitelman, O. (2012). Leakage in data mining: Formulation, detection, and avoidance. </w:t>
      </w:r>
      <w:r>
        <w:rPr>
          <w:rFonts w:ascii="Malgun Gothic" w:hAnsi="Malgun Gothic" w:eastAsia="Malgun Gothic" w:cs="Malgun Gothic"/>
          <w:b w:val="0"/>
          <w:i/>
          <w:color w:val="000000"/>
        </w:rPr>
        <w:t>ACM Transactions on Knowledge Discovery from Data, 6</w:t>
      </w:r>
      <w:r>
        <w:rPr>
          <w:rFonts w:ascii="Malgun Gothic" w:hAnsi="Malgun Gothic" w:eastAsia="Malgun Gothic" w:cs="Malgun Gothic"/>
          <w:b w:val="0"/>
          <w:i w:val="0"/>
          <w:color w:val="000000"/>
        </w:rPr>
        <w:t xml:space="preserve">(4), 1–21. </w:t>
      </w:r>
      <w:hyperlink r:id="rId17">
        <w:r>
          <w:rPr>
            <w:rFonts w:ascii="Malgun Gothic" w:hAnsi="Malgun Gothic" w:eastAsia="Malgun Gothic" w:cs="Malgun Gothic"/>
            <w:color w:val="333333"/>
          </w:rPr>
          <w:t>https://doi.org/10.1145/2382577.2382579</w:t>
        </w:r>
      </w:hyperlink>
      <w:r>
        <w:rPr>
          <w:rFonts w:ascii="Malgun Gothic" w:hAnsi="Malgun Gothic" w:eastAsia="Malgun Gothic" w:cs="Malgun Gothic"/>
          <w:b w:val="0"/>
          <w:i w:val="0"/>
          <w:color w:val="000000"/>
        </w:rPr>
        <w:t xml:space="preserve"> 확인 범위: 서지·초록. 저널 분류: SJR Q1(컴퓨터과학 일반).</w:t>
      </w:r>
    </w:p>
    <w:p>
      <w:r>
        <w:rPr>
          <w:rFonts w:ascii="Malgun Gothic" w:hAnsi="Malgun Gothic" w:eastAsia="Malgun Gothic" w:cs="Malgun Gothic"/>
          <w:b w:val="0"/>
          <w:i w:val="0"/>
          <w:color w:val="000000"/>
        </w:rPr>
        <w:t xml:space="preserve">• Kipf, T. N., &amp; Welling, M. (2017). Semi-supervised classification with graph convolutional networks. </w:t>
      </w:r>
      <w:r>
        <w:rPr>
          <w:rFonts w:ascii="Malgun Gothic" w:hAnsi="Malgun Gothic" w:eastAsia="Malgun Gothic" w:cs="Malgun Gothic"/>
          <w:b w:val="0"/>
          <w:i/>
          <w:color w:val="000000"/>
        </w:rPr>
        <w:t>ICLR</w:t>
      </w:r>
      <w:r>
        <w:rPr>
          <w:rFonts w:ascii="Malgun Gothic" w:hAnsi="Malgun Gothic" w:eastAsia="Malgun Gothic" w:cs="Malgun Gothic"/>
          <w:b w:val="0"/>
          <w:i w:val="0"/>
          <w:color w:val="000000"/>
        </w:rPr>
        <w:t xml:space="preserve">. </w:t>
      </w:r>
      <w:hyperlink r:id="rId18">
        <w:r>
          <w:rPr>
            <w:rFonts w:ascii="Malgun Gothic" w:hAnsi="Malgun Gothic" w:eastAsia="Malgun Gothic" w:cs="Malgun Gothic"/>
            <w:color w:val="333333"/>
          </w:rPr>
          <w:t>저자 공개본</w:t>
        </w:r>
      </w:hyperlink>
      <w:r>
        <w:rPr>
          <w:rFonts w:ascii="Malgun Gothic" w:hAnsi="Malgun Gothic" w:eastAsia="Malgun Gothic" w:cs="Malgun Gothic"/>
          <w:b w:val="0"/>
          <w:i w:val="0"/>
          <w:color w:val="000000"/>
        </w:rPr>
        <w:t>. 학회 문헌이며 Q1 근거로 세지 않는다.</w:t>
      </w:r>
    </w:p>
    <w:p>
      <w:r>
        <w:rPr>
          <w:rFonts w:ascii="Malgun Gothic" w:hAnsi="Malgun Gothic" w:eastAsia="Malgun Gothic" w:cs="Malgun Gothic"/>
          <w:b w:val="0"/>
          <w:i w:val="0"/>
          <w:color w:val="000000"/>
        </w:rPr>
        <w:t xml:space="preserve">• Kumar, N., Qiu, L., &amp; Kumar, S. (2018). Exit, voice, and response on digital platforms: An empirical investigation of online management response strategies. </w:t>
      </w:r>
      <w:r>
        <w:rPr>
          <w:rFonts w:ascii="Malgun Gothic" w:hAnsi="Malgun Gothic" w:eastAsia="Malgun Gothic" w:cs="Malgun Gothic"/>
          <w:b w:val="0"/>
          <w:i/>
          <w:color w:val="000000"/>
        </w:rPr>
        <w:t>Information Systems Research, 29</w:t>
      </w:r>
      <w:r>
        <w:rPr>
          <w:rFonts w:ascii="Malgun Gothic" w:hAnsi="Malgun Gothic" w:eastAsia="Malgun Gothic" w:cs="Malgun Gothic"/>
          <w:b w:val="0"/>
          <w:i w:val="0"/>
          <w:color w:val="000000"/>
        </w:rPr>
        <w:t xml:space="preserve">(4), 849–870. </w:t>
      </w:r>
      <w:hyperlink r:id="rId19">
        <w:r>
          <w:rPr>
            <w:rFonts w:ascii="Malgun Gothic" w:hAnsi="Malgun Gothic" w:eastAsia="Malgun Gothic" w:cs="Malgun Gothic"/>
            <w:color w:val="333333"/>
          </w:rPr>
          <w:t>https://doi.org/10.1287/isre.2017.0749</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 Lan, T., Cheng, H., Wang, Y., &amp; Wen, B. (2022). Site selection via learning graph convolutional neural networks: A case study of Singapore. </w:t>
      </w:r>
      <w:r>
        <w:rPr>
          <w:rFonts w:ascii="Malgun Gothic" w:hAnsi="Malgun Gothic" w:eastAsia="Malgun Gothic" w:cs="Malgun Gothic"/>
          <w:b w:val="0"/>
          <w:i/>
          <w:color w:val="000000"/>
        </w:rPr>
        <w:t>Remote Sensing, 14</w:t>
      </w:r>
      <w:r>
        <w:rPr>
          <w:rFonts w:ascii="Malgun Gothic" w:hAnsi="Malgun Gothic" w:eastAsia="Malgun Gothic" w:cs="Malgun Gothic"/>
          <w:b w:val="0"/>
          <w:i w:val="0"/>
          <w:color w:val="000000"/>
        </w:rPr>
        <w:t xml:space="preserve">(15), 3579. </w:t>
      </w:r>
      <w:hyperlink r:id="rId20">
        <w:r>
          <w:rPr>
            <w:rFonts w:ascii="Malgun Gothic" w:hAnsi="Malgun Gothic" w:eastAsia="Malgun Gothic" w:cs="Malgun Gothic"/>
            <w:color w:val="333333"/>
          </w:rPr>
          <w:t>https://doi.org/10.3390/rs14153579</w:t>
        </w:r>
      </w:hyperlink>
      <w:r>
        <w:rPr>
          <w:rFonts w:ascii="Malgun Gothic" w:hAnsi="Malgun Gothic" w:eastAsia="Malgun Gothic" w:cs="Malgun Gothic"/>
          <w:b w:val="0"/>
          <w:i w:val="0"/>
          <w:color w:val="000000"/>
        </w:rPr>
        <w:t xml:space="preserve"> 확인 범위: 서지·DOAJ 초록. 저널 분류: SJR Q1(지구과학, AI/MIS 분류 아님).</w:t>
      </w:r>
    </w:p>
    <w:p>
      <w:r>
        <w:rPr>
          <w:rFonts w:ascii="Malgun Gothic" w:hAnsi="Malgun Gothic" w:eastAsia="Malgun Gothic" w:cs="Malgun Gothic"/>
          <w:b w:val="0"/>
          <w:i w:val="0"/>
          <w:color w:val="000000"/>
        </w:rPr>
        <w:t xml:space="preserve">• Li, H., Yu, B. X. B., Li, G., &amp; Gao, H. (2023). Restaurant survival prediction using customer-generated content: An aspect-based sentiment analysis of online reviews. </w:t>
      </w:r>
      <w:r>
        <w:rPr>
          <w:rFonts w:ascii="Malgun Gothic" w:hAnsi="Malgun Gothic" w:eastAsia="Malgun Gothic" w:cs="Malgun Gothic"/>
          <w:b w:val="0"/>
          <w:i/>
          <w:color w:val="000000"/>
        </w:rPr>
        <w:t>Tourism Management, 96</w:t>
      </w:r>
      <w:r>
        <w:rPr>
          <w:rFonts w:ascii="Malgun Gothic" w:hAnsi="Malgun Gothic" w:eastAsia="Malgun Gothic" w:cs="Malgun Gothic"/>
          <w:b w:val="0"/>
          <w:i w:val="0"/>
          <w:color w:val="000000"/>
        </w:rPr>
        <w:t xml:space="preserve">, 104707. </w:t>
      </w:r>
      <w:hyperlink r:id="rId21">
        <w:r>
          <w:rPr>
            <w:rFonts w:ascii="Malgun Gothic" w:hAnsi="Malgun Gothic" w:eastAsia="Malgun Gothic" w:cs="Malgun Gothic"/>
            <w:color w:val="333333"/>
          </w:rPr>
          <w:t>https://doi.org/10.1016/j.tourman.2022.104707</w:t>
        </w:r>
      </w:hyperlink>
      <w:r>
        <w:rPr>
          <w:rFonts w:ascii="Malgun Gothic" w:hAnsi="Malgun Gothic" w:eastAsia="Malgun Gothic" w:cs="Malgun Gothic"/>
          <w:b w:val="0"/>
          <w:i w:val="0"/>
          <w:color w:val="000000"/>
        </w:rPr>
        <w:t xml:space="preserve"> 확인 범위: 서지·기관 공개 요약(초록 직접 대조는 미완료). 저널 분류: SJR Q1(관광·경영).</w:t>
      </w:r>
    </w:p>
    <w:p>
      <w:r>
        <w:rPr>
          <w:rFonts w:ascii="Malgun Gothic" w:hAnsi="Malgun Gothic" w:eastAsia="Malgun Gothic" w:cs="Malgun Gothic"/>
          <w:b w:val="0"/>
          <w:i w:val="0"/>
          <w:color w:val="000000"/>
        </w:rPr>
        <w:t xml:space="preserve">• Lin, M., Lucas, H. C., &amp; Shmueli, G. (2013). Research commentary—Too big to fail: Large samples and the p-value problem. </w:t>
      </w:r>
      <w:r>
        <w:rPr>
          <w:rFonts w:ascii="Malgun Gothic" w:hAnsi="Malgun Gothic" w:eastAsia="Malgun Gothic" w:cs="Malgun Gothic"/>
          <w:b w:val="0"/>
          <w:i/>
          <w:color w:val="000000"/>
        </w:rPr>
        <w:t>Information Systems Research, 24</w:t>
      </w:r>
      <w:r>
        <w:rPr>
          <w:rFonts w:ascii="Malgun Gothic" w:hAnsi="Malgun Gothic" w:eastAsia="Malgun Gothic" w:cs="Malgun Gothic"/>
          <w:b w:val="0"/>
          <w:i w:val="0"/>
          <w:color w:val="000000"/>
        </w:rPr>
        <w:t xml:space="preserve">(4), 906–917. </w:t>
      </w:r>
      <w:hyperlink r:id="rId22">
        <w:r>
          <w:rPr>
            <w:rFonts w:ascii="Malgun Gothic" w:hAnsi="Malgun Gothic" w:eastAsia="Malgun Gothic" w:cs="Malgun Gothic"/>
            <w:color w:val="333333"/>
          </w:rPr>
          <w:t>https://doi.org/10.1287/isre.2013.0480</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 Liu, Y., Guo, B., Zhang, D., Zeghlache, D., Chen, J., Hu, K., Zhang, S., Zhou, D., &amp; Yu, Z. (2021). Knowledge transfer with weighted adversarial network for cold-start store site recommendation. </w:t>
      </w:r>
      <w:r>
        <w:rPr>
          <w:rFonts w:ascii="Malgun Gothic" w:hAnsi="Malgun Gothic" w:eastAsia="Malgun Gothic" w:cs="Malgun Gothic"/>
          <w:b w:val="0"/>
          <w:i/>
          <w:color w:val="000000"/>
        </w:rPr>
        <w:t>ACM Transactions on Knowledge Discovery from Data, 15</w:t>
      </w:r>
      <w:r>
        <w:rPr>
          <w:rFonts w:ascii="Malgun Gothic" w:hAnsi="Malgun Gothic" w:eastAsia="Malgun Gothic" w:cs="Malgun Gothic"/>
          <w:b w:val="0"/>
          <w:i w:val="0"/>
          <w:color w:val="000000"/>
        </w:rPr>
        <w:t xml:space="preserve">(3), 1–27. </w:t>
      </w:r>
      <w:hyperlink r:id="rId23">
        <w:r>
          <w:rPr>
            <w:rFonts w:ascii="Malgun Gothic" w:hAnsi="Malgun Gothic" w:eastAsia="Malgun Gothic" w:cs="Malgun Gothic"/>
            <w:color w:val="333333"/>
          </w:rPr>
          <w:t>https://doi.org/10.1145/3442203</w:t>
        </w:r>
      </w:hyperlink>
      <w:r>
        <w:rPr>
          <w:rFonts w:ascii="Malgun Gothic" w:hAnsi="Malgun Gothic" w:eastAsia="Malgun Gothic" w:cs="Malgun Gothic"/>
          <w:b w:val="0"/>
          <w:i w:val="0"/>
          <w:color w:val="000000"/>
        </w:rPr>
        <w:t xml:space="preserve"> 확인 범위: 서지·초록. 저널 분류: SJR Q1(컴퓨터과학 일반).</w:t>
      </w:r>
    </w:p>
    <w:p>
      <w:r>
        <w:rPr>
          <w:rFonts w:ascii="Malgun Gothic" w:hAnsi="Malgun Gothic" w:eastAsia="Malgun Gothic" w:cs="Malgun Gothic"/>
          <w:b w:val="0"/>
          <w:i w:val="0"/>
          <w:color w:val="000000"/>
        </w:rPr>
        <w:t xml:space="preserve">• Luca, M., &amp; Zervas, G. (2016). Fake it till you make it: Reputation, competition, and Yelp review fraud. </w:t>
      </w:r>
      <w:r>
        <w:rPr>
          <w:rFonts w:ascii="Malgun Gothic" w:hAnsi="Malgun Gothic" w:eastAsia="Malgun Gothic" w:cs="Malgun Gothic"/>
          <w:b w:val="0"/>
          <w:i/>
          <w:color w:val="000000"/>
        </w:rPr>
        <w:t>Management Science, 62</w:t>
      </w:r>
      <w:r>
        <w:rPr>
          <w:rFonts w:ascii="Malgun Gothic" w:hAnsi="Malgun Gothic" w:eastAsia="Malgun Gothic" w:cs="Malgun Gothic"/>
          <w:b w:val="0"/>
          <w:i w:val="0"/>
          <w:color w:val="000000"/>
        </w:rPr>
        <w:t xml:space="preserve">(12), 3412–3427. </w:t>
      </w:r>
      <w:hyperlink r:id="rId24">
        <w:r>
          <w:rPr>
            <w:rFonts w:ascii="Malgun Gothic" w:hAnsi="Malgun Gothic" w:eastAsia="Malgun Gothic" w:cs="Malgun Gothic"/>
            <w:color w:val="333333"/>
          </w:rPr>
          <w:t>https://doi.org/10.1287/mnsc.2015.2304</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Martens, D., Provost, F., Clark, J., &amp; de Fortuny, E. J. (2016). Mining massive fine-grained behavior data to improve predictive analytics. </w:t>
      </w:r>
      <w:r>
        <w:rPr>
          <w:rFonts w:ascii="Malgun Gothic" w:hAnsi="Malgun Gothic" w:eastAsia="Malgun Gothic" w:cs="Malgun Gothic"/>
          <w:b w:val="0"/>
          <w:i/>
          <w:color w:val="000000"/>
        </w:rPr>
        <w:t>MIS Quarterly, 40</w:t>
      </w:r>
      <w:r>
        <w:rPr>
          <w:rFonts w:ascii="Malgun Gothic" w:hAnsi="Malgun Gothic" w:eastAsia="Malgun Gothic" w:cs="Malgun Gothic"/>
          <w:b w:val="0"/>
          <w:i w:val="0"/>
          <w:color w:val="000000"/>
        </w:rPr>
        <w:t xml:space="preserve">(4), 869–888. </w:t>
      </w:r>
      <w:hyperlink r:id="rId25">
        <w:r>
          <w:rPr>
            <w:rFonts w:ascii="Malgun Gothic" w:hAnsi="Malgun Gothic" w:eastAsia="Malgun Gothic" w:cs="Malgun Gothic"/>
            <w:color w:val="333333"/>
          </w:rPr>
          <w:t>https://doi.org/10.25300/MISQ/2016/40.4.04</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Shchur, O., Mumme, M., Bojchevski, A., &amp; Günnemann, S. (2018). Pitfalls of graph neural network evaluation. </w:t>
      </w:r>
      <w:r>
        <w:rPr>
          <w:rFonts w:ascii="Malgun Gothic" w:hAnsi="Malgun Gothic" w:eastAsia="Malgun Gothic" w:cs="Malgun Gothic"/>
          <w:b w:val="0"/>
          <w:i/>
          <w:color w:val="000000"/>
        </w:rPr>
        <w:t>Relational Representation Learning Workshop, NeurIPS</w:t>
      </w:r>
      <w:r>
        <w:rPr>
          <w:rFonts w:ascii="Malgun Gothic" w:hAnsi="Malgun Gothic" w:eastAsia="Malgun Gothic" w:cs="Malgun Gothic"/>
          <w:b w:val="0"/>
          <w:i w:val="0"/>
          <w:color w:val="000000"/>
        </w:rPr>
        <w:t xml:space="preserve">. </w:t>
      </w:r>
      <w:hyperlink r:id="rId26">
        <w:r>
          <w:rPr>
            <w:rFonts w:ascii="Malgun Gothic" w:hAnsi="Malgun Gothic" w:eastAsia="Malgun Gothic" w:cs="Malgun Gothic"/>
            <w:color w:val="333333"/>
          </w:rPr>
          <w:t>저자 공개본</w:t>
        </w:r>
      </w:hyperlink>
      <w:r>
        <w:rPr>
          <w:rFonts w:ascii="Malgun Gothic" w:hAnsi="Malgun Gothic" w:eastAsia="Malgun Gothic" w:cs="Malgun Gothic"/>
          <w:b w:val="0"/>
          <w:i w:val="0"/>
          <w:color w:val="000000"/>
        </w:rPr>
        <w:t>. 워크숍 문헌이며 Q1 근거로 세지 않는다.</w:t>
      </w:r>
    </w:p>
    <w:p>
      <w:r>
        <w:rPr>
          <w:rFonts w:ascii="Malgun Gothic" w:hAnsi="Malgun Gothic" w:eastAsia="Malgun Gothic" w:cs="Malgun Gothic"/>
          <w:b w:val="0"/>
          <w:i w:val="0"/>
          <w:color w:val="000000"/>
        </w:rPr>
        <w:t xml:space="preserve">• Shmueli, G., &amp; Koppius, O. R. (2011). Predictive analytics in information systems research. </w:t>
      </w:r>
      <w:r>
        <w:rPr>
          <w:rFonts w:ascii="Malgun Gothic" w:hAnsi="Malgun Gothic" w:eastAsia="Malgun Gothic" w:cs="Malgun Gothic"/>
          <w:b w:val="0"/>
          <w:i/>
          <w:color w:val="000000"/>
        </w:rPr>
        <w:t>MIS Quarterly, 35</w:t>
      </w:r>
      <w:r>
        <w:rPr>
          <w:rFonts w:ascii="Malgun Gothic" w:hAnsi="Malgun Gothic" w:eastAsia="Malgun Gothic" w:cs="Malgun Gothic"/>
          <w:b w:val="0"/>
          <w:i w:val="0"/>
          <w:color w:val="000000"/>
        </w:rPr>
        <w:t xml:space="preserve">(3), 553–572. </w:t>
      </w:r>
      <w:hyperlink r:id="rId27">
        <w:r>
          <w:rPr>
            <w:rFonts w:ascii="Malgun Gothic" w:hAnsi="Malgun Gothic" w:eastAsia="Malgun Gothic" w:cs="Malgun Gothic"/>
            <w:color w:val="333333"/>
          </w:rPr>
          <w:t>https://doi.org/10.2307/23042796</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Yu, Z., Tian, M., Wang, Z., Guo, B., &amp; Mei, T. (2016). Shop-type recommendation leveraging the data from social media and location-based services. </w:t>
      </w:r>
      <w:r>
        <w:rPr>
          <w:rFonts w:ascii="Malgun Gothic" w:hAnsi="Malgun Gothic" w:eastAsia="Malgun Gothic" w:cs="Malgun Gothic"/>
          <w:b w:val="0"/>
          <w:i/>
          <w:color w:val="000000"/>
        </w:rPr>
        <w:t>ACM Transactions on Knowledge Discovery from Data, 11</w:t>
      </w:r>
      <w:r>
        <w:rPr>
          <w:rFonts w:ascii="Malgun Gothic" w:hAnsi="Malgun Gothic" w:eastAsia="Malgun Gothic" w:cs="Malgun Gothic"/>
          <w:b w:val="0"/>
          <w:i w:val="0"/>
          <w:color w:val="000000"/>
        </w:rPr>
        <w:t xml:space="preserve">(1), 1–21. </w:t>
      </w:r>
      <w:hyperlink r:id="rId28">
        <w:r>
          <w:rPr>
            <w:rFonts w:ascii="Malgun Gothic" w:hAnsi="Malgun Gothic" w:eastAsia="Malgun Gothic" w:cs="Malgun Gothic"/>
            <w:color w:val="333333"/>
          </w:rPr>
          <w:t>https://doi.org/10.1145/2930671</w:t>
        </w:r>
      </w:hyperlink>
      <w:r>
        <w:rPr>
          <w:rFonts w:ascii="Malgun Gothic" w:hAnsi="Malgun Gothic" w:eastAsia="Malgun Gothic" w:cs="Malgun Gothic"/>
          <w:b w:val="0"/>
          <w:i w:val="0"/>
          <w:color w:val="000000"/>
        </w:rPr>
        <w:t xml:space="preserve"> 확인 범위: 서지·초록. 저널 분류: SJR Q1(컴퓨터과학 일반).</w:t>
      </w:r>
    </w:p>
    <w:p>
      <w:r>
        <w:rPr>
          <w:rFonts w:ascii="Malgun Gothic" w:hAnsi="Malgun Gothic" w:eastAsia="Malgun Gothic" w:cs="Malgun Gothic"/>
          <w:b w:val="0"/>
          <w:i w:val="0"/>
          <w:color w:val="000000"/>
        </w:rPr>
        <w:t xml:space="preserve">• Zhang, M., &amp; Luo, L. (2023). Can consumer-posted photos serve as a leading indicator of restaurant survival? Evidence from Yelp. </w:t>
      </w:r>
      <w:r>
        <w:rPr>
          <w:rFonts w:ascii="Malgun Gothic" w:hAnsi="Malgun Gothic" w:eastAsia="Malgun Gothic" w:cs="Malgun Gothic"/>
          <w:b w:val="0"/>
          <w:i/>
          <w:color w:val="000000"/>
        </w:rPr>
        <w:t>Management Science, 69</w:t>
      </w:r>
      <w:r>
        <w:rPr>
          <w:rFonts w:ascii="Malgun Gothic" w:hAnsi="Malgun Gothic" w:eastAsia="Malgun Gothic" w:cs="Malgun Gothic"/>
          <w:b w:val="0"/>
          <w:i w:val="0"/>
          <w:color w:val="000000"/>
        </w:rPr>
        <w:t xml:space="preserve">(1), 25–50. </w:t>
      </w:r>
      <w:hyperlink r:id="rId29">
        <w:r>
          <w:rPr>
            <w:rFonts w:ascii="Malgun Gothic" w:hAnsi="Malgun Gothic" w:eastAsia="Malgun Gothic" w:cs="Malgun Gothic"/>
            <w:color w:val="333333"/>
          </w:rPr>
          <w:t>https://doi.org/10.1287/mnsc.2022.4359</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Zheng, Y., Capra, L., Wolfson, O., &amp; Yang, H. (2014). Urban computing: Concepts, methodologies, and applications. </w:t>
      </w:r>
      <w:r>
        <w:rPr>
          <w:rFonts w:ascii="Malgun Gothic" w:hAnsi="Malgun Gothic" w:eastAsia="Malgun Gothic" w:cs="Malgun Gothic"/>
          <w:b w:val="0"/>
          <w:i/>
          <w:color w:val="000000"/>
        </w:rPr>
        <w:t>ACM Transactions on Intelligent Systems and Technology, 5</w:t>
      </w:r>
      <w:r>
        <w:rPr>
          <w:rFonts w:ascii="Malgun Gothic" w:hAnsi="Malgun Gothic" w:eastAsia="Malgun Gothic" w:cs="Malgun Gothic"/>
          <w:b w:val="0"/>
          <w:i w:val="0"/>
          <w:color w:val="000000"/>
        </w:rPr>
        <w:t xml:space="preserve">(3), 1–55. </w:t>
      </w:r>
      <w:hyperlink r:id="rId30">
        <w:r>
          <w:rPr>
            <w:rFonts w:ascii="Malgun Gothic" w:hAnsi="Malgun Gothic" w:eastAsia="Malgun Gothic" w:cs="Malgun Gothic"/>
            <w:color w:val="333333"/>
          </w:rPr>
          <w:t>https://doi.org/10.1145/2629592</w:t>
        </w:r>
      </w:hyperlink>
      <w:r>
        <w:rPr>
          <w:rFonts w:ascii="Malgun Gothic" w:hAnsi="Malgun Gothic" w:eastAsia="Malgun Gothic" w:cs="Malgun Gothic"/>
          <w:b w:val="0"/>
          <w:i w:val="0"/>
          <w:color w:val="000000"/>
        </w:rPr>
        <w:t xml:space="preserve"> 확인 범위: 서지·초록. 저널 분류: SJR Q1(인공지능).</w:t>
      </w:r>
    </w:p>
    <w:p>
      <w:pPr>
        <w:pStyle w:val="Heading1"/>
      </w:pPr>
      <w:r>
        <w:t>부록 재현 자료와 확인 범위</w:t>
      </w:r>
    </w:p>
    <w:p>
      <w:r>
        <w:rPr>
          <w:rFonts w:ascii="Malgun Gothic" w:hAnsi="Malgun Gothic" w:eastAsia="Malgun Gothic" w:cs="Malgun Gothic"/>
          <w:b w:val="0"/>
          <w:i w:val="0"/>
          <w:color w:val="000000"/>
        </w:rPr>
        <w:t xml:space="preserve">분석 수치의 출처는 </w:t>
      </w:r>
      <w:hyperlink w:anchor="source3">
        <w:r>
          <w:rPr>
            <w:rFonts w:ascii="Malgun Gothic" w:hAnsi="Malgun Gothic" w:eastAsia="Malgun Gothic" w:cs="Malgun Gothic"/>
            <w:color w:val="333333"/>
            <w:sz w:val="17"/>
          </w:rPr>
          <w:t>근거 인덱스 [자료 3]</w:t>
        </w:r>
      </w:hyperlink>
      <w:r>
        <w:rPr>
          <w:rFonts w:ascii="Malgun Gothic" w:hAnsi="Malgun Gothic" w:eastAsia="Malgun Gothic" w:cs="Malgun Gothic"/>
          <w:b w:val="0"/>
          <w:i w:val="0"/>
          <w:color w:val="000000"/>
        </w:rPr>
        <w:t xml:space="preserve">의 P1 및 집필 시 해석 정정 절이다. 세분 라벨 결과는 </w:t>
      </w:r>
      <w:r>
        <w:rPr>
          <w:rFonts w:ascii="Malgun Gothic" w:hAnsi="Malgun Gothic" w:eastAsia="Malgun Gothic" w:cs="Malgun Gothic"/>
          <w:b w:val="0"/>
          <w:i w:val="0"/>
          <w:color w:val="000000"/>
        </w:rPr>
        <w:t>reports/gnn_category2_mcnemar_2026-08-27.json</w:t>
      </w:r>
      <w:r>
        <w:rPr>
          <w:rFonts w:ascii="Malgun Gothic" w:hAnsi="Malgun Gothic" w:eastAsia="Malgun Gothic" w:cs="Malgun Gothic"/>
          <w:b w:val="0"/>
          <w:i w:val="0"/>
          <w:color w:val="000000"/>
        </w:rPr>
        <w:t xml:space="preserve">, 수율은 </w:t>
      </w:r>
      <w:r>
        <w:rPr>
          <w:rFonts w:ascii="Malgun Gothic" w:hAnsi="Malgun Gothic" w:eastAsia="Malgun Gothic" w:cs="Malgun Gothic"/>
          <w:b w:val="0"/>
          <w:i w:val="0"/>
          <w:color w:val="000000"/>
        </w:rPr>
        <w:t>reports/offprior_hub_yield_probe_2026-08-27.json</w:t>
      </w:r>
      <w:r>
        <w:rPr>
          <w:rFonts w:ascii="Malgun Gothic" w:hAnsi="Malgun Gothic" w:eastAsia="Malgun Gothic" w:cs="Malgun Gothic"/>
          <w:b w:val="0"/>
          <w:i w:val="0"/>
          <w:color w:val="000000"/>
        </w:rPr>
        <w:t xml:space="preserve">, 조기종료·행정동 비교는 </w:t>
      </w:r>
      <w:r>
        <w:rPr>
          <w:rFonts w:ascii="Malgun Gothic" w:hAnsi="Malgun Gothic" w:eastAsia="Malgun Gothic" w:cs="Malgun Gothic"/>
          <w:b w:val="0"/>
          <w:i w:val="0"/>
          <w:color w:val="000000"/>
        </w:rPr>
        <w:t>reports/gnn_selectby_ablation.json</w:t>
      </w:r>
      <w:r>
        <w:rPr>
          <w:rFonts w:ascii="Malgun Gothic" w:hAnsi="Malgun Gothic" w:eastAsia="Malgun Gothic" w:cs="Malgun Gothic"/>
          <w:b w:val="0"/>
          <w:i w:val="0"/>
          <w:color w:val="000000"/>
        </w:rPr>
        <w:t xml:space="preserve">과 </w:t>
      </w:r>
      <w:r>
        <w:rPr>
          <w:rFonts w:ascii="Malgun Gothic" w:hAnsi="Malgun Gothic" w:eastAsia="Malgun Gothic" w:cs="Malgun Gothic"/>
          <w:b w:val="0"/>
          <w:i w:val="0"/>
          <w:color w:val="000000"/>
        </w:rPr>
        <w:t>reports/gnn_adong_2026-08-25.json</w:t>
      </w:r>
      <w:r>
        <w:rPr>
          <w:rFonts w:ascii="Malgun Gothic" w:hAnsi="Malgun Gothic" w:eastAsia="Malgun Gothic" w:cs="Malgun Gothic"/>
          <w:b w:val="0"/>
          <w:i w:val="0"/>
          <w:color w:val="000000"/>
        </w:rPr>
        <w:t xml:space="preserve">에 연결된다. 수요신호와 추가 수집 판단의 이력은 </w:t>
      </w:r>
      <w:r>
        <w:rPr>
          <w:rFonts w:ascii="Malgun Gothic" w:hAnsi="Malgun Gothic" w:eastAsia="Malgun Gothic" w:cs="Malgun Gothic"/>
          <w:b w:val="0"/>
          <w:i w:val="0"/>
          <w:color w:val="000000"/>
        </w:rPr>
        <w:t>docs/feature-platform.md</w:t>
      </w:r>
      <w:r>
        <w:rPr>
          <w:rFonts w:ascii="Malgun Gothic" w:hAnsi="Malgun Gothic" w:eastAsia="Malgun Gothic" w:cs="Malgun Gothic"/>
          <w:b w:val="0"/>
          <w:i w:val="0"/>
          <w:color w:val="000000"/>
        </w:rPr>
        <w:t>에 있다.</w:t>
      </w:r>
    </w:p>
    <w:p>
      <w:r>
        <w:rPr>
          <w:rFonts w:ascii="Malgun Gothic" w:hAnsi="Malgun Gothic" w:eastAsia="Malgun Gothic" w:cs="Malgun Gothic"/>
          <w:b w:val="0"/>
          <w:i w:val="0"/>
          <w:color w:val="000000"/>
        </w:rPr>
        <w:t>세분 라벨 요약의 repro 항목에는 당시 학습 및 덤프 비교 명령이 보존되어 있다. 그러나 예측 덤프가 추적되지 않고 원천도 교체되었으므로 명령의 존재가 현재 완전 재현을 보장하지 않는다. 이 원고 작성에서는 보존 수치와 계산 정의를 대조했으며 학습이나 신규 수집을 실행하지 않았다.</w:t>
      </w:r>
    </w:p>
    <w:p>
      <w:pPr>
        <w:pStyle w:val="Heading1"/>
      </w:pPr>
      <w:r>
        <w:t>자료 주석</w:t>
      </w:r>
    </w:p>
    <w:p>
      <w:r>
        <w:t>자료 경로는 저장소의 docs/papers를 기준으로 한다. 원천 전체의 공개 접근이나 독립 재현을 보장하지 않는다.</w:t>
      </w:r>
    </w:p>
    <w:p>
      <w:pPr>
        <w:spacing w:line="276" w:lineRule="auto"/>
      </w:pPr>
      <w:bookmarkStart w:id="1" w:name="source1"/>
      <w:r>
        <w:rPr>
          <w:rFonts w:ascii="Malgun Gothic" w:hAnsi="Malgun Gothic" w:eastAsia="Malgun Gothic" w:cs="Malgun Gothic"/>
          <w:b/>
          <w:color w:val="000000"/>
          <w:sz w:val="18"/>
        </w:rPr>
        <w:t>1. 근거: PLATFORM-U01–U05</w:t>
      </w:r>
      <w:bookmarkEnd w:id="1"/>
      <w:r>
        <w:rPr>
          <w:rFonts w:ascii="Malgun Gothic" w:hAnsi="Malgun Gothic" w:eastAsia="Malgun Gothic" w:cs="Malgun Gothic"/>
          <w:color w:val="000000"/>
          <w:sz w:val="18"/>
        </w:rPr>
        <w:br/>
        <w:t>evidence-index.md#pppp-update-20261011</w:t>
      </w:r>
    </w:p>
    <w:p>
      <w:pPr>
        <w:spacing w:line="276" w:lineRule="auto"/>
      </w:pPr>
      <w:bookmarkStart w:id="2" w:name="source2"/>
      <w:r>
        <w:rPr>
          <w:rFonts w:ascii="Malgun Gothic" w:hAnsi="Malgun Gothic" w:eastAsia="Malgun Gothic" w:cs="Malgun Gothic"/>
          <w:b/>
          <w:color w:val="000000"/>
          <w:sz w:val="18"/>
        </w:rPr>
        <w:t>2. 후속 근거: PLATFORM-V01–V04</w:t>
      </w:r>
      <w:bookmarkEnd w:id="2"/>
      <w:r>
        <w:rPr>
          <w:rFonts w:ascii="Malgun Gothic" w:hAnsi="Malgun Gothic" w:eastAsia="Malgun Gothic" w:cs="Malgun Gothic"/>
          <w:color w:val="000000"/>
          <w:sz w:val="18"/>
        </w:rPr>
        <w:br/>
        <w:t>evidence-index.md#update-20261018</w:t>
      </w:r>
    </w:p>
    <w:p>
      <w:pPr>
        <w:spacing w:line="276" w:lineRule="auto"/>
      </w:pPr>
      <w:bookmarkStart w:id="3" w:name="source3"/>
      <w:r>
        <w:rPr>
          <w:rFonts w:ascii="Malgun Gothic" w:hAnsi="Malgun Gothic" w:eastAsia="Malgun Gothic" w:cs="Malgun Gothic"/>
          <w:b/>
          <w:color w:val="000000"/>
          <w:sz w:val="18"/>
        </w:rPr>
        <w:t>3. 검증 근거: P1 및 PLATFORM-E01–E06</w:t>
      </w:r>
      <w:bookmarkEnd w:id="3"/>
      <w:r>
        <w:rPr>
          <w:rFonts w:ascii="Malgun Gothic" w:hAnsi="Malgun Gothic" w:eastAsia="Malgun Gothic" w:cs="Malgun Gothic"/>
          <w:color w:val="000000"/>
          <w:sz w:val="18"/>
        </w:rPr>
        <w:br/>
        <w:t>evidence-index.md</w:t>
      </w:r>
    </w:p>
    <w:p>
      <w:pPr>
        <w:spacing w:line="276" w:lineRule="auto"/>
      </w:pPr>
      <w:bookmarkStart w:id="4" w:name="source4"/>
      <w:r>
        <w:rPr>
          <w:rFonts w:ascii="Malgun Gothic" w:hAnsi="Malgun Gothic" w:eastAsia="Malgun Gothic" w:cs="Malgun Gothic"/>
          <w:b/>
          <w:color w:val="000000"/>
          <w:sz w:val="18"/>
        </w:rPr>
        <w:t>4. 문헌 확인 범위</w:t>
      </w:r>
      <w:bookmarkEnd w:id="4"/>
      <w:r>
        <w:rPr>
          <w:rFonts w:ascii="Malgun Gothic" w:hAnsi="Malgun Gothic" w:eastAsia="Malgun Gothic" w:cs="Malgun Gothic"/>
          <w:color w:val="000000"/>
          <w:sz w:val="18"/>
        </w:rPr>
        <w:br/>
        <w:t>evidence-index.md#literature-q1-20261011</w:t>
      </w:r>
    </w:p>
    <w:sectPr w:rsidR="00FC693F" w:rsidRPr="0006063C" w:rsidSect="00034616">
      <w:footerReference w:type="default" r:id="rId9"/>
      <w:pgSz w:w="11906" w:h="16838"/>
      <w:pgMar w:top="1191" w:right="1247" w:bottom="1134"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algun Gothic">
    <w:embedRegular r:id="rIdPageRegular" w:fontKey="{AE5EE113-77D5-43D4-8BAB-6E7493D24CCF}"/>
    <w:embedBold r:id="rIdPageBold" w:fontKey="{B11E3324-91EF-4943-BB7B-B640A74812C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40"/>
    </w:pPr>
    <w:rPr>
      <w:rFonts w:ascii="Malgun Gothic" w:hAnsi="Malgun Gothic" w:eastAsia="Malgun Gothic" w:cs="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algun Gothic" w:hAnsi="Malgun Gothic" w:eastAsia="Malgun Gothic" w:cs="Malgun Gothi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Malgun Gothic" w:hAnsi="Malgun Gothic" w:eastAsia="Malgun Gothic" w:cs="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Malgun Gothic" w:hAnsi="Malgun Gothic" w:eastAsia="Malgun Gothic" w:cs="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Malgun Gothic" w:cs="Malgun 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Malgun Gothic" w:hAnsi="Malgun Gothic" w:eastAsia="Malgun Gothic" w:cs="Malgun 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Malgun Gothic" w:hAnsi="Malgun Gothic" w:eastAsia="Malgun Gothic" w:cs="Malgun Gothi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2307/248704" TargetMode="External"/><Relationship Id="rId11" Type="http://schemas.openxmlformats.org/officeDocument/2006/relationships/hyperlink" Target="https://doi.org/10.1057/s41265-016-0033-3" TargetMode="External"/><Relationship Id="rId12" Type="http://schemas.openxmlformats.org/officeDocument/2006/relationships/hyperlink" Target="https://doi.org/10.1162/089976698300017197" TargetMode="External"/><Relationship Id="rId13" Type="http://schemas.openxmlformats.org/officeDocument/2006/relationships/hyperlink" Target="https://doi.org/10.1145/3434185" TargetMode="External"/><Relationship Id="rId14" Type="http://schemas.openxmlformats.org/officeDocument/2006/relationships/hyperlink" Target="https://doi.org/10.1287/mnsc.1080.0932" TargetMode="External"/><Relationship Id="rId15" Type="http://schemas.openxmlformats.org/officeDocument/2006/relationships/hyperlink" Target="https://doi.org/10.1287/isre.1120.0453" TargetMode="External"/><Relationship Id="rId16" Type="http://schemas.openxmlformats.org/officeDocument/2006/relationships/hyperlink" Target="https://doi.org/10.1145/3161411" TargetMode="External"/><Relationship Id="rId17" Type="http://schemas.openxmlformats.org/officeDocument/2006/relationships/hyperlink" Target="https://doi.org/10.1145/2382577.2382579" TargetMode="External"/><Relationship Id="rId18" Type="http://schemas.openxmlformats.org/officeDocument/2006/relationships/hyperlink" Target="https://arxiv.org/abs/1609.02907" TargetMode="External"/><Relationship Id="rId19" Type="http://schemas.openxmlformats.org/officeDocument/2006/relationships/hyperlink" Target="https://doi.org/10.1287/isre.2017.0749" TargetMode="External"/><Relationship Id="rId20" Type="http://schemas.openxmlformats.org/officeDocument/2006/relationships/hyperlink" Target="https://doi.org/10.3390/rs14153579" TargetMode="External"/><Relationship Id="rId21" Type="http://schemas.openxmlformats.org/officeDocument/2006/relationships/hyperlink" Target="https://doi.org/10.1016/j.tourman.2022.104707" TargetMode="External"/><Relationship Id="rId22" Type="http://schemas.openxmlformats.org/officeDocument/2006/relationships/hyperlink" Target="https://doi.org/10.1287/isre.2013.0480" TargetMode="External"/><Relationship Id="rId23" Type="http://schemas.openxmlformats.org/officeDocument/2006/relationships/hyperlink" Target="https://doi.org/10.1145/3442203" TargetMode="External"/><Relationship Id="rId24" Type="http://schemas.openxmlformats.org/officeDocument/2006/relationships/hyperlink" Target="https://doi.org/10.1287/mnsc.2015.2304" TargetMode="External"/><Relationship Id="rId25" Type="http://schemas.openxmlformats.org/officeDocument/2006/relationships/hyperlink" Target="https://doi.org/10.25300/MISQ/2016/40.4.04" TargetMode="External"/><Relationship Id="rId26" Type="http://schemas.openxmlformats.org/officeDocument/2006/relationships/hyperlink" Target="https://arxiv.org/abs/1811.05868" TargetMode="External"/><Relationship Id="rId27" Type="http://schemas.openxmlformats.org/officeDocument/2006/relationships/hyperlink" Target="https://doi.org/10.2307/23042796" TargetMode="External"/><Relationship Id="rId28" Type="http://schemas.openxmlformats.org/officeDocument/2006/relationships/hyperlink" Target="https://doi.org/10.1145/2930671" TargetMode="External"/><Relationship Id="rId29" Type="http://schemas.openxmlformats.org/officeDocument/2006/relationships/hyperlink" Target="https://doi.org/10.1287/mnsc.2022.4359" TargetMode="External"/><Relationship Id="rId30" Type="http://schemas.openxmlformats.org/officeDocument/2006/relationships/hyperlink" Target="https://doi.org/10.1145/2629592" TargetMode="External"/></Relationships>
</file>

<file path=word/_rels/fontTable.xml.rels><?xml version='1.0' encoding='UTF-8' standalone='yes'?>
<Relationships xmlns="http://schemas.openxmlformats.org/package/2006/relationships"><Relationship Id="rIdPageRegular" Type="http://schemas.openxmlformats.org/officeDocument/2006/relationships/font" Target="fonts/page-regular.odttf"/><Relationship Id="rIdPageBold" Type="http://schemas.openxmlformats.org/officeDocument/2006/relationships/font" Target="fonts/page-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거점 사전분포를 고려한 상권 그래프 신경망 업종 분류의 성능 한계</dc:title>
  <dc:subject>PlaceOS Platform 연구</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