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</w:pPr>
      <w:r>
        <w:rPr>
          <w:rFonts w:ascii="Noto Sans KR" w:hAnsi="Noto Sans KR" w:eastAsia="Noto Sans KR" w:cs="Noto Sans KR"/>
          <w:b/>
          <w:i w:val="0"/>
          <w:color w:val="1B3A5C"/>
          <w:spacing w:val="-14"/>
          <w:sz w:val="52"/>
        </w:rPr>
        <w:t>경 력 기 술 서</w:t>
      </w:r>
    </w:p>
    <w:p>
      <w:pPr>
        <w:pBdr>
          <w:bottom w:val="single" w:sz="12" w:space="9" w:color="1B3A5C"/>
        </w:pBdr>
        <w:spacing w:before="0" w:after="8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20"/>
        </w:rPr>
        <w:t>Statement of Experience · 성명: [                              ]</w:t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1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요약</w:t>
      </w:r>
    </w:p>
    <w:p>
      <w:pPr>
        <w:spacing w:before="0" w:after="140" w:line="360" w:lineRule="auto"/>
        <w:jc w:val="both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오프라인 상권을 데이터로 재구성하는 SaaS 두 종을 기획부터 배포까지 단독으로 수행했습니다. 수집 파이프라인, 예측 모델, API, 화면, 배포까지 전 구간을 담당했으며, 두 서비스 모두 운영 중입니다. 아래 정량 성과는 모두 저장소의 산출물 계측 스크립트에서 산출한 값이며, 미달 항목도 그대로 기재했습니다.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3515"/>
        <w:gridCol w:w="3515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항목</w:t>
            </w:r>
          </w:p>
        </w:tc>
        <w:tc>
          <w:tcPr>
            <w:tcW w:type="dxa" w:w="3515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값</w:t>
            </w:r>
          </w:p>
        </w:tc>
        <w:tc>
          <w:tcPr>
            <w:tcW w:type="dxa" w:w="3515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산출 근거</w:t>
            </w:r>
          </w:p>
        </w:tc>
      </w:tr>
      <w:tr>
        <w:trPr>
          <w:cantSplit w:val="true"/>
        </w:trPr>
        <w:tc>
          <w:tcPr>
            <w:tcW w:type="dxa" w:w="19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대상 상권</w:t>
            </w:r>
          </w:p>
        </w:tc>
        <w:tc>
          <w:tcPr>
            <w:tcW w:type="dxa" w:w="351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서울 66개 거점</w:t>
            </w:r>
          </w:p>
        </w:tc>
        <w:tc>
          <w:tcPr>
            <w:tcW w:type="dxa" w:w="351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건축물대장 실측 (Tier1)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공실 인벤토리</w:t>
            </w:r>
          </w:p>
        </w:tc>
        <w:tc>
          <w:tcPr>
            <w:tcW w:type="dxa" w:w="351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664유닛 (층 단위 12,497개)</w:t>
            </w:r>
          </w:p>
        </w:tc>
        <w:tc>
          <w:tcPr>
            <w:tcW w:type="dxa" w:w="351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확정 9,437 / 추정 3,060</w:t>
            </w:r>
          </w:p>
        </w:tc>
      </w:tr>
      <w:tr>
        <w:trPr>
          <w:cantSplit w:val="true"/>
        </w:trPr>
        <w:tc>
          <w:tcPr>
            <w:tcW w:type="dxa" w:w="19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코드 규모</w:t>
            </w:r>
          </w:p>
        </w:tc>
        <w:tc>
          <w:tcPr>
            <w:tcW w:type="dxa" w:w="351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58,921 라인 (Python · TypeScript)</w:t>
            </w:r>
          </w:p>
        </w:tc>
        <w:tc>
          <w:tcPr>
            <w:tcW w:type="dxa" w:w="351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git ls-files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트랙 진행률</w:t>
            </w:r>
          </w:p>
        </w:tc>
        <w:tc>
          <w:tcPr>
            <w:tcW w:type="dxa" w:w="351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Page 100.0% · Posting 100.0% ·</w:t>
            </w:r>
          </w:p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Program 100.0% · Platform 66.7%</w:t>
            </w:r>
          </w:p>
        </w:tc>
        <w:tc>
          <w:tcPr>
            <w:tcW w:type="dxa" w:w="351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scripts/pppp_status.py</w:t>
            </w:r>
          </w:p>
        </w:tc>
      </w:tr>
    </w:tbl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2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PlaceOS — 오프라인 상권 디지털 트윈 플랫폼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2.1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프로젝트 개요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257"/>
      </w:tblGrid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기간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2026.05 ~ 현재 (진행 중)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역할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기획 · 아키텍처 설계 · 전 구간 개발 · 배포 (단독)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사용 기술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Python 3.11, FastAPI, PostgreSQL / PostGIS, Redis, Celery / PyTorch, PyTorch Geometric, MLflow / React, TypeScript, Vite, 네이버 지도 API / Docker, GitHub Actions, Google Cloud Run, Firebase Hosting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운영 주소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https://placeos.web.app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문제 정의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상권 정보가 '어느 동네가 뜨는가' 수준의 행정동 통계에 머물러, '어느 건물 몇 층이 비었고 거기에 무엇이 들어가야 하는가'를 답하지 못한다.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해결 접근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건축물대장을 실측 원천으로 삼아 건물 - 층 - 유닛 단위 공실 인벤토리를 세우고, 그 위에 공실 예측 · 업종 추천 · 입점 ROI · 마케팅 생성 네 트랙을 얹었다.</w:t>
            </w:r>
          </w:p>
        </w:tc>
      </w:tr>
    </w:tbl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2.2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Platform — 상권 AI 추천 엔진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담당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LSTM 공실 예측 모델과 GNN 업종 추천 모델의 데이터셋 구성, 학습, 서빙 연동.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규모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GNN 그래프 노드 47,442개 · 피처 117열.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성과 (공실 예측)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MAE 1.061 — 직전 분기값을 그대로 내미는 지속성 베이스라인 1.333 대비 +20.5% 개선.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성과 (업종 추천)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Top-3 정확도 91.7% — 거점 사전분포 베이스라인 89.3% 대비 +2.32%p 개선.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미달 항목 (그대로 기재)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공실 예측의 방향 정확도는 70.8% 로, 무정보 상수 베이스라인 78.5% 에 -7.7%p 미달합니다. n=65 의 신뢰구간이 넓어 우열을 가를 수 없는 표본이며, 제품이 파는 값은 방향 이분법이 아니라 공실 압력의 크기이므로 오차 축을 주 지표로 둡니다.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2.3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Page — 공실 히트맵 · 층별 매물 · 거리뷰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담당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건축HUB 건축물대장 수집기, 주소 정규화, 층별 공실 판정 파이프라인, 지도 화면.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성과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66개 거점 전부를 건축물대장 실측(Tier1)으로 올렸고, 대표 집계 커버리지 100%, R-ONE 앵커 대조 체계를 갖췄습니다.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최적화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3D 렌더링이 실측 형상이 아니라 층 상태를 색으로 표현할 뿐임을 확인하고 2D 층 스택 + 거리뷰로 대체해 번들을 832KB에서 4KB로 줄였습니다.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2.4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Posting — 입점 의사결정 · ROI 시뮬레이션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담당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3-Tier 비용-효용 모델, 매출 추정 앵커링, 외부 코파일럿 연동 어댑터 설계.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성과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실 인벤토리 528유닛 기준 회수불가 0.8%, 기능중심 티어 432승. 공정위 가맹사업 정보공개서와 KOSIS를 교차 검증해 평당매출을 업계 통상 대역 안으로 맞췄습니다.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발견한 결함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임대료를 1층 기준으로 계산하던 초기 모델이 실제 상업층 분포와 맞지 않아 임대료를 중앙값 기준 45% 과대계상하고 있었습니다. 층별 면적 비중으로 가중 평균해 바로잡았고, 두 모델이 참값을 사이에 두는 상한 - 하한 관계임을 테스트로 고정했습니다.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2.5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Program — 마케팅 자동화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담당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LLM 생성 엔진, 생성물 사실성 검증 가드(ha_guard), 상용 입력 온보딩 계약.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성과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아직 개업하지 않은 가게에 '방문 후기형 포스팅'을 제안하는 등의 사실 오류를 타입과 서버 검증으로 차단했습니다. 예산 항목을 정수 퍼센트 타입으로 강제해 허구의 절대 금액이 구조적으로 들어갈 수 없게 했습니다.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개인정보 처리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조직 인증, 처리 · 권리 · 외부 모델 처리 동의를 요청 스키마가 강제하며, 원문은 저장하지 않고 감사 메타데이터만 남깁니다.</w:t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3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Co.I — 창업 코파일럿 AI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3.1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프로젝트 개요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257"/>
      </w:tblGrid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기간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역할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기획 · 개발 (단독)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사용 기술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운영 주소 / 저장소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문제 정의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해결 접근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</w:tbl>
    <w:p>
      <w:pPr>
        <w:keepNext w:val="1"/>
        <w:pBdr>
          <w:top w:val="single" w:sz="12" w:space="8" w:color="9C4221"/>
        </w:pBdr>
        <w:shd w:val="clear" w:color="auto" w:fill="F4F1EA"/>
        <w:spacing w:before="180" w:after="60" w:line="348" w:lineRule="auto"/>
        <w:ind w:left="181" w:right="181"/>
      </w:pPr>
      <w:r>
        <w:rPr>
          <w:rFonts w:ascii="Noto Sans KR" w:hAnsi="Noto Sans KR" w:eastAsia="Noto Sans KR" w:cs="Noto Sans KR"/>
          <w:b/>
          <w:i w:val="0"/>
          <w:color w:val="16202E"/>
          <w:sz w:val="19"/>
        </w:rPr>
        <w:t>Co.I 장 작성 안내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이 장은 저장소에 자료가 없어 비워 두었습니다. 아래 네 항목을 채우면 2장과 같은 밀도가 됩니다.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1. 무엇을 자동화했는가 — 창업자가 원래 며칠 걸리던 어떤 판단을 몇 분으로 줄였는가.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2. 무엇을 근거로 답하는가 — 검색인가, 내부 데이터인가, 생성인가. 환각을 무엇으로 막는가.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3. 정량 지표 — 응답 시간, 처리한 질의 수, 정답률 또는 사용자 평가. 없으면 지금 재 둔다.</w:t>
      </w:r>
    </w:p>
    <w:p>
      <w:pPr>
        <w:pBdr>
          <w:bottom w:val="single" w:sz="12" w:space="8" w:color="9C4221"/>
        </w:pBdr>
        <w:shd w:val="clear" w:color="auto" w:fill="F4F1EA"/>
        <w:spacing w:before="0" w:after="18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4. PlaceOS 와의 관계 — PlaceOS 는 Posting 트랙에서 외부 코파일럿 어댑터 계약을 이미 발행해 두었으므로, Co.I 를 그 자리에 붙이는 구조로 설명하면 두 프로젝트가 하나의 이야기가 됩니다.</w:t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4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문제 해결 사례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4.1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자사 지표의 결함을 스스로 찾아 지표 체계를 재정의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7597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구분</w:t>
            </w:r>
          </w:p>
        </w:tc>
        <w:tc>
          <w:tcPr>
            <w:tcW w:type="dxa" w:w="759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13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상황</w:t>
            </w:r>
          </w:p>
        </w:tc>
        <w:tc>
          <w:tcPr>
            <w:tcW w:type="dxa" w:w="759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AI 정확도 70% 이상을 목표로 두고, 두 모델 모두 그 선을 넘겼다고 보고하고 있었다.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과제</w:t>
            </w:r>
          </w:p>
        </w:tc>
        <w:tc>
          <w:tcPr>
            <w:tcW w:type="dxa" w:w="759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같은 홀드아웃에서 입력을 전혀 보지 않는 규칙이 이미 그 선을 넘는지 확인했다.</w:t>
            </w:r>
          </w:p>
        </w:tc>
      </w:tr>
      <w:tr>
        <w:trPr>
          <w:cantSplit w:val="true"/>
        </w:trPr>
        <w:tc>
          <w:tcPr>
            <w:tcW w:type="dxa" w:w="13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행동</w:t>
            </w:r>
          </w:p>
        </w:tc>
        <w:tc>
          <w:tcPr>
            <w:tcW w:type="dxa" w:w="759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무정보 베이스라인을 계산했다. 공실 예측 방향은 '항상 하락' 상수가 78.5% (모델 70.8%), 업종 추천 Top-3 은 거점 사전분포가 89.3% 였다. 즉 임계값을 넘겼다는 사실에 정보가 없었고, 그 달성 표기가 진행률 문서와 외부 원고까지 퍼져 있었다.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결과</w:t>
            </w:r>
          </w:p>
        </w:tc>
        <w:tc>
          <w:tcPr>
            <w:tcW w:type="dxa" w:w="759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9C4221"/>
                <w:sz w:val="18"/>
              </w:rPr>
              <w:t>임계값 단독 판정을 폐기하고 베이스라인 대비 실력으로 전 지표를 재정의했다. 네 규칙(임계값 단독 금지 / 불확실성 동반 / 선택과 보고 분리 / 계측기 없는 목표는 지표가 아님)을 세우고, 미달이면 종료코드 1을 내는 검사 스크립트로 못박았다.</w:t>
            </w:r>
          </w:p>
        </w:tc>
      </w:tr>
    </w:tbl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4.2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계측기 없는 목표를 먼저 계측 가능하게 만들기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7597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구분</w:t>
            </w:r>
          </w:p>
        </w:tc>
        <w:tc>
          <w:tcPr>
            <w:tcW w:type="dxa" w:w="759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13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상황</w:t>
            </w:r>
          </w:p>
        </w:tc>
        <w:tc>
          <w:tcPr>
            <w:tcW w:type="dxa" w:w="759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API 응답 p95 200ms 미만, 지도 로딩 3초 미만을 성능 목표로 걸어 두고 있었다.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과제</w:t>
            </w:r>
          </w:p>
        </w:tc>
        <w:tc>
          <w:tcPr>
            <w:tcW w:type="dxa" w:w="759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그 목표를 재는 코드가 저장소에 한 줄도 없다는 것을 확인했다.</w:t>
            </w:r>
          </w:p>
        </w:tc>
      </w:tr>
      <w:tr>
        <w:trPr>
          <w:cantSplit w:val="true"/>
        </w:trPr>
        <w:tc>
          <w:tcPr>
            <w:tcW w:type="dxa" w:w="13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행동</w:t>
            </w:r>
          </w:p>
        </w:tc>
        <w:tc>
          <w:tcPr>
            <w:tcW w:type="dxa" w:w="759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지연 계측 미들웨어와 클라이언트 타이밍 수집 경로를 만들고 관리자 조회 창구를 냈다. 표본이 기준 미만이면 계측기가 스스로 판정을 보류하도록 했고, 클라이언트 자가보고 값은 저장 키 접두사로 서버 실측과 구분했다.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결과</w:t>
            </w:r>
          </w:p>
        </w:tc>
        <w:tc>
          <w:tcPr>
            <w:tcW w:type="dxa" w:w="759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9C4221"/>
                <w:sz w:val="18"/>
              </w:rPr>
              <w:t>배선 완료와 목표 달성을 문서에서 분리했다. 재지 않은 것을 달성으로 적지 않는 것이 이 프로젝트의 기본 규칙이 되었다.</w:t>
            </w:r>
          </w:p>
        </w:tc>
      </w:tr>
    </w:tbl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4.3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수집이 아니라 배선이 병목임을 반복 확인</w:t>
      </w:r>
    </w:p>
    <w:p>
      <w:pPr>
        <w:spacing w:before="80" w:after="140" w:line="360" w:lineRule="auto"/>
        <w:jc w:val="both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'데이터가 없어서 못 한다'고 문서에 적혀 있던 항목 다섯 건을 실제로 확인한 결과, 네 건이 이미 저장소 안에 재료가 있는데 서빙 코드가 읽지 않고 있던 경우였습니다. 유동인구 좌표, 공실 유닛 인벤토리, 층별 점유 정보, 임대료 기준선이 모두 그랬습니다. 이후로는 문서의 서술을 믿지 않고 1회 실측으로 확인한 뒤 그 결과를 별도 문서로 남기는 절차를 두었습니다.</w:t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5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일하는 방식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측정 우선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재지 않은 값은 달성으로 적지 않습니다. 미달 항목은 미달로 남깁니다.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낡은 서술 추적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같은 산출물 안에서 두 곳이 다른 말을 하는 것을 주된 실패 양식으로 보고, 폐기한 결정도 지우지 않고 경위를 남깁니다.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테스트로 고정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합의한 전제는 문장이 아니라 테스트와 타입으로 고정합니다. 예: 예산 항목을 정수 퍼센트 타입으로 두어 절대 금액이 들어갈 수 없게 했습니다.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도구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Cursor · Claude Code 를 활용한 AI 보조 개발. 생성된 코드는 머지 전 실행 검증.</w:t>
      </w:r>
    </w:p>
    <w:sectPr w:rsidR="00FC693F" w:rsidRPr="0006063C" w:rsidSect="00034616">
      <w:footerReference w:type="default" r:id="rId9"/>
      <w:pgSz w:w="11906" w:h="16838"/>
      <w:pgMar w:top="1304" w:right="1361" w:bottom="1191" w:left="1361" w:header="720" w:footer="68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KR">
    <w:panose1 w:val="020B0500000000000000"/>
    <w:charset w:val="81"/>
    <w:family w:val="swiss"/>
    <w:pitch w:val="variable"/>
    <w:sig w:usb0="800002A7" w:usb1="49DF7C10" w:usb2="00000012" w:usb3="00000000" w:csb0="6017009F" w:csb1="00000000"/>
    <w:embedRegular r:id="rIdFontR" w:fontKey="{48589D10-7592-4C64-B00C-7FF075B5641C}" w:subsetted="1"/>
    <w:embedBold r:id="rIdFontB" w:fontKey="{22862F2D-7106-48AF-AE3F-3B2EB2DBD655}" w:subsetted="1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8" w:color="C9D2DC"/>
      </w:pBdr>
      <w:spacing w:before="40"/>
      <w:jc w:val="center"/>
    </w:pPr>
    <w:r>
      <w:rPr>
        <w:rFonts w:ascii="Noto Sans KR" w:hAnsi="Noto Sans KR" w:eastAsia="Noto Sans KR" w:cs="Noto Sans KR"/>
        <w:b w:val="0"/>
        <w:i w:val="0"/>
        <w:color w:val="5C6875"/>
        <w:sz w:val="16"/>
      </w:rPr>
      <w:t xml:space="preserve">경력기술서          </w:t>
    </w:r>
    <w:fldSimple w:instr=" PAGE ">
      <w:r>
        <w:rPr>
          <w:rFonts w:ascii="Noto Sans KR" w:hAnsi="Noto Sans KR" w:eastAsia="Noto Sans KR" w:cs="Noto Sans KR"/>
          <w:color w:val="5C6875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saveSubset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KR" w:hAnsi="Noto Sans KR" w:eastAsia="Noto Sans KR" w:cs="Noto Sans K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 w:cs="Noto Sans KR"/>
      <w:color w:val="1620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R" Type="http://schemas.openxmlformats.org/officeDocument/2006/relationships/font" Target="fonts/font_regular.odttf"/><Relationship Id="rIdFontB" Type="http://schemas.openxmlformats.org/officeDocument/2006/relationships/font" Target="fonts/font_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