
<file path=[Content_Types].xml><?xml version="1.0" encoding="utf-8"?>
<Types xmlns="http://schemas.openxmlformats.org/package/2006/content-types">
  <Default Extension="odttf" ContentType="application/vnd.openxmlformats-officedocument.obfuscatedFont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0" w:line="264" w:lineRule="auto"/>
      </w:pPr>
      <w:r>
        <w:rPr>
          <w:rFonts w:ascii="Noto Sans KR" w:hAnsi="Noto Sans KR" w:eastAsia="Noto Sans KR" w:cs="Noto Sans KR"/>
          <w:b/>
          <w:i w:val="0"/>
          <w:color w:val="1B3A5C"/>
          <w:spacing w:val="-22"/>
          <w:sz w:val="88"/>
        </w:rPr>
        <w:t>PlaceOS</w:t>
      </w:r>
    </w:p>
    <w:p>
      <w:pPr>
        <w:spacing w:before="40" w:after="0" w:line="312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6"/>
        </w:rPr>
        <w:t>오프라인 상권의 디지털 트윈 플랫폼</w:t>
      </w:r>
    </w:p>
    <w:p>
      <w:pPr>
        <w:spacing w:before="20" w:after="0" w:line="312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6"/>
        </w:rPr>
        <w:t>Co.I  —  창업 코파일럿 AI</w:t>
      </w:r>
    </w:p>
    <w:p>
      <w:pPr>
        <w:pBdr>
          <w:top w:val="single" w:sz="10" w:space="10" w:color="1B3A5C"/>
        </w:pBdr>
        <w:spacing w:before="280" w:after="0" w:line="312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>포트폴리오</w:t>
      </w:r>
    </w:p>
    <w:p>
      <w:pPr>
        <w:spacing w:before="2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성명 [                              ]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seoghyeonbag36@gmail.com  ·  https://placeos.web.app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9"/>
        </w:rPr>
        <w:t>2026. 09.</w:t>
      </w:r>
    </w:p>
    <w:p>
      <w:pPr>
        <w:spacing w:before="0" w:after="0" w:line="348" w:lineRule="auto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br w:type="page"/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01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한 장 요약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물리적 상권을 SNS · 디지털 관점의 플랫폼으로 읽는 가설에서 출발했습니다. 기존 상권 정보가 행정동 단위 통계에 머물러 '어느 건물 몇 층이 비었는가'를 답하지 못한다는 점이 문제였습니다. PlaceOS 는 건축물대장을 실측 원천으로 삼아 건물 - 층 - 유닛 단위 공실 인벤토리를 세우고, 그 위에 네 가지 질문을 차례로 답하는 구조입니다.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2835"/>
        <w:gridCol w:w="3288"/>
        <w:gridCol w:w="1360"/>
      </w:tblGrid>
      <w:tr>
        <w:trPr>
          <w:tblHeader w:val="true"/>
          <w:cantSplit w:val="true"/>
        </w:trPr>
        <w:tc>
          <w:tcPr>
            <w:tcW w:type="dxa" w:w="147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트랙</w:t>
            </w:r>
          </w:p>
        </w:tc>
        <w:tc>
          <w:tcPr>
            <w:tcW w:type="dxa" w:w="2835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답하는 질문</w:t>
            </w:r>
          </w:p>
        </w:tc>
        <w:tc>
          <w:tcPr>
            <w:tcW w:type="dxa" w:w="328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구현</w:t>
            </w:r>
          </w:p>
        </w:tc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진행률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Platform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이 입지는 어떤 플랫폼인가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공실 예측(LSTM) · 업종 추천(GNN)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66.7%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Page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어디에 자리가 비어 있는가</w:t>
            </w:r>
          </w:p>
        </w:tc>
        <w:tc>
          <w:tcPr>
            <w:tcW w:type="dxa" w:w="328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공실 히트맵 · 층별 매물 · 거리뷰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47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Posting</w:t>
            </w:r>
          </w:p>
        </w:tc>
        <w:tc>
          <w:tcPr>
            <w:tcW w:type="dxa" w:w="2835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어느 가격대로 들어가야 하는가</w:t>
            </w:r>
          </w:p>
        </w:tc>
        <w:tc>
          <w:tcPr>
            <w:tcW w:type="dxa" w:w="328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3-Tier 비용-효용 · ROI 시뮬레이션</w:t>
            </w:r>
          </w:p>
        </w:tc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147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Program</w:t>
            </w:r>
          </w:p>
        </w:tc>
        <w:tc>
          <w:tcPr>
            <w:tcW w:type="dxa" w:w="2835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어떻게 알릴 것인가</w:t>
            </w:r>
          </w:p>
        </w:tc>
        <w:tc>
          <w:tcPr>
            <w:tcW w:type="dxa" w:w="328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마케팅 생성 · 사실성 검증 가드</w:t>
            </w:r>
          </w:p>
        </w:tc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100.0%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진행률은 문서가 아니라 산출물을 세어 계산한다 (scripts/pppp_status.py).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02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실측 산출물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아래 수치는 모두 저장소의 계측 스크립트가 산출물을 직접 세어 낸 값입니다. 선언이나 문서 서술이 아닙니다.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2494"/>
        <w:gridCol w:w="4649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249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값</w:t>
            </w:r>
          </w:p>
        </w:tc>
        <w:tc>
          <w:tcPr>
            <w:tcW w:type="dxa" w:w="4649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비고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대상 거점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서울 66개 상권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전부 건축물대장 실측 (Tier1)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유닛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664유닛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건물 단위 인벤토리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층 단위 공실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12,497개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확정 9,437 / 추정 3,060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히트맵 레이어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4종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공실 · 임대료 · 유동 · 밀도 (동일 100m 격자)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시간 축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24시간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생활인구 행정동 · 평일 20일 / 주말 8일 표본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GNN 그래프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노드 47,442 · 피처 117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업종 간 시너지 · 잠식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ROI 표본</w:t>
            </w:r>
          </w:p>
        </w:tc>
        <w:tc>
          <w:tcPr>
            <w:tcW w:type="dxa" w:w="249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528유닛</w:t>
            </w:r>
          </w:p>
        </w:tc>
        <w:tc>
          <w:tcPr>
            <w:tcW w:type="dxa" w:w="4649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회수불가 0.8%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코드 규모</w:t>
            </w:r>
          </w:p>
        </w:tc>
        <w:tc>
          <w:tcPr>
            <w:tcW w:type="dxa" w:w="249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58,921 라인</w:t>
            </w:r>
          </w:p>
        </w:tc>
        <w:tc>
          <w:tcPr>
            <w:tcW w:type="dxa" w:w="4649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Python · TypeScript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03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기술 아키텍처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360"/>
        <w:gridCol w:w="7597"/>
      </w:tblGrid>
      <w:tr>
        <w:trPr>
          <w:tblHeader w:val="true"/>
          <w:cantSplit w:val="true"/>
        </w:trPr>
        <w:tc>
          <w:tcPr>
            <w:tcW w:type="dxa" w:w="1361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계층</w:t>
            </w:r>
          </w:p>
        </w:tc>
        <w:tc>
          <w:tcPr>
            <w:tcW w:type="dxa" w:w="7597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7"/>
              </w:rPr>
              <w:t>구성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수집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건축HUB 건축물대장 · 서울시 상권분석 · R-ONE 부동산통계 · KOSIS · 공정위 정보공개서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Airflow DAG + Selenium / Playwright 크롤러, 일일 쿼터 관리 런북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저장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Bronze (원본) → Silver (정제 · 주소 정규화) → Gold (분석용 집계)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PostgreSQL / PostGIS + Redis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모델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LSTM 공실 예측 · GNN(PyTorch Geometric) 업종 추천 · MLflow 실험 추적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서빙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FastAPI (/api/v1/ 규약) · Celery 비동기 · 지연 계측 미들웨어</w:t>
            </w:r>
          </w:p>
        </w:tc>
      </w:tr>
      <w:tr>
        <w:trPr>
          <w:cantSplit w:val="true"/>
        </w:trPr>
        <w:tc>
          <w:tcPr>
            <w:tcW w:type="dxa" w:w="1361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화면</w:t>
            </w:r>
          </w:p>
        </w:tc>
        <w:tc>
          <w:tcPr>
            <w:tcW w:type="dxa" w:w="7597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React + TypeScript + Vite · 네이버 지도(지도 · 거리뷰) · CSS 변수 토큰 단일 체계</w:t>
            </w:r>
          </w:p>
        </w:tc>
      </w:tr>
      <w:tr>
        <w:trPr>
          <w:cantSplit w:val="true"/>
        </w:trPr>
        <w:tc>
          <w:tcPr>
            <w:tcW w:type="dxa" w:w="1361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배포</w:t>
            </w:r>
          </w:p>
        </w:tc>
        <w:tc>
          <w:tcPr>
            <w:tcW w:type="dxa" w:w="7597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7"/>
              </w:rPr>
              <w:t>GitHub Actions (테스트 → 빌드 → 배포 → 검증) → Cloud Run + Firebase Hosting</w:t>
            </w:r>
          </w:p>
        </w:tc>
      </w:tr>
    </w:tbl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04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검증 방법론</w:t>
      </w:r>
    </w:p>
    <w:p>
      <w:pPr>
        <w:spacing w:before="0" w:after="140" w:line="360" w:lineRule="auto"/>
        <w:jc w:val="both"/>
      </w:pP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이 프로젝트에서 가장 설명하고 싶은 부분입니다. 2026년 9월, 자사 지표가 모델 성능을 전혀 보증하지 못한다는 사실을 스스로 확인하고 지표 체계를 전면 재정의했습니다. 그 전까지의 기준은 'AI 정확도 70% 이상' 한 줄이었습니다.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2608"/>
        <w:gridCol w:w="2608"/>
        <w:gridCol w:w="1814"/>
        <w:gridCol w:w="1927"/>
      </w:tblGrid>
      <w:tr>
        <w:trPr>
          <w:tblHeader w:val="true"/>
          <w:cantSplit w:val="true"/>
        </w:trPr>
        <w:tc>
          <w:tcPr>
            <w:tcW w:type="dxa" w:w="260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축</w:t>
            </w:r>
          </w:p>
        </w:tc>
        <w:tc>
          <w:tcPr>
            <w:tcW w:type="dxa" w:w="260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무정보 베이스라인</w:t>
            </w:r>
          </w:p>
        </w:tc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모델</w:t>
            </w:r>
          </w:p>
        </w:tc>
        <w:tc>
          <w:tcPr>
            <w:tcW w:type="dxa" w:w="1928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실력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예측 · 오차 (MAE)</w:t>
            </w:r>
          </w:p>
        </w:tc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지속성 1.333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1.061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+20.5%</w:t>
            </w:r>
          </w:p>
        </w:tc>
      </w:tr>
      <w:tr>
        <w:trPr>
          <w:cantSplit w:val="true"/>
        </w:trPr>
        <w:tc>
          <w:tcPr>
            <w:tcW w:type="dxa" w:w="260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공실 예측 · 방향</w:t>
            </w:r>
          </w:p>
        </w:tc>
        <w:tc>
          <w:tcPr>
            <w:tcW w:type="dxa" w:w="260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'항상 하락' 78.5%</w:t>
            </w:r>
          </w:p>
        </w:tc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70.8%</w:t>
            </w:r>
          </w:p>
        </w:tc>
        <w:tc>
          <w:tcPr>
            <w:tcW w:type="dxa" w:w="1928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/>
                <w:i w:val="0"/>
                <w:color w:val="9C4221"/>
                <w:sz w:val="18"/>
              </w:rPr>
              <w:t>-7.7%p</w:t>
            </w:r>
          </w:p>
        </w:tc>
      </w:tr>
      <w:tr>
        <w:trPr>
          <w:cantSplit w:val="true"/>
        </w:trPr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업종 추천 · Top-3</w:t>
            </w:r>
          </w:p>
        </w:tc>
        <w:tc>
          <w:tcPr>
            <w:tcW w:type="dxa" w:w="260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거점 사전분포 89.3%</w:t>
            </w:r>
          </w:p>
        </w:tc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91.7%</w:t>
            </w:r>
          </w:p>
        </w:tc>
        <w:tc>
          <w:tcPr>
            <w:tcW w:type="dxa" w:w="1928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center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+2.32%p</w:t>
            </w:r>
          </w:p>
        </w:tc>
      </w:tr>
    </w:tbl>
    <w:p>
      <w:pPr>
        <w:spacing w:before="60" w:after="220" w:line="312" w:lineRule="auto"/>
      </w:pPr>
      <w:r>
        <w:rPr>
          <w:rFonts w:ascii="Noto Sans KR" w:hAnsi="Noto Sans KR" w:eastAsia="Noto Sans KR" w:cs="Noto Sans KR"/>
          <w:b w:val="0"/>
          <w:i w:val="0"/>
          <w:color w:val="5C6875"/>
          <w:sz w:val="17"/>
        </w:rPr>
        <w:t>방향 축은 미달입니다. 감추지 않고 그대로 싣습니다. 제품이 파는 값은 방향 이분법이 아니라 공실 압력의 크기이므로 오차 축을 주 지표로 둡니다.</w:t>
      </w:r>
    </w:p>
    <w:p>
      <w:pPr>
        <w:keepNext w:val="1"/>
        <w:spacing w:before="260" w:after="80" w:line="288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23"/>
        </w:rPr>
        <w:t xml:space="preserve">4.1  </w:t>
      </w:r>
      <w:r>
        <w:rPr>
          <w:rFonts w:ascii="Noto Sans KR" w:hAnsi="Noto Sans KR" w:eastAsia="Noto Sans KR" w:cs="Noto Sans KR"/>
          <w:b/>
          <w:i w:val="0"/>
          <w:color w:val="1B3A5C"/>
          <w:sz w:val="23"/>
        </w:rPr>
        <w:t>적용한 네 규칙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임계값 단독 금지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같은 표본의 무정보 베이스라인과의 차이로 판정한다. 임계값은 발명하지 않고 베이스라인에서 유도한다.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불확실성 동반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표본 수와 신뢰구간 없이 달성이라 적지 않는다. 구간이 목표를 품으면 구분 불가이지 달성이 아니다.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선택과 보고의 분리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고르는 데 쓴 표본으로 성능을 보고하지 않는다.</w:t>
      </w:r>
    </w:p>
    <w:p>
      <w:pPr>
        <w:spacing w:before="0" w:after="80" w:line="348" w:lineRule="auto"/>
        <w:ind w:left="283" w:hanging="283"/>
        <w:jc w:val="both"/>
      </w:pPr>
      <w:r>
        <w:rPr>
          <w:rFonts w:ascii="Noto Sans KR" w:hAnsi="Noto Sans KR" w:eastAsia="Noto Sans KR" w:cs="Noto Sans KR"/>
          <w:b/>
          <w:i w:val="0"/>
          <w:color w:val="9C4221"/>
          <w:sz w:val="21"/>
        </w:rPr>
        <w:t xml:space="preserve">—  </w:t>
      </w:r>
      <w:r>
        <w:rPr>
          <w:rFonts w:ascii="Noto Sans KR" w:hAnsi="Noto Sans KR" w:eastAsia="Noto Sans KR" w:cs="Noto Sans KR"/>
          <w:b/>
          <w:i w:val="0"/>
          <w:color w:val="1B3A5C"/>
          <w:sz w:val="21"/>
        </w:rPr>
        <w:t xml:space="preserve">계측기 없는 목표는 지표가 아니다 · </w:t>
      </w:r>
      <w:r>
        <w:rPr>
          <w:rFonts w:ascii="Noto Sans KR" w:hAnsi="Noto Sans KR" w:eastAsia="Noto Sans KR" w:cs="Noto Sans KR"/>
          <w:b w:val="0"/>
          <w:i w:val="0"/>
          <w:color w:val="16202E"/>
          <w:sz w:val="21"/>
        </w:rPr>
        <w:t>계측 배선이 0번 조건이다. 배선이 섰다는 것과 목표를 넘겼다는 것은 다르다.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05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Co.I — 창업 코파일럿 AI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14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항목</w:t>
            </w:r>
          </w:p>
        </w:tc>
        <w:tc>
          <w:tcPr>
            <w:tcW w:type="dxa" w:w="71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한 줄 정의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해결하는 문제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기술 구성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정량 지표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 와의 연결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PlaceOS Posting 트랙이 외부 코파일럿 연동 계약을 이미 발행해 두었으므로,</w:t>
            </w:r>
          </w:p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Co.I 를 그 자리에 연결하는 구조로 설명한다.</w:t>
            </w:r>
          </w:p>
        </w:tc>
      </w:tr>
    </w:tbl>
    <w:p>
      <w:pPr>
        <w:keepNext w:val="1"/>
        <w:pBdr>
          <w:top w:val="single" w:sz="12" w:space="8" w:color="9C4221"/>
        </w:pBdr>
        <w:shd w:val="clear" w:color="auto" w:fill="F4F1EA"/>
        <w:spacing w:before="180" w:after="60" w:line="348" w:lineRule="auto"/>
        <w:ind w:left="181" w:right="181"/>
      </w:pPr>
      <w:r>
        <w:rPr>
          <w:rFonts w:ascii="Noto Sans KR" w:hAnsi="Noto Sans KR" w:eastAsia="Noto Sans KR" w:cs="Noto Sans KR"/>
          <w:b/>
          <w:i w:val="0"/>
          <w:color w:val="16202E"/>
          <w:sz w:val="19"/>
        </w:rPr>
        <w:t>이 장을 반드시 채울 것</w:t>
      </w:r>
    </w:p>
    <w:p>
      <w:pPr>
        <w:keepNext w:val="1"/>
        <w:shd w:val="clear" w:color="auto" w:fill="F4F1EA"/>
        <w:spacing w:before="0" w:after="6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Co.I 는 박사 과정의 주제이자 면접에서 가장 많이 질문받을 항목입니다. 위 다섯 칸을 비운 채 제출하면 '만들다 만 두 번째 프로젝트'로 읽힙니다.</w:t>
      </w:r>
    </w:p>
    <w:p>
      <w:pPr>
        <w:pBdr>
          <w:bottom w:val="single" w:sz="12" w:space="8" w:color="9C4221"/>
        </w:pBdr>
        <w:shd w:val="clear" w:color="auto" w:fill="F4F1EA"/>
        <w:spacing w:before="0" w:after="180" w:line="348" w:lineRule="auto"/>
        <w:ind w:left="181" w:right="181"/>
      </w:pPr>
      <w:r>
        <w:rPr>
          <w:rFonts w:ascii="Noto Sans KR" w:hAnsi="Noto Sans KR" w:eastAsia="Noto Sans KR" w:cs="Noto Sans KR"/>
          <w:b w:val="0"/>
          <w:i w:val="0"/>
          <w:color w:val="16202E"/>
          <w:sz w:val="19"/>
        </w:rPr>
        <w:t>정량 지표가 아직 없다면, 제출 전에 응답 시간과 처리 질의 수만이라도 측정해 두십시오. 측정하지 않은 값을 적는 것보다는 '현재 측정 중'이 낫습니다.</w:t>
      </w:r>
    </w:p>
    <w:p>
      <w:pPr>
        <w:keepNext w:val="1"/>
        <w:pBdr>
          <w:bottom w:val="single" w:sz="10" w:space="6" w:color="1B3A5C"/>
        </w:pBdr>
        <w:spacing w:before="400" w:after="40" w:line="276" w:lineRule="auto"/>
      </w:pPr>
      <w:r>
        <w:rPr>
          <w:rFonts w:ascii="Noto Sans KR" w:hAnsi="Noto Sans KR" w:eastAsia="Noto Sans KR" w:cs="Noto Sans KR"/>
          <w:b/>
          <w:i w:val="0"/>
          <w:color w:val="9C4221"/>
          <w:sz w:val="34"/>
        </w:rPr>
        <w:t xml:space="preserve">06   </w:t>
      </w:r>
      <w:r>
        <w:rPr>
          <w:rFonts w:ascii="Noto Sans KR" w:hAnsi="Noto Sans KR" w:eastAsia="Noto Sans KR" w:cs="Noto Sans KR"/>
          <w:b/>
          <w:i w:val="0"/>
          <w:color w:val="1B3A5C"/>
          <w:sz w:val="34"/>
        </w:rPr>
        <w:t>링크 및 연락처</w:t>
      </w:r>
    </w:p>
    <w:tbl>
      <w:tblPr>
        <w:tblStyle w:val="TableGrid"/>
        <w:tblW w:type="auto" w:w="0"/>
        <w:jc w:val="center"/>
        <w:tblBorders>
          <w:top w:val="single" w:sz="4" w:space="0" w:color="C9D2DC"/>
          <w:left w:val="single" w:sz="4" w:space="0" w:color="C9D2DC"/>
          <w:bottom w:val="single" w:sz="4" w:space="0" w:color="C9D2DC"/>
          <w:right w:val="single" w:sz="4" w:space="0" w:color="C9D2DC"/>
          <w:insideH w:val="single" w:sz="4" w:space="0" w:color="C9D2DC"/>
          <w:insideV w:val="single" w:sz="4" w:space="0" w:color="C9D2DC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7144"/>
      </w:tblGrid>
      <w:tr>
        <w:trPr>
          <w:tblHeader w:val="true"/>
          <w:cantSplit w:val="true"/>
        </w:trPr>
        <w:tc>
          <w:tcPr>
            <w:tcW w:type="dxa" w:w="1814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구분</w:t>
            </w:r>
          </w:p>
        </w:tc>
        <w:tc>
          <w:tcPr>
            <w:tcW w:type="dxa" w:w="7143"/>
            <w:shd w:val="clear" w:color="auto" w:fill="EEF2F6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B3A5C"/>
                <w:sz w:val="18"/>
              </w:rPr>
              <w:t>주소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PlaceOS 운영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https://placeos.web.app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Co.I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저장소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채울 것 ]</w:t>
            </w:r>
          </w:p>
        </w:tc>
      </w:tr>
      <w:tr>
        <w:trPr>
          <w:cantSplit w:val="true"/>
        </w:trPr>
        <w:tc>
          <w:tcPr>
            <w:tcW w:type="dxa" w:w="1814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이메일</w:t>
            </w:r>
          </w:p>
        </w:tc>
        <w:tc>
          <w:tcPr>
            <w:tcW w:type="dxa" w:w="7143"/>
            <w:shd w:val="clear" w:color="auto" w:fill="F7F9FB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seoghyeonbag36@gmail.com</w:t>
            </w:r>
          </w:p>
        </w:tc>
      </w:tr>
      <w:tr>
        <w:trPr>
          <w:cantSplit w:val="true"/>
        </w:trPr>
        <w:tc>
          <w:tcPr>
            <w:tcW w:type="dxa" w:w="1814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/>
                <w:i w:val="0"/>
                <w:color w:val="16202E"/>
                <w:sz w:val="18"/>
              </w:rPr>
              <w:t>연락처</w:t>
            </w:r>
          </w:p>
        </w:tc>
        <w:tc>
          <w:tcPr>
            <w:tcW w:type="dxa" w:w="7143"/>
            <w:tcMar>
              <w:top w:w="70" w:type="dxa"/>
              <w:left w:w="110" w:type="dxa"/>
              <w:bottom w:w="70" w:type="dxa"/>
              <w:right w:w="110" w:type="dxa"/>
            </w:tcMar>
          </w:tcPr>
          <w:p>
            <w:pPr>
              <w:spacing w:before="0" w:after="0" w:line="317" w:lineRule="auto"/>
              <w:jc w:val="left"/>
            </w:pPr>
            <w:r>
              <w:rPr>
                <w:rFonts w:ascii="Noto Sans KR" w:hAnsi="Noto Sans KR" w:eastAsia="Noto Sans KR" w:cs="Noto Sans KR"/>
                <w:b w:val="0"/>
                <w:i w:val="0"/>
                <w:color w:val="16202E"/>
                <w:sz w:val="18"/>
              </w:rPr>
              <w:t>[                              ]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304" w:right="1361" w:bottom="1191" w:left="1361" w:header="720" w:footer="680" w:gutter="0"/>
      <w:cols w:space="720"/>
      <w:docGrid w:linePitch="3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Noto Sans KR">
    <w:panose1 w:val="020B0500000000000000"/>
    <w:charset w:val="81"/>
    <w:family w:val="swiss"/>
    <w:pitch w:val="variable"/>
    <w:sig w:usb0="800002A7" w:usb1="49DF7C10" w:usb2="00000012" w:usb3="00000000" w:csb0="6017009F" w:csb1="00000000"/>
    <w:embedRegular r:id="rIdFontR" w:fontKey="{679DC419-BC44-43F7-ADDE-5F7D6259DD71}" w:subsetted="1"/>
    <w:embedBold r:id="rIdFontB" w:fontKey="{D92620EA-2532-4997-A70C-44AC0411A8C6}" w:subsetted="1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8" w:color="C9D2DC"/>
      </w:pBdr>
      <w:spacing w:before="40"/>
      <w:jc w:val="center"/>
    </w:pPr>
    <w:r>
      <w:rPr>
        <w:rFonts w:ascii="Noto Sans KR" w:hAnsi="Noto Sans KR" w:eastAsia="Noto Sans KR" w:cs="Noto Sans KR"/>
        <w:b w:val="0"/>
        <w:i w:val="0"/>
        <w:color w:val="5C6875"/>
        <w:sz w:val="16"/>
      </w:rPr>
      <w:t xml:space="preserve">포트폴리오          </w:t>
    </w:r>
    <w:fldSimple w:instr=" PAGE ">
      <w:r>
        <w:rPr>
          <w:rFonts w:ascii="Noto Sans KR" w:hAnsi="Noto Sans KR" w:eastAsia="Noto Sans KR" w:cs="Noto Sans KR"/>
          <w:color w:val="5C6875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embedTrueTypeFonts/>
  <w:saveSubsetFont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Noto Sans KR" w:hAnsi="Noto Sans KR" w:eastAsia="Noto Sans KR" w:cs="Noto Sans KR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R" w:hAnsi="Noto Sans KR" w:eastAsia="Noto Sans KR" w:cs="Noto Sans KR"/>
      <w:color w:val="1620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_rels/fontTable.xml.rels><?xml version="1.0" encoding="UTF-8" standalone="yes"?>
<Relationships xmlns="http://schemas.openxmlformats.org/package/2006/relationships"><Relationship Id="rIdFontR" Type="http://schemas.openxmlformats.org/officeDocument/2006/relationships/font" Target="fonts/font_regular.odttf"/><Relationship Id="rIdFontB" Type="http://schemas.openxmlformats.org/officeDocument/2006/relationships/font" Target="fonts/font_bold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