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B8576" w14:textId="56AC183F" w:rsidR="00D20678" w:rsidRDefault="00ED69E4" w:rsidP="00ED69E4">
      <w:pPr>
        <w:pStyle w:val="Title"/>
      </w:pPr>
      <w:r>
        <w:t>Quasi-Magnetostatics</w:t>
      </w:r>
    </w:p>
    <w:p w14:paraId="232B1B4E" w14:textId="0D62E0A3" w:rsidR="000E082A" w:rsidRDefault="000E082A" w:rsidP="000E082A">
      <w:pPr>
        <w:pStyle w:val="Heading1"/>
      </w:pPr>
      <w:r>
        <w:t>Notes:</w:t>
      </w:r>
    </w:p>
    <w:p w14:paraId="088502A4" w14:textId="77777777" w:rsidR="0086592A" w:rsidRDefault="00020941" w:rsidP="00120FD8">
      <w:pPr>
        <w:rPr>
          <w:rFonts w:eastAsiaTheme="minorEastAsia"/>
          <w:iCs/>
        </w:rPr>
      </w:pPr>
      <w:r>
        <w:t>In equations, bolded values (</w:t>
      </w:r>
      <w:proofErr w:type="gramStart"/>
      <w:r>
        <w:t>e.g.</w:t>
      </w:r>
      <w:proofErr w:type="gram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 xml:space="preserve">B, r, </m:t>
        </m:r>
        <m:r>
          <m:rPr>
            <m:sty m:val="p"/>
          </m:rPr>
          <w:rPr>
            <w:rFonts w:ascii="Cambria Math" w:hAnsi="Cambria Math"/>
          </w:rPr>
          <m:t>etc.</m:t>
        </m:r>
      </m:oMath>
      <w:r>
        <w:rPr>
          <w:rFonts w:eastAsiaTheme="minorEastAsia"/>
          <w:iCs/>
        </w:rPr>
        <w:t>) are vector quantities.</w:t>
      </w:r>
      <w:r w:rsidR="003462A4">
        <w:rPr>
          <w:rFonts w:eastAsiaTheme="minorEastAsia"/>
          <w:iCs/>
        </w:rPr>
        <w:t xml:space="preserve"> </w:t>
      </w:r>
    </w:p>
    <w:p w14:paraId="25508CC2" w14:textId="71C2F8BC" w:rsidR="00120FD8" w:rsidRDefault="003462A4" w:rsidP="00120FD8">
      <w:pPr>
        <w:rPr>
          <w:rFonts w:eastAsiaTheme="minorEastAsia"/>
          <w:iCs/>
        </w:rPr>
      </w:pPr>
      <w:r>
        <w:rPr>
          <w:rFonts w:eastAsiaTheme="minorEastAsia"/>
          <w:iCs/>
        </w:rPr>
        <w:t>Vectors with hats are unit vectors (</w:t>
      </w:r>
      <w:proofErr w:type="gramStart"/>
      <w:r>
        <w:rPr>
          <w:rFonts w:eastAsiaTheme="minorEastAsia"/>
          <w:iCs/>
        </w:rPr>
        <w:t>e.g.</w:t>
      </w:r>
      <w:proofErr w:type="gramEnd"/>
      <w:r>
        <w:rPr>
          <w:rFonts w:eastAsiaTheme="minorEastAsia"/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</m:acc>
      </m:oMath>
      <w:r w:rsidR="00FB05CD">
        <w:rPr>
          <w:rFonts w:eastAsiaTheme="minorEastAsia"/>
          <w:b/>
          <w:bCs/>
          <w:iCs/>
        </w:rPr>
        <w:t xml:space="preserve"> </w:t>
      </w:r>
      <w:r w:rsidR="00FB05CD" w:rsidRPr="00FB05CD">
        <w:rPr>
          <w:rFonts w:eastAsiaTheme="minorEastAsia"/>
          <w:iCs/>
        </w:rPr>
        <w:t>is the azimuthal</w:t>
      </w:r>
      <w:r w:rsidR="00FB05CD">
        <w:rPr>
          <w:rFonts w:eastAsiaTheme="minorEastAsia"/>
          <w:iCs/>
        </w:rPr>
        <w:t xml:space="preserve"> unit vector</w:t>
      </w:r>
      <w:r w:rsidR="00FB05CD" w:rsidRPr="00FB05CD">
        <w:rPr>
          <w:rFonts w:eastAsiaTheme="minorEastAsia"/>
          <w:iCs/>
        </w:rPr>
        <w:t>)</w:t>
      </w:r>
      <w:r w:rsidR="00FB05CD">
        <w:rPr>
          <w:rFonts w:eastAsiaTheme="minorEastAsia"/>
          <w:iCs/>
        </w:rPr>
        <w:t xml:space="preserve">. You may assume a hatted vector is </w:t>
      </w:r>
      <w:r>
        <w:rPr>
          <w:rFonts w:eastAsiaTheme="minorEastAsia"/>
          <w:iCs/>
        </w:rPr>
        <w:t xml:space="preserve">in the direction of </w:t>
      </w:r>
      <w:r w:rsidR="00FB05CD">
        <w:rPr>
          <w:rFonts w:eastAsiaTheme="minorEastAsia"/>
          <w:iCs/>
        </w:rPr>
        <w:t xml:space="preserve">its </w:t>
      </w:r>
      <w:r>
        <w:rPr>
          <w:rFonts w:eastAsiaTheme="minorEastAsia"/>
          <w:iCs/>
        </w:rPr>
        <w:t>parent vector when applicable</w:t>
      </w:r>
      <w:r w:rsidR="00FB05CD">
        <w:rPr>
          <w:rFonts w:eastAsiaTheme="minorEastAsia"/>
          <w:iCs/>
        </w:rPr>
        <w:t xml:space="preserve"> (</w:t>
      </w:r>
      <w:proofErr w:type="gramStart"/>
      <w:r w:rsidR="00FB05CD">
        <w:rPr>
          <w:rFonts w:eastAsiaTheme="minorEastAsia"/>
          <w:iCs/>
        </w:rPr>
        <w:t>e.g.</w:t>
      </w:r>
      <w:proofErr w:type="gramEnd"/>
      <w:r w:rsidR="00FB05CD">
        <w:rPr>
          <w:rFonts w:eastAsiaTheme="minorEastAsia"/>
          <w:iCs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acc>
      </m:oMath>
      <w:r w:rsidR="00FB05CD">
        <w:rPr>
          <w:rFonts w:eastAsiaTheme="minorEastAsia"/>
          <w:b/>
          <w:bCs/>
        </w:rPr>
        <w:t xml:space="preserve"> </w:t>
      </w:r>
      <w:r w:rsidR="00FB05CD">
        <w:rPr>
          <w:rFonts w:eastAsiaTheme="minorEastAsia"/>
        </w:rPr>
        <w:t xml:space="preserve">is the unit vector along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B05CD" w:rsidRPr="00520974">
        <w:rPr>
          <w:rFonts w:eastAsiaTheme="minorEastAsia"/>
          <w:iCs/>
        </w:rPr>
        <w:t>)</w:t>
      </w:r>
      <w:r w:rsidR="009646B2">
        <w:rPr>
          <w:rFonts w:eastAsiaTheme="minorEastAsia"/>
          <w:iCs/>
        </w:rPr>
        <w:t>.</w:t>
      </w:r>
    </w:p>
    <w:p w14:paraId="5FCD361D" w14:textId="68BB68F7" w:rsidR="0086592A" w:rsidRPr="0086592A" w:rsidRDefault="0086592A" w:rsidP="00120FD8">
      <w:r>
        <w:rPr>
          <w:rFonts w:eastAsiaTheme="minorEastAsia"/>
          <w:iCs/>
        </w:rPr>
        <w:t xml:space="preserve">The magnitude of a vector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is denoted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d>
      </m:oMath>
      <w:r>
        <w:rPr>
          <w:rFonts w:eastAsiaTheme="minorEastAsia"/>
          <w:iCs/>
        </w:rPr>
        <w:t>.</w:t>
      </w:r>
    </w:p>
    <w:p w14:paraId="5B63B3F2" w14:textId="0599CF40" w:rsidR="00ED69E4" w:rsidRDefault="000E082A" w:rsidP="000E082A">
      <w:pPr>
        <w:pStyle w:val="Heading1"/>
      </w:pPr>
      <w:r>
        <w:t>Background:</w:t>
      </w:r>
    </w:p>
    <w:p w14:paraId="4E1201D4" w14:textId="6BF414D9" w:rsidR="008F5649" w:rsidRDefault="00ED69E4" w:rsidP="00ED69E4">
      <w:r>
        <w:t xml:space="preserve">The wavelength that we’re operating at for 6.5 mT is much larger than the size of our structures, so we can make a quasi-magnetostatic assumption. This allows us to use the </w:t>
      </w:r>
      <w:proofErr w:type="spellStart"/>
      <w:r>
        <w:t>Biot</w:t>
      </w:r>
      <w:proofErr w:type="spellEnd"/>
      <w:r>
        <w:t>-Savart law to analyze coils</w:t>
      </w:r>
      <w:r w:rsidR="008F5649">
        <w:t>:</w:t>
      </w:r>
    </w:p>
    <w:p w14:paraId="0DD0C537" w14:textId="382BCB4D" w:rsidR="008F5649" w:rsidRPr="00CD5D2C" w:rsidRDefault="008F5649" w:rsidP="00ED69E4">
      <w:pPr>
        <w:rPr>
          <w:rFonts w:eastAsiaTheme="minorEastAsia"/>
          <w:i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 d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668EE1AD" w14:textId="5FD100FB" w:rsidR="00CD5D2C" w:rsidRDefault="00CD5D2C" w:rsidP="00CD5D2C">
      <w:pPr>
        <w:rPr>
          <w:rFonts w:eastAsiaTheme="minorEastAsia"/>
        </w:rPr>
      </w:pPr>
      <w:r w:rsidRPr="00CD5D2C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d</m:t>
        </m:r>
        <m:r>
          <m:rPr>
            <m:sty m:val="bi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is along the path C,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b"/>
          </m:rP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-</m:t>
        </m:r>
        <m:r>
          <m:rPr>
            <m:sty m:val="b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is the vector from the wire at point</w:t>
      </w:r>
      <w:r w:rsidRPr="00CD5D2C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ty m:val="b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to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, the place where the field is being computed.</w:t>
      </w:r>
    </w:p>
    <w:p w14:paraId="438D1868" w14:textId="204D1198" w:rsidR="000E082A" w:rsidRDefault="000E082A" w:rsidP="00CD5D2C">
      <w:pPr>
        <w:rPr>
          <w:rFonts w:eastAsiaTheme="minorEastAsia"/>
        </w:rPr>
      </w:pPr>
      <w:r>
        <w:rPr>
          <w:rFonts w:eastAsiaTheme="minorEastAsia"/>
        </w:rPr>
        <w:t>Others</w:t>
      </w:r>
      <w:r w:rsidR="00A630CD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 have shown that for a straight thin wire of finite lengt</w:t>
      </w:r>
      <w:r w:rsidR="00291CF5">
        <w:rPr>
          <w:rFonts w:eastAsiaTheme="minorEastAsia"/>
        </w:rPr>
        <w:t>h with constant current</w:t>
      </w:r>
      <w:r w:rsidR="001C0A66">
        <w:rPr>
          <w:rFonts w:eastAsiaTheme="minorEastAsia"/>
        </w:rPr>
        <w:t>:</w:t>
      </w:r>
    </w:p>
    <w:p w14:paraId="77485AF2" w14:textId="5D939393" w:rsidR="00291CF5" w:rsidRPr="003462A4" w:rsidRDefault="00291CF5" w:rsidP="00CD5D2C">
      <w:pPr>
        <w:rPr>
          <w:rFonts w:eastAsiaTheme="minorEastAsia"/>
          <w:i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b/>
                  <w:bCs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ϕ</m:t>
              </m:r>
            </m:e>
          </m:acc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</m:e>
          </m:d>
        </m:oMath>
      </m:oMathPara>
    </w:p>
    <w:p w14:paraId="452AC5F9" w14:textId="00878B29" w:rsidR="002040DE" w:rsidRDefault="00910305" w:rsidP="00CD5D2C">
      <w:pPr>
        <w:rPr>
          <w:rFonts w:eastAsiaTheme="minorEastAsia"/>
        </w:rPr>
      </w:pPr>
      <w:r>
        <w:rPr>
          <w:rFonts w:eastAsiaTheme="minorEastAsia"/>
          <w:iCs/>
        </w:rPr>
        <w:t>w</w:t>
      </w:r>
      <w:r w:rsidR="003462A4">
        <w:rPr>
          <w:rFonts w:eastAsiaTheme="minorEastAsia"/>
          <w:iCs/>
        </w:rPr>
        <w:t xml:space="preserve">here </w:t>
      </w:r>
      <m:oMath>
        <m:acc>
          <m:accPr>
            <m:ctrlPr>
              <w:rPr>
                <w:rFonts w:ascii="Cambria Math" w:hAnsi="Cambria Math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</m:acc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L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×</m:t>
        </m:r>
        <m:acc>
          <m:accPr>
            <m:ctrlPr>
              <w:rPr>
                <w:rFonts w:ascii="Cambria Math" w:eastAsiaTheme="minorEastAsia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acc>
      </m:oMath>
      <w:r w:rsidR="00930A0E">
        <w:rPr>
          <w:rFonts w:eastAsiaTheme="minorEastAsia"/>
        </w:rPr>
        <w:t>.</w:t>
      </w:r>
    </w:p>
    <w:p w14:paraId="5E9A7A9C" w14:textId="4A0E0C9E" w:rsidR="002040DE" w:rsidRDefault="006A37BB" w:rsidP="00CD5D2C">
      <w:pPr>
        <w:rPr>
          <w:rFonts w:eastAsiaTheme="minorEastAsia"/>
        </w:rPr>
      </w:pPr>
      <w:r>
        <w:rPr>
          <w:rFonts w:eastAsia="Times New Roman"/>
          <w:noProof/>
        </w:rPr>
        <w:drawing>
          <wp:inline distT="0" distB="0" distL="0" distR="0" wp14:anchorId="2E5D57CF" wp14:editId="0DF06E26">
            <wp:extent cx="3187710" cy="309663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r:link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t="12649" r="8547" b="27708"/>
                    <a:stretch/>
                  </pic:blipFill>
                  <pic:spPr bwMode="auto">
                    <a:xfrm>
                      <a:off x="0" y="0"/>
                      <a:ext cx="3197298" cy="310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6F659" w14:textId="3F1EBEF2" w:rsidR="00435824" w:rsidRPr="00CA2D75" w:rsidRDefault="00435824" w:rsidP="00CD5D2C">
      <w:pPr>
        <w:rPr>
          <w:rFonts w:eastAsiaTheme="minorEastAsia"/>
        </w:rPr>
      </w:pPr>
      <m:oMath>
        <m:r>
          <m:rPr>
            <m:sty m:val="b"/>
          </m:rPr>
          <w:rPr>
            <w:rFonts w:ascii="Cambria Math" w:hAnsi="Cambria Math"/>
          </w:rPr>
          <w:lastRenderedPageBreak/>
          <m:t>r</m:t>
        </m:r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is the shortest vector from the line containing </w:t>
      </w:r>
      <m:oMath>
        <m:r>
          <m:rPr>
            <m:sty m:val="b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iCs/>
        </w:rPr>
        <w:t xml:space="preserve"> to the observation point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="00CA2D75">
        <w:rPr>
          <w:rFonts w:eastAsiaTheme="minorEastAsia"/>
        </w:rPr>
        <w:t>.</w:t>
      </w:r>
    </w:p>
    <w:p w14:paraId="24C026A9" w14:textId="1230AE3D" w:rsidR="000E082A" w:rsidRDefault="000E082A" w:rsidP="005A0825">
      <w:pPr>
        <w:pStyle w:val="Heading2"/>
        <w:rPr>
          <w:rFonts w:eastAsiaTheme="minorEastAsia"/>
        </w:rPr>
      </w:pPr>
      <w:r>
        <w:rPr>
          <w:rFonts w:eastAsiaTheme="minorEastAsia"/>
        </w:rPr>
        <w:t>Implementation</w:t>
      </w:r>
      <w:r w:rsidR="002040DE">
        <w:rPr>
          <w:rFonts w:eastAsiaTheme="minorEastAsia"/>
        </w:rPr>
        <w:t>:</w:t>
      </w:r>
    </w:p>
    <w:p w14:paraId="70990684" w14:textId="2A962A4E" w:rsidR="002040DE" w:rsidRDefault="002040DE" w:rsidP="002040DE">
      <w:r>
        <w:t xml:space="preserve">To implement this </w:t>
      </w:r>
      <w:r w:rsidR="0086592A">
        <w:t>for arbitrary wire orientation, the following expressions are useful:</w:t>
      </w:r>
    </w:p>
    <w:p w14:paraId="5DE1BD7D" w14:textId="2B680873" w:rsidR="0086592A" w:rsidRPr="00D40C41" w:rsidRDefault="00E31905" w:rsidP="002040DE">
      <w:pPr>
        <w:rPr>
          <w:rFonts w:eastAsiaTheme="minorEastAsi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118FA2B" w14:textId="1E9B0405" w:rsidR="00E31905" w:rsidRPr="00F7361A" w:rsidRDefault="00E31905" w:rsidP="002040DE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</m:e>
          </m:d>
          <m:acc>
            <m:accPr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e>
          </m:acc>
        </m:oMath>
      </m:oMathPara>
    </w:p>
    <w:p w14:paraId="762EF668" w14:textId="04C7383A" w:rsidR="00F7361A" w:rsidRPr="001F2BCE" w:rsidRDefault="00F7361A" w:rsidP="002040D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69C4B4FA" w14:textId="72411666" w:rsidR="001F2BCE" w:rsidRPr="00665FE0" w:rsidRDefault="001F2BCE" w:rsidP="002040D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14:paraId="46054250" w14:textId="59C13072" w:rsidR="00665FE0" w:rsidRDefault="00BA3251" w:rsidP="00BA3251">
      <w:pPr>
        <w:pStyle w:val="Heading2"/>
      </w:pPr>
      <w:r>
        <w:t>Einstein Sum</w:t>
      </w:r>
    </w:p>
    <w:p w14:paraId="636C6A6B" w14:textId="6A2885DB" w:rsidR="00BA3251" w:rsidRDefault="00BA3251" w:rsidP="00BA3251">
      <w:r>
        <w:t xml:space="preserve">The easiest way to compute the dot product of each row of A with each row of B is to use the </w:t>
      </w:r>
      <w:proofErr w:type="spellStart"/>
      <w:r>
        <w:t>Numpy</w:t>
      </w:r>
      <w:proofErr w:type="spellEnd"/>
      <w:r>
        <w:t xml:space="preserve"> Einstein Sum function </w:t>
      </w:r>
      <w:proofErr w:type="spellStart"/>
      <w:r>
        <w:t>einsum</w:t>
      </w:r>
      <w:proofErr w:type="spellEnd"/>
      <w:r>
        <w:t>(‘</w:t>
      </w:r>
      <w:proofErr w:type="spellStart"/>
      <w:proofErr w:type="gramStart"/>
      <w:r>
        <w:t>ij,ij</w:t>
      </w:r>
      <w:proofErr w:type="spellEnd"/>
      <w:proofErr w:type="gramEnd"/>
      <w:r>
        <w:t>-&gt;i', A, B).</w:t>
      </w:r>
    </w:p>
    <w:p w14:paraId="2FA424A3" w14:textId="77777777" w:rsidR="005A0825" w:rsidRPr="00BA3251" w:rsidRDefault="005A0825" w:rsidP="00BA3251"/>
    <w:sectPr w:rsidR="005A0825" w:rsidRPr="00BA3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50065" w14:textId="77777777" w:rsidR="006015B4" w:rsidRDefault="006015B4" w:rsidP="00A630CD">
      <w:pPr>
        <w:spacing w:after="0" w:line="240" w:lineRule="auto"/>
      </w:pPr>
      <w:r>
        <w:separator/>
      </w:r>
    </w:p>
  </w:endnote>
  <w:endnote w:type="continuationSeparator" w:id="0">
    <w:p w14:paraId="207C5B6B" w14:textId="77777777" w:rsidR="006015B4" w:rsidRDefault="006015B4" w:rsidP="00A63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567AE" w14:textId="77777777" w:rsidR="006015B4" w:rsidRDefault="006015B4" w:rsidP="00A630CD">
      <w:pPr>
        <w:spacing w:after="0" w:line="240" w:lineRule="auto"/>
      </w:pPr>
      <w:r>
        <w:separator/>
      </w:r>
    </w:p>
  </w:footnote>
  <w:footnote w:type="continuationSeparator" w:id="0">
    <w:p w14:paraId="2A6550AF" w14:textId="77777777" w:rsidR="006015B4" w:rsidRDefault="006015B4" w:rsidP="00A630CD">
      <w:pPr>
        <w:spacing w:after="0" w:line="240" w:lineRule="auto"/>
      </w:pPr>
      <w:r>
        <w:continuationSeparator/>
      </w:r>
    </w:p>
  </w:footnote>
  <w:footnote w:id="1">
    <w:p w14:paraId="066BC08D" w14:textId="4227AF80" w:rsidR="00A630CD" w:rsidRDefault="00A630C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Ulaby</w:t>
      </w:r>
      <w:proofErr w:type="spellEnd"/>
      <w:r>
        <w:t xml:space="preserve">, </w:t>
      </w:r>
      <w:proofErr w:type="spellStart"/>
      <w:r>
        <w:t>Michielssen</w:t>
      </w:r>
      <w:proofErr w:type="spellEnd"/>
      <w:r>
        <w:t xml:space="preserve">, and </w:t>
      </w:r>
      <w:proofErr w:type="spellStart"/>
      <w:r>
        <w:t>Ravaioli</w:t>
      </w:r>
      <w:proofErr w:type="spellEnd"/>
      <w:r>
        <w:t>, “Fundamentals of Applied Electromagnetics</w:t>
      </w:r>
      <w:r w:rsidR="005F4BDC">
        <w:t>” 6</w:t>
      </w:r>
      <w:r w:rsidR="005F4BDC" w:rsidRPr="005F4BDC">
        <w:rPr>
          <w:vertAlign w:val="superscript"/>
        </w:rPr>
        <w:t>th</w:t>
      </w:r>
      <w:r w:rsidR="005F4BDC">
        <w:t xml:space="preserve"> edition, pp.</w:t>
      </w:r>
      <w:r w:rsidR="00A07D1B">
        <w:t xml:space="preserve"> </w:t>
      </w:r>
      <w:r w:rsidR="005F4BDC">
        <w:t>244-5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E4"/>
    <w:rsid w:val="00020941"/>
    <w:rsid w:val="000C4740"/>
    <w:rsid w:val="000E082A"/>
    <w:rsid w:val="000E73D5"/>
    <w:rsid w:val="00120FD8"/>
    <w:rsid w:val="00175260"/>
    <w:rsid w:val="001B3707"/>
    <w:rsid w:val="001C0A66"/>
    <w:rsid w:val="001F2BCE"/>
    <w:rsid w:val="002040DE"/>
    <w:rsid w:val="00260BAB"/>
    <w:rsid w:val="00291CF5"/>
    <w:rsid w:val="003462A4"/>
    <w:rsid w:val="0035194D"/>
    <w:rsid w:val="00371D43"/>
    <w:rsid w:val="00380F1F"/>
    <w:rsid w:val="003E4E72"/>
    <w:rsid w:val="00415CD6"/>
    <w:rsid w:val="00435824"/>
    <w:rsid w:val="00520974"/>
    <w:rsid w:val="0052570A"/>
    <w:rsid w:val="00531B1B"/>
    <w:rsid w:val="005639BC"/>
    <w:rsid w:val="005971B7"/>
    <w:rsid w:val="005A0825"/>
    <w:rsid w:val="005A6CF2"/>
    <w:rsid w:val="005F4BDC"/>
    <w:rsid w:val="006015B4"/>
    <w:rsid w:val="00611FE4"/>
    <w:rsid w:val="00665FE0"/>
    <w:rsid w:val="006A37BB"/>
    <w:rsid w:val="006A3890"/>
    <w:rsid w:val="006A3915"/>
    <w:rsid w:val="007B2D04"/>
    <w:rsid w:val="0086592A"/>
    <w:rsid w:val="008950FB"/>
    <w:rsid w:val="008F5649"/>
    <w:rsid w:val="00910305"/>
    <w:rsid w:val="00930A0E"/>
    <w:rsid w:val="009646B2"/>
    <w:rsid w:val="00A07D1B"/>
    <w:rsid w:val="00A52AAE"/>
    <w:rsid w:val="00A630CD"/>
    <w:rsid w:val="00A820D0"/>
    <w:rsid w:val="00B40FB5"/>
    <w:rsid w:val="00B718D4"/>
    <w:rsid w:val="00B92089"/>
    <w:rsid w:val="00BA3251"/>
    <w:rsid w:val="00CA2D75"/>
    <w:rsid w:val="00CD5D2C"/>
    <w:rsid w:val="00D40C41"/>
    <w:rsid w:val="00D54C86"/>
    <w:rsid w:val="00DE54A9"/>
    <w:rsid w:val="00E31905"/>
    <w:rsid w:val="00ED69E4"/>
    <w:rsid w:val="00F43353"/>
    <w:rsid w:val="00F7361A"/>
    <w:rsid w:val="00FB05CD"/>
    <w:rsid w:val="00FD3231"/>
    <w:rsid w:val="00FE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8B57"/>
  <w15:chartTrackingRefBased/>
  <w15:docId w15:val="{440444D4-FFB8-4235-A024-BA71170C1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8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6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564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E0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630C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30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30CD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BA3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cid:4fa31dd9-cceb-43ce-b457-bdf92f8fd0aa@namprd09.prod.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C6AC8-FB66-4A1C-A222-91701EF43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Ogier, Stephen E. (Fed)</dc:creator>
  <cp:keywords/>
  <dc:description/>
  <cp:lastModifiedBy>Ogier, Stephen E. (Fed)</cp:lastModifiedBy>
  <cp:revision>48</cp:revision>
  <dcterms:created xsi:type="dcterms:W3CDTF">2024-01-26T22:27:00Z</dcterms:created>
  <dcterms:modified xsi:type="dcterms:W3CDTF">2024-01-26T23:32:00Z</dcterms:modified>
</cp:coreProperties>
</file>