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맑은 고딕" w:hAnsi="맑은 고딕" w:eastAsia="맑은 고딕"/>
          <w:b/>
          <w:color w:val="000000"/>
          <w:sz w:val="44"/>
        </w:rPr>
        <w:t>경력기술서</w:t>
      </w:r>
    </w:p>
    <w:p>
      <w:pPr>
        <w:spacing w:after="40"/>
      </w:pPr>
      <w:r>
        <w:rPr>
          <w:rFonts w:ascii="맑은 고딕" w:hAnsi="맑은 고딕" w:eastAsia="맑은 고딕"/>
          <w:b/>
          <w:color w:val="000000"/>
          <w:sz w:val="23"/>
        </w:rPr>
        <w:t>정보보안 직무 지원  |  서효상</w:t>
      </w:r>
    </w:p>
    <w:p>
      <w:pPr>
        <w:spacing w:after="180"/>
      </w:pPr>
      <w:r>
        <w:rPr>
          <w:rFonts w:ascii="맑은 고딕" w:hAnsi="맑은 고딕" w:eastAsia="맑은 고딕"/>
          <w:b w:val="0"/>
          <w:color w:val="444444"/>
          <w:sz w:val="18"/>
        </w:rPr>
        <w:t>qa9502@naver.com</w:t>
      </w:r>
    </w:p>
    <w:p>
      <w:pPr>
        <w:keepNext/>
        <w:spacing w:before="200" w:after="80"/>
      </w:pPr>
      <w:r>
        <w:rPr>
          <w:rFonts w:ascii="맑은 고딕" w:hAnsi="맑은 고딕" w:eastAsia="맑은 고딕"/>
          <w:b/>
          <w:color w:val="000000"/>
          <w:sz w:val="23"/>
        </w:rPr>
        <w:t>경력 요약</w:t>
      </w:r>
    </w:p>
    <w:p>
      <w:pPr>
        <w:spacing w:after="80" w:line="293" w:lineRule="auto"/>
      </w:pPr>
      <w:r>
        <w:rPr>
          <w:rFonts w:ascii="맑은 고딕" w:hAnsi="맑은 고딕" w:eastAsia="맑은 고딕"/>
          <w:b w:val="0"/>
          <w:color w:val="000000"/>
          <w:sz w:val="18"/>
        </w:rPr>
        <w:t>병원에서 안내 보조, 검사 보조, 시술 보조, 수술 보조 업무를 수행하며 정해진 절차를 따라 정확하게 지원하는 경험을 쌓았습니다. 이후 패스키 인증, 보안 이벤트 자동화, API 권한 검증 프로젝트를 진행하며 정보보안 분야로 역량을 확장하고 있습니다.</w:t>
      </w:r>
    </w:p>
    <w:p>
      <w:pPr>
        <w:keepNext/>
        <w:spacing w:before="200" w:after="80"/>
      </w:pPr>
      <w:r>
        <w:rPr>
          <w:rFonts w:ascii="맑은 고딕" w:hAnsi="맑은 고딕" w:eastAsia="맑은 고딕"/>
          <w:b/>
          <w:color w:val="000000"/>
          <w:sz w:val="23"/>
        </w:rPr>
        <w:t>근무 경력</w:t>
      </w:r>
    </w:p>
    <w:tbl>
      <w:tblPr>
        <w:tblW w:type="auto" w:w="0"/>
        <w:jc w:val="center"/>
        <w:tblLayout w:type="fixed"/>
        <w:tblLook w:firstColumn="1" w:firstRow="1" w:lastColumn="0" w:lastRow="0" w:noHBand="0" w:noVBand="1" w:val="04A0"/>
      </w:tblPr>
      <w:tblGrid>
        <w:gridCol w:w="3317"/>
        <w:gridCol w:w="3317"/>
        <w:gridCol w:w="3317"/>
      </w:tblGrid>
      <w:tr>
        <w:tc>
          <w:tcPr>
            <w:tcW w:type="dxa" w:w="3024"/>
            <w:vAlign w:val="center"/>
            <w:tcMar>
              <w:top w:w="100" w:type="dxa"/>
              <w:start w:w="120" w:type="dxa"/>
              <w:bottom w:w="10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8"/>
          </w:tcPr>
          <w:p>
            <w:pPr>
              <w:spacing w:after="0" w:line="259" w:lineRule="auto"/>
              <w:jc w:val="center"/>
            </w:pPr>
            <w:r/>
            <w:r>
              <w:rPr>
                <w:rFonts w:ascii="맑은 고딕" w:hAnsi="맑은 고딕" w:eastAsia="맑은 고딕"/>
                <w:b/>
                <w:color w:val="000000"/>
                <w:sz w:val="17"/>
              </w:rPr>
              <w:t>근무처</w:t>
            </w:r>
          </w:p>
        </w:tc>
        <w:tc>
          <w:tcPr>
            <w:tcW w:type="dxa" w:w="4176"/>
            <w:vAlign w:val="center"/>
            <w:tcMar>
              <w:top w:w="100" w:type="dxa"/>
              <w:start w:w="120" w:type="dxa"/>
              <w:bottom w:w="10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8"/>
          </w:tcPr>
          <w:p>
            <w:pPr>
              <w:spacing w:after="0" w:line="259" w:lineRule="auto"/>
              <w:jc w:val="center"/>
            </w:pPr>
            <w:r/>
            <w:r>
              <w:rPr>
                <w:rFonts w:ascii="맑은 고딕" w:hAnsi="맑은 고딕" w:eastAsia="맑은 고딕"/>
                <w:b/>
                <w:color w:val="000000"/>
                <w:sz w:val="17"/>
              </w:rPr>
              <w:t>직무</w:t>
            </w:r>
          </w:p>
        </w:tc>
        <w:tc>
          <w:tcPr>
            <w:tcW w:type="dxa" w:w="2592"/>
            <w:vAlign w:val="center"/>
            <w:tcMar>
              <w:top w:w="100" w:type="dxa"/>
              <w:start w:w="120" w:type="dxa"/>
              <w:bottom w:w="10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8"/>
          </w:tcPr>
          <w:p>
            <w:pPr>
              <w:spacing w:after="0" w:line="259" w:lineRule="auto"/>
              <w:jc w:val="center"/>
            </w:pPr>
            <w:r/>
            <w:r>
              <w:rPr>
                <w:rFonts w:ascii="맑은 고딕" w:hAnsi="맑은 고딕" w:eastAsia="맑은 고딕"/>
                <w:b/>
                <w:color w:val="000000"/>
                <w:sz w:val="17"/>
              </w:rPr>
              <w:t>기간</w:t>
            </w:r>
          </w:p>
        </w:tc>
      </w:tr>
      <w:tr>
        <w:tc>
          <w:tcPr>
            <w:tcW w:type="dxa" w:w="3024"/>
            <w:vAlign w:val="center"/>
            <w:tcMar>
              <w:top w:w="100" w:type="dxa"/>
              <w:start w:w="120" w:type="dxa"/>
              <w:bottom w:w="10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9" w:lineRule="auto"/>
              <w:jc w:val="left"/>
            </w:pPr>
            <w:r/>
            <w:r>
              <w:rPr>
                <w:rFonts w:ascii="맑은 고딕" w:hAnsi="맑은 고딕" w:eastAsia="맑은 고딕"/>
                <w:b w:val="0"/>
                <w:color w:val="000000"/>
                <w:sz w:val="17"/>
              </w:rPr>
              <w:t>스마일정경우비뇨기과</w:t>
            </w:r>
          </w:p>
        </w:tc>
        <w:tc>
          <w:tcPr>
            <w:tcW w:type="dxa" w:w="4176"/>
            <w:vAlign w:val="center"/>
            <w:tcMar>
              <w:top w:w="100" w:type="dxa"/>
              <w:start w:w="120" w:type="dxa"/>
              <w:bottom w:w="10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9" w:lineRule="auto"/>
              <w:jc w:val="left"/>
            </w:pPr>
            <w:r/>
            <w:r>
              <w:rPr>
                <w:rFonts w:ascii="맑은 고딕" w:hAnsi="맑은 고딕" w:eastAsia="맑은 고딕"/>
                <w:b w:val="0"/>
                <w:color w:val="000000"/>
                <w:sz w:val="17"/>
              </w:rPr>
              <w:t>안내 보조·검사 보조·시술 보조·수술 보조</w:t>
              <w:br/>
              <w:t>(고용24 직종: 안내·고객상담·통계·비서·사무보조 및 기타 사무원)</w:t>
            </w:r>
          </w:p>
        </w:tc>
        <w:tc>
          <w:tcPr>
            <w:tcW w:type="dxa" w:w="2592"/>
            <w:vAlign w:val="center"/>
            <w:tcMar>
              <w:top w:w="100" w:type="dxa"/>
              <w:start w:w="120" w:type="dxa"/>
              <w:bottom w:w="10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9" w:lineRule="auto"/>
              <w:jc w:val="center"/>
            </w:pPr>
            <w:r/>
            <w:r>
              <w:rPr>
                <w:rFonts w:ascii="맑은 고딕" w:hAnsi="맑은 고딕" w:eastAsia="맑은 고딕"/>
                <w:b w:val="0"/>
                <w:color w:val="000000"/>
                <w:sz w:val="17"/>
              </w:rPr>
              <w:t>2019.11.01</w:t>
              <w:br/>
              <w:t>- 2025.07.25</w:t>
            </w:r>
          </w:p>
        </w:tc>
      </w:tr>
    </w:tbl>
    <w:p>
      <w:pPr>
        <w:keepNext/>
        <w:spacing w:before="200" w:after="80"/>
      </w:pPr>
      <w:r>
        <w:rPr>
          <w:rFonts w:ascii="맑은 고딕" w:hAnsi="맑은 고딕" w:eastAsia="맑은 고딕"/>
          <w:b/>
          <w:color w:val="000000"/>
          <w:sz w:val="23"/>
        </w:rPr>
        <w:t>주요 업무</w:t>
      </w:r>
    </w:p>
    <w:p>
      <w:pPr>
        <w:pStyle w:val="ListBullet"/>
        <w:spacing w:after="40" w:line="269" w:lineRule="auto"/>
        <w:ind w:left="288" w:hanging="173"/>
      </w:pPr>
      <w:r>
        <w:rPr>
          <w:rFonts w:ascii="맑은 고딕" w:hAnsi="맑은 고딕" w:eastAsia="맑은 고딕"/>
          <w:b w:val="0"/>
          <w:color w:val="000000"/>
          <w:sz w:val="18"/>
        </w:rPr>
        <w:t>병원 내원 고객 및 환자 안내 보조 업무</w:t>
      </w:r>
    </w:p>
    <w:p>
      <w:pPr>
        <w:pStyle w:val="ListBullet"/>
        <w:spacing w:after="40" w:line="269" w:lineRule="auto"/>
        <w:ind w:left="288" w:hanging="173"/>
      </w:pPr>
      <w:r>
        <w:rPr>
          <w:rFonts w:ascii="맑은 고딕" w:hAnsi="맑은 고딕" w:eastAsia="맑은 고딕"/>
          <w:b w:val="0"/>
          <w:color w:val="000000"/>
          <w:sz w:val="18"/>
        </w:rPr>
        <w:t>검사 진행을 위한 준비 및 검사 보조 업무</w:t>
      </w:r>
    </w:p>
    <w:p>
      <w:pPr>
        <w:pStyle w:val="ListBullet"/>
        <w:spacing w:after="40" w:line="269" w:lineRule="auto"/>
        <w:ind w:left="288" w:hanging="173"/>
      </w:pPr>
      <w:r>
        <w:rPr>
          <w:rFonts w:ascii="맑은 고딕" w:hAnsi="맑은 고딕" w:eastAsia="맑은 고딕"/>
          <w:b w:val="0"/>
          <w:color w:val="000000"/>
          <w:sz w:val="18"/>
        </w:rPr>
        <w:t>시술 과정의 준비 및 시술 보조 업무</w:t>
      </w:r>
    </w:p>
    <w:p>
      <w:pPr>
        <w:pStyle w:val="ListBullet"/>
        <w:spacing w:after="40" w:line="269" w:lineRule="auto"/>
        <w:ind w:left="288" w:hanging="173"/>
      </w:pPr>
      <w:r>
        <w:rPr>
          <w:rFonts w:ascii="맑은 고딕" w:hAnsi="맑은 고딕" w:eastAsia="맑은 고딕"/>
          <w:b w:val="0"/>
          <w:color w:val="000000"/>
          <w:sz w:val="18"/>
        </w:rPr>
        <w:t>수술 진행을 위한 준비 및 수술 보조 업무</w:t>
      </w:r>
    </w:p>
    <w:p>
      <w:pPr>
        <w:pStyle w:val="ListBullet"/>
        <w:spacing w:after="40" w:line="269" w:lineRule="auto"/>
        <w:ind w:left="288" w:hanging="173"/>
      </w:pPr>
      <w:r>
        <w:rPr>
          <w:rFonts w:ascii="맑은 고딕" w:hAnsi="맑은 고딕" w:eastAsia="맑은 고딕"/>
          <w:b w:val="0"/>
          <w:color w:val="000000"/>
          <w:sz w:val="18"/>
        </w:rPr>
        <w:t>안내·고객상담·통계·비서·사무보조 등 병원 운영 보조 업무</w:t>
      </w:r>
    </w:p>
    <w:p>
      <w:pPr>
        <w:keepNext/>
        <w:spacing w:before="200" w:after="80"/>
      </w:pPr>
      <w:r>
        <w:rPr>
          <w:rFonts w:ascii="맑은 고딕" w:hAnsi="맑은 고딕" w:eastAsia="맑은 고딕"/>
          <w:b/>
          <w:color w:val="000000"/>
          <w:sz w:val="23"/>
        </w:rPr>
        <w:t>업무 강점</w:t>
      </w:r>
    </w:p>
    <w:p>
      <w:pPr>
        <w:spacing w:after="80" w:line="293" w:lineRule="auto"/>
      </w:pPr>
      <w:r>
        <w:rPr>
          <w:rFonts w:ascii="맑은 고딕" w:hAnsi="맑은 고딕" w:eastAsia="맑은 고딕"/>
          <w:b w:val="0"/>
          <w:color w:val="000000"/>
          <w:sz w:val="18"/>
        </w:rPr>
        <w:t>병원 업무를 수행하며 안내 대상자의 상황을 먼저 파악하고, 정해진 순서와 절차에 맞춰 다음 업무가 이어지도록 지원했습니다. 정보보안 업무에서도 접근 권한과 보안 절차를 임의로 생략하지 않고, 확인해야 할 내용을 기록하며 운영 흐름을 안전하게 유지하겠습니다.</w:t>
      </w:r>
    </w:p>
    <w:p>
      <w:pPr>
        <w:keepNext/>
        <w:spacing w:before="200" w:after="80"/>
      </w:pPr>
      <w:r>
        <w:rPr>
          <w:rFonts w:ascii="맑은 고딕" w:hAnsi="맑은 고딕" w:eastAsia="맑은 고딕"/>
          <w:b/>
          <w:color w:val="000000"/>
          <w:sz w:val="23"/>
        </w:rPr>
        <w:t>정보보안 관련 프로젝트</w:t>
      </w:r>
    </w:p>
    <w:p>
      <w:pPr>
        <w:keepNext/>
        <w:spacing w:before="60" w:after="20"/>
      </w:pPr>
      <w:r>
        <w:rPr>
          <w:rFonts w:ascii="맑은 고딕" w:hAnsi="맑은 고딕" w:eastAsia="맑은 고딕"/>
          <w:b/>
          <w:color w:val="000000"/>
          <w:sz w:val="19"/>
        </w:rPr>
        <w:t>패스키 기반 인증 앱</w:t>
      </w:r>
    </w:p>
    <w:p>
      <w:pPr>
        <w:spacing w:after="60" w:line="293" w:lineRule="auto"/>
      </w:pPr>
      <w:r>
        <w:rPr>
          <w:rFonts w:ascii="맑은 고딕" w:hAnsi="맑은 고딕" w:eastAsia="맑은 고딕"/>
          <w:b w:val="0"/>
          <w:color w:val="000000"/>
          <w:sz w:val="18"/>
        </w:rPr>
        <w:t>Node.js·Express·SimpleWebAuthn·Redis를 사용해 등록·로그인·로그아웃·패스키 삭제 흐름을 구현했습니다. HMAC HttpOnly 세션과 일회성 챌린지를 적용하고, 다른 계정의 비공개 영역 접근이 차단되는지 테스트했습니다.</w:t>
      </w:r>
    </w:p>
    <w:p>
      <w:pPr>
        <w:keepNext/>
        <w:spacing w:before="60" w:after="20"/>
      </w:pPr>
      <w:r>
        <w:rPr>
          <w:rFonts w:ascii="맑은 고딕" w:hAnsi="맑은 고딕" w:eastAsia="맑은 고딕"/>
          <w:b/>
          <w:color w:val="000000"/>
          <w:sz w:val="19"/>
        </w:rPr>
        <w:t>SOAR-Bot 보안 이벤트 자동화</w:t>
      </w:r>
    </w:p>
    <w:p>
      <w:pPr>
        <w:spacing w:after="60" w:line="293" w:lineRule="auto"/>
      </w:pPr>
      <w:r>
        <w:rPr>
          <w:rFonts w:ascii="맑은 고딕" w:hAnsi="맑은 고딕" w:eastAsia="맑은 고딕"/>
          <w:b w:val="0"/>
          <w:color w:val="000000"/>
          <w:sz w:val="18"/>
        </w:rPr>
        <w:t>Flask·SQLAlchemy·JWT와 n8n Webhook을 연결해 보안 이벤트를 허용·차단하고 Slack·Discord·Telegram 알림으로 전달했습니다. 이벤트·허용·차단 통계를 대시보드에서 확인하고 API 테스트를 작성했습니다.</w:t>
      </w:r>
    </w:p>
    <w:p>
      <w:pPr>
        <w:keepNext/>
        <w:spacing w:before="60" w:after="20"/>
      </w:pPr>
      <w:r>
        <w:rPr>
          <w:rFonts w:ascii="맑은 고딕" w:hAnsi="맑은 고딕" w:eastAsia="맑은 고딕"/>
          <w:b/>
          <w:color w:val="000000"/>
          <w:sz w:val="19"/>
        </w:rPr>
        <w:t>AI 생성 코드 정확도 분석</w:t>
      </w:r>
    </w:p>
    <w:p>
      <w:pPr>
        <w:spacing w:after="60" w:line="293" w:lineRule="auto"/>
      </w:pPr>
      <w:r>
        <w:rPr>
          <w:rFonts w:ascii="맑은 고딕" w:hAnsi="맑은 고딕" w:eastAsia="맑은 고딕"/>
          <w:b w:val="0"/>
          <w:color w:val="000000"/>
          <w:sz w:val="18"/>
        </w:rPr>
        <w:t>공개 데이터 1,260건을 pandas·matplotlib로 재분석해 프롬프트 구체성에 따른 코드 생성 결과 차이를 확인했습니다. 수치와 근거를 재현하는 분석 과정을 경험했습니다.</w:t>
      </w:r>
    </w:p>
    <w:p>
      <w:pPr>
        <w:keepNext/>
        <w:spacing w:before="200" w:after="80"/>
      </w:pPr>
      <w:r>
        <w:rPr>
          <w:rFonts w:ascii="맑은 고딕" w:hAnsi="맑은 고딕" w:eastAsia="맑은 고딕"/>
          <w:b/>
          <w:color w:val="000000"/>
          <w:sz w:val="23"/>
        </w:rPr>
        <w:t>작성 기준</w:t>
      </w:r>
    </w:p>
    <w:p>
      <w:pPr>
        <w:spacing w:after="0" w:line="293" w:lineRule="auto"/>
      </w:pPr>
      <w:r>
        <w:rPr>
          <w:rFonts w:ascii="맑은 고딕" w:hAnsi="맑은 고딕" w:eastAsia="맑은 고딕"/>
          <w:b w:val="0"/>
          <w:color w:val="000000"/>
          <w:sz w:val="16"/>
        </w:rPr>
        <w:t>근무처와 기간은 2026.09.21 발급 고용24 통합경력증명서를 기준으로, 업무 내용은 본인이 기억하는 병원 업무만 반영했습니다. 확인되지 않은 세부 업무나 성과는 추가하지 않았습니다.</w:t>
      </w:r>
    </w:p>
    <w:sectPr w:rsidR="00FC693F" w:rsidRPr="0006063C" w:rsidSect="00034616">
      <w:footerReference w:type="default" r:id="rId9"/>
      <w:pgSz w:w="11909" w:h="16834"/>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b w:val="0"/>
        <w:color w:val="777777"/>
        <w:sz w:val="16"/>
      </w:rPr>
      <w:t>서효상 | 정보보안 직무 경력기술서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