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Title"/>
        <w:jc w:val="center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경기도 기후도민총회 — 심층 분석 자료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b w:val="0"/>
          <w:i/>
          <w:color w:val="555555"/>
          <w:u w:color="auto"/>
        </w:rPr>
        <w:t>부제: 2026 국가 기후시민회의 모더레이터를 위한 ‘가장 가까운 선례’ 정밀 보고서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b w:val="0"/>
          <w:i w:val="0"/>
          <w:color w:val="666666"/>
          <w:sz w:val="20"/>
          <w:u w:color="auto"/>
        </w:rPr>
        <w:t>발행: 2026-05-31  |  자료 범위: 2023.12 ~ 2026.5  |  목적: 모더레이션 실전 참고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i/>
          <w:u w:color="auto"/>
        </w:rPr>
        <w:t xml:space="preserve">국가 기후시민회의(2026.5.16 발대)는 한국에 </w:t>
      </w:r>
      <w:r>
        <w:rPr>
          <w:rFonts w:ascii="나눔스퀘어" w:eastAsia="나눔스퀘어" w:hAnsi="나눔스퀘어" w:cs="나눔스퀘어" w:hint="default"/>
          <w:b/>
          <w:i/>
          <w:u w:color="auto"/>
        </w:rPr>
        <w:t>선행 사례</w:t>
      </w:r>
      <w:r>
        <w:rPr>
          <w:rFonts w:ascii="나눔스퀘어" w:eastAsia="나눔스퀘어" w:hAnsi="나눔스퀘어" w:cs="나눔스퀘어" w:hint="default"/>
          <w:i/>
          <w:u w:color="auto"/>
        </w:rPr>
        <w:t xml:space="preserve">를 가지고 출범한 보기 드문 케이스입니다. 경기도가 2023~2026년에 걸쳐 운영한 </w:t>
      </w:r>
      <w:r>
        <w:rPr>
          <w:rFonts w:ascii="나눔스퀘어" w:eastAsia="나눔스퀘어" w:hAnsi="나눔스퀘어" w:cs="나눔스퀘어" w:hint="default"/>
          <w:b/>
          <w:i/>
          <w:u w:color="auto"/>
        </w:rPr>
        <w:t>기후도민총회</w:t>
      </w:r>
      <w:r>
        <w:rPr>
          <w:rFonts w:ascii="나눔스퀘어" w:eastAsia="나눔스퀘어" w:hAnsi="나눔스퀘어" w:cs="나눔스퀘어" w:hint="default"/>
          <w:i/>
          <w:u w:color="auto"/>
        </w:rPr>
        <w:t xml:space="preserve">는 ‘법제화된 직접민주주의 기후공론 기구’로서 국가 모델의 사실상 시험대 역할을 했습니다. 본 자료는 그 </w:t>
      </w:r>
      <w:r>
        <w:rPr>
          <w:rFonts w:ascii="나눔스퀘어" w:eastAsia="나눔스퀘어" w:hAnsi="나눔스퀘어" w:cs="나눔스퀘어" w:hint="default"/>
          <w:b/>
          <w:i/>
          <w:u w:color="auto"/>
        </w:rPr>
        <w:t>결정 안건과 결정 과정</w:t>
      </w:r>
      <w:r>
        <w:rPr>
          <w:rFonts w:ascii="나눔스퀘어" w:eastAsia="나눔스퀘어" w:hAnsi="나눔스퀘어" w:cs="나눔스퀘어" w:hint="default"/>
          <w:i/>
          <w:u w:color="auto"/>
        </w:rPr>
        <w:t>을 모더레이션 실무 관점에서 정밀 정리한 것입니다.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</w:p>
    <w:p>
      <w:pPr>
        <w:pStyle w:val="Heading1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목차</w:t>
      </w:r>
    </w:p>
    <w:p>
      <w:pPr>
        <w:pStyle w:val="ListBullet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Part 1. Fact Sheet — 한눈에 보는 경기도 기후도민총회</w:t>
      </w:r>
    </w:p>
    <w:p>
      <w:pPr>
        <w:pStyle w:val="ListBullet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Part 2. 법적 근거와 거버넌스 구조</w:t>
      </w:r>
    </w:p>
    <w:p>
      <w:pPr>
        <w:pStyle w:val="ListBullet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Part 3. 전신(前身): 경기기후도민회의 (2023.12 ~ 2024)</w:t>
      </w:r>
    </w:p>
    <w:p>
      <w:pPr>
        <w:pStyle w:val="ListBullet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Part 4. 공동학습 「위대한 모임」 — 시민 사전 학습의 모델</w:t>
      </w:r>
    </w:p>
    <w:p>
      <w:pPr>
        <w:pStyle w:val="ListBullet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Part 5. 6개 워킹그룹의 의제와 활동</w:t>
      </w:r>
    </w:p>
    <w:p>
      <w:pPr>
        <w:pStyle w:val="ListBullet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Part 6. 결정 안건 — 1차 7대 결과물 + 2차 정책제안 20건 / 수용 18건</w:t>
      </w:r>
    </w:p>
    <w:p>
      <w:pPr>
        <w:pStyle w:val="ListBullet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Part 7. 결정 과정 — 학습→숙의→투표→권고→정부수용 전 과정</w:t>
      </w:r>
    </w:p>
    <w:p>
      <w:pPr>
        <w:pStyle w:val="ListBullet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Part 8. 부속 운동: 「경기 3030 실현 100만 도민 행동」</w:t>
      </w:r>
    </w:p>
    <w:p>
      <w:pPr>
        <w:pStyle w:val="ListBullet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Part 9. 우리가 참고할 점 — 모더레이터 실무 시사점 10가지</w:t>
      </w:r>
    </w:p>
    <w:p>
      <w:pPr>
        <w:pStyle w:val="ListBullet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[부록] 출처 및 추가 학습 링크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br w:type="page"/>
      </w:r>
    </w:p>
    <w:p>
      <w:pPr>
        <w:pStyle w:val="Heading1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Part 1. Fact Sheet — 한눈에 보는 경기도 기후도민총회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항목</w:t>
            </w:r>
          </w:p>
        </w:tc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내용</w:t>
            </w:r>
          </w:p>
        </w:tc>
      </w:tr>
      <w:tr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공식 명칭</w:t>
            </w:r>
          </w:p>
        </w:tc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경기도 기후도민총회 (전신: 경기기후도민회의)</w:t>
            </w:r>
          </w:p>
        </w:tc>
      </w:tr>
      <w:tr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위상</w:t>
            </w:r>
          </w:p>
        </w:tc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국내 최초 법제화된 직접민주주의 방식 기후정책 숙의공론 기구</w:t>
            </w:r>
          </w:p>
        </w:tc>
      </w:tr>
      <w:tr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정부 자체 평가</w:t>
            </w:r>
          </w:p>
        </w:tc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“선진국 기후시민의회와 어깨를 나란히 하는 한국형 모델” (경기도 자평, 2026.5)</w:t>
            </w:r>
          </w:p>
        </w:tc>
      </w:tr>
      <w:tr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법적 근거</w:t>
            </w:r>
          </w:p>
        </w:tc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「경기도 기후위기 대응을 위한 탄소중립·녹색성장 기본조례」 (2025.1 시행)</w:t>
            </w:r>
          </w:p>
        </w:tc>
      </w:tr>
      <w:tr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출범식</w:t>
            </w:r>
          </w:p>
        </w:tc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2025년 6월 30일, 시흥에코센터</w:t>
            </w:r>
          </w:p>
        </w:tc>
      </w:tr>
      <w:tr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총회 규모</w:t>
            </w:r>
          </w:p>
        </w:tc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도민 120명 (워킹그룹 6개로 편성)</w:t>
            </w:r>
          </w:p>
        </w:tc>
      </w:tr>
      <w:tr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도민추진단 2기</w:t>
            </w:r>
          </w:p>
        </w:tc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별도로 330명 — 도내 기후행동 문화 확산 담당</w:t>
            </w:r>
          </w:p>
        </w:tc>
      </w:tr>
      <w:tr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워킹그룹</w:t>
            </w:r>
          </w:p>
        </w:tc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에너지전환 / 기후격차 / 소비와 자원순환 / 기후경제 / 도시생태계 / 미래세대</w:t>
            </w:r>
          </w:p>
        </w:tc>
      </w:tr>
      <w:tr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출범 1년 차 핵심성과</w:t>
            </w:r>
          </w:p>
        </w:tc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도민 정책 제안 20건 → 18건 수용·도정 반영 추진 (수용률 90%)</w:t>
            </w:r>
          </w:p>
        </w:tc>
      </w:tr>
      <w:tr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성과교류회</w:t>
            </w:r>
          </w:p>
        </w:tc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2026년 5월 28일, 경기신용보증재단</w:t>
            </w:r>
          </w:p>
        </w:tc>
      </w:tr>
      <w:tr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향후 운영방향</w:t>
            </w:r>
          </w:p>
        </w:tc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이행 과정 공개 + 도민 참여 범위 확대 + 직접민주주의형 기후 거버넌스 지속</w:t>
            </w:r>
          </w:p>
        </w:tc>
      </w:tr>
    </w:tbl>
    <w:p>
      <w:pPr>
        <w:jc w:val="center"/>
        <w:rPr>
          <w:rFonts w:ascii="나눔스퀘어" w:eastAsia="나눔스퀘어" w:hAnsi="나눔스퀘어" w:cs="나눔스퀘어" w:hint="default"/>
          <w:u w:color="auto"/>
        </w:rPr>
      </w:pP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b/>
          <w:color w:val="0055AA"/>
          <w:u w:color="auto"/>
        </w:rPr>
        <w:t>▸ 국가 기후시민회의와의 비교 한눈에</w:t>
      </w:r>
      <w:r>
        <w:rPr>
          <w:rFonts w:ascii="나눔스퀘어" w:eastAsia="나눔스퀘어" w:hAnsi="나눔스퀘어" w:cs="나눔스퀘어" w:hint="default"/>
          <w:b/>
          <w:color w:val="0055AA"/>
          <w:u w:color="auto"/>
        </w:rPr>
        <w:br/>
      </w:r>
      <w:r>
        <w:rPr>
          <w:rFonts w:ascii="나눔스퀘어" w:eastAsia="나눔스퀘어" w:hAnsi="나눔스퀘어" w:cs="나눔스퀘어" w:hint="default"/>
          <w:color w:val="333333"/>
          <w:u w:color="auto"/>
        </w:rPr>
        <w:t>공통점: 모두 법제화 / 무작위 추출 / 학습→숙의→권고 4단계 / 위원회 안건화</w:t>
      </w:r>
      <w:r>
        <w:rPr>
          <w:rFonts w:ascii="나눔스퀘어" w:eastAsia="나눔스퀘어" w:hAnsi="나눔스퀘어" w:cs="나눔스퀘어" w:hint="default"/>
          <w:color w:val="333333"/>
          <w:u w:color="auto"/>
        </w:rPr>
        <w:br/>
      </w:r>
      <w:r>
        <w:rPr>
          <w:rFonts w:ascii="나눔스퀘어" w:eastAsia="나눔스퀘어" w:hAnsi="나눔스퀘어" w:cs="나눔스퀘어" w:hint="default"/>
          <w:color w:val="333333"/>
          <w:u w:color="auto"/>
        </w:rPr>
        <w:t>차이점: 국가 200명(기획20+숙의180) vs 경기 120명+330명 / 국가 전국 단위 / 경기 광역+권역+기초 다층 / 경기는 이미 1년 시범운영 완료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br w:type="page"/>
      </w:r>
    </w:p>
    <w:p>
      <w:pPr>
        <w:pStyle w:val="Heading1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Part 2. 법적 근거와 거버넌스 구조</w:t>
      </w:r>
    </w:p>
    <w:p>
      <w:pPr>
        <w:pStyle w:val="Heading2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2-1. 「경기도 기후위기 대응을 위한 탄소중립·녹색성장 기본조례」 (2025.1 시행)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b w:val="0"/>
          <w:i/>
          <w:u w:color="auto"/>
        </w:rPr>
        <w:t>국가 ‘탄소중립기본법 제19조의2(기후시민회의)’에 앞서 광역지자체 조례로 먼저 법제화된 사례. 본 조례가 국가법의 운영 디테일을 짜는 데 사실상 참조 모델이 되었음.</w:t>
      </w:r>
    </w:p>
    <w:p>
      <w:pPr>
        <w:pStyle w:val="ListBullet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조례에 의거해 도민 직접 참여형 숙의공론 기구를 ‘상설’로 둠</w:t>
      </w:r>
    </w:p>
    <w:p>
      <w:pPr>
        <w:pStyle w:val="ListBullet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도민 의견의 도정 반영을 ‘노력 의무’로 명시</w:t>
      </w:r>
    </w:p>
    <w:p>
      <w:pPr>
        <w:pStyle w:val="ListBullet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도민추진단·도민총회 등 다층 참여 구조 허용</w:t>
      </w:r>
    </w:p>
    <w:p>
      <w:pPr>
        <w:pStyle w:val="Heading2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2-2. 거버넌스 4층 구조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층위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조직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역할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규모</w:t>
            </w:r>
          </w:p>
        </w:tc>
      </w:tr>
      <w:tr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1. 도지사·도청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경기도 (담당: 환경국·기후대기과)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예산·행정·법무 지원, 도정 반영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—</w:t>
            </w:r>
          </w:p>
        </w:tc>
      </w:tr>
      <w:tr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2. 위원회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경기도 탄소중립녹색성장위원회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도민총회 안건 심의·반영 결정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—</w:t>
            </w:r>
          </w:p>
        </w:tc>
      </w:tr>
      <w:tr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3. 숙의기구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기후도민총회 (★)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정책 권고안 직접 도출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120명 / 6개 워킹그룹</w:t>
            </w:r>
          </w:p>
        </w:tc>
      </w:tr>
      <w:tr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4. 실천기구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탄소중립 도민추진단 (2기)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현장 실천·확산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330명 / 31개 시군</w:t>
            </w:r>
          </w:p>
        </w:tc>
      </w:tr>
    </w:tbl>
    <w:p>
      <w:pPr>
        <w:pStyle w:val="Heading2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2-3. 1차(전신) 운영 거버넌스 — 2023~2024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항목</w:t>
            </w:r>
          </w:p>
        </w:tc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내용</w:t>
            </w:r>
          </w:p>
        </w:tc>
      </w:tr>
      <w:tr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출범</w:t>
            </w:r>
          </w:p>
        </w:tc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경기기후도민회의 — 2023년 12월</w:t>
            </w:r>
          </w:p>
        </w:tc>
      </w:tr>
      <w:tr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숙의 기간</w:t>
            </w:r>
          </w:p>
        </w:tc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2024년 1~2월 (2개월) 본격 토론 → 3월 종료</w:t>
            </w:r>
          </w:p>
        </w:tc>
      </w:tr>
      <w:tr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권역 확산</w:t>
            </w:r>
          </w:p>
        </w:tc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2024년 4~6월, 6개 권역 원탁회의 → 31개 시군으로 확산</w:t>
            </w:r>
          </w:p>
        </w:tc>
      </w:tr>
      <w:tr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공동학습</w:t>
            </w:r>
          </w:p>
        </w:tc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2024년 4월, 「위대한 모임」 5강 진행</w:t>
            </w:r>
          </w:p>
        </w:tc>
      </w:tr>
      <w:tr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초기 5개 분과</w:t>
            </w:r>
          </w:p>
        </w:tc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에너지 / 건물 / 수송 / 폐기물 / 농축산·흡수원</w:t>
            </w:r>
          </w:p>
        </w:tc>
      </w:tr>
    </w:tbl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br w:type="page"/>
      </w:r>
    </w:p>
    <w:p>
      <w:pPr>
        <w:pStyle w:val="Heading1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Part 3. 전신(前身) — 경기기후도민회의 (2023.12 ~ 2024)</w:t>
      </w:r>
    </w:p>
    <w:p>
      <w:pPr>
        <w:pStyle w:val="Heading2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3-1. 운영 일정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시기</w:t>
            </w:r>
          </w:p>
        </w:tc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활동</w:t>
            </w:r>
          </w:p>
        </w:tc>
      </w:tr>
      <w:tr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2023.12</w:t>
            </w:r>
          </w:p>
        </w:tc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출범 — 5개 분과 편성</w:t>
            </w:r>
          </w:p>
        </w:tc>
      </w:tr>
      <w:tr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2024.1~2</w:t>
            </w:r>
          </w:p>
        </w:tc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전체 토론 + 분과별 심층 토론 (2개월)</w:t>
            </w:r>
          </w:p>
        </w:tc>
      </w:tr>
      <w:tr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2024.3</w:t>
            </w:r>
          </w:p>
        </w:tc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숙의공론장 종료 — 7대 결과물 도출</w:t>
            </w:r>
          </w:p>
        </w:tc>
      </w:tr>
      <w:tr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2024.4</w:t>
            </w:r>
          </w:p>
        </w:tc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「위대한 모임」 공동학습 5강 시행 (도민위원 대상)</w:t>
            </w:r>
          </w:p>
        </w:tc>
      </w:tr>
      <w:tr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2024.4~6</w:t>
            </w:r>
          </w:p>
        </w:tc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6개 권역 원탁회의 → 31개 시군 확산</w:t>
            </w:r>
          </w:p>
        </w:tc>
      </w:tr>
    </w:tbl>
    <w:p>
      <w:pPr>
        <w:pStyle w:val="Heading2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3-2. 5개 분과의 토론 주제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분과</w:t>
            </w:r>
          </w:p>
        </w:tc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핵심 의제</w:t>
            </w:r>
          </w:p>
        </w:tc>
      </w:tr>
      <w:tr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에너지</w:t>
            </w:r>
          </w:p>
        </w:tc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재생에너지 12GW 달성을 위한 시군별 배분 시나리오 / 분산에너지 / 에너지전환 거버넌스</w:t>
            </w:r>
          </w:p>
        </w:tc>
      </w:tr>
      <w:tr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건물</w:t>
            </w:r>
          </w:p>
        </w:tc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건물 에너지 효율, 그린리모델링, 제로에너지건축물</w:t>
            </w:r>
          </w:p>
        </w:tc>
      </w:tr>
      <w:tr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수송</w:t>
            </w:r>
          </w:p>
        </w:tc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전기차·수소차 보급, 대중교통 활성화, 자가용 수요 감축</w:t>
            </w:r>
          </w:p>
        </w:tc>
      </w:tr>
      <w:tr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폐기물</w:t>
            </w:r>
          </w:p>
        </w:tc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자원순환, 1회용품 감축, 농촌 폐비닐 처리</w:t>
            </w:r>
          </w:p>
        </w:tc>
      </w:tr>
      <w:tr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농축산·흡수원</w:t>
            </w:r>
          </w:p>
        </w:tc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저탄소 농축산, 산림·습지 흡수원 보전·확대</w:t>
            </w:r>
          </w:p>
        </w:tc>
      </w:tr>
    </w:tbl>
    <w:p>
      <w:pPr>
        <w:rPr>
          <w:rFonts w:ascii="나눔스퀘어" w:eastAsia="나눔스퀘어" w:hAnsi="나눔스퀘어" w:cs="나눔스퀘어" w:hint="default"/>
          <w:u w:color="auto"/>
        </w:rPr>
      </w:pPr>
    </w:p>
    <w:p>
      <w:pPr>
        <w:pStyle w:val="Heading2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3-3. 1차 활동 7대 결과물 ★ 핵심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b w:val="0"/>
          <w:i/>
          <w:color w:val="884400"/>
          <w:u w:color="auto"/>
        </w:rPr>
        <w:t>국가 기후시민회의 권고안 작성 시 곧바로 차용 가능한 ‘권고안 구조’의 사실상 표준. 정부 책무 / 시민 책무 / 이행점검을 분리한 점에 주목.</w:t>
      </w:r>
    </w:p>
    <w:p>
      <w:pPr>
        <w:pStyle w:val="ListNumber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탄소중립 기본계획 검토 의견서 — 도가 만든 계획안을 도민이 정식 검토</w:t>
      </w:r>
    </w:p>
    <w:p>
      <w:pPr>
        <w:pStyle w:val="ListNumber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시군협력방안 — ★ 2030 재생에너지 12GW의 시군별 목표 배분 시나리오 (가치판단형 의제를 시민이 결정한 대표 사례)</w:t>
      </w:r>
    </w:p>
    <w:p>
      <w:pPr>
        <w:pStyle w:val="ListNumber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청년의제안 (청년제안) — 미래세대 별도 트랙으로 분리 도출</w:t>
      </w:r>
    </w:p>
    <w:p>
      <w:pPr>
        <w:pStyle w:val="ListNumber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정책건의(안) — 신규 정책 제안 묶음</w:t>
      </w:r>
    </w:p>
    <w:p>
      <w:pPr>
        <w:pStyle w:val="ListNumber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경기도민실천약속 — ‘시민이 무엇을 할 것인가’ 별도 약속</w:t>
      </w:r>
    </w:p>
    <w:p>
      <w:pPr>
        <w:pStyle w:val="ListNumber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경기기후헌장 — 가치·원칙 차원의 선언문</w:t>
      </w:r>
    </w:p>
    <w:p>
      <w:pPr>
        <w:pStyle w:val="ListNumber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도민참여 이행점검방안 — ★ 권고안의 ‘반영 점검 매커니즘’ 자체를 시민이 설계 (한계 극복 시도)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b/>
          <w:color w:val="552288"/>
          <w:u w:color="auto"/>
        </w:rPr>
        <w:t>▸ 이 7대 결과물 구조가 갖는 모더레이션적 의미</w:t>
      </w:r>
      <w:r>
        <w:rPr>
          <w:rFonts w:ascii="나눔스퀘어" w:eastAsia="나눔스퀘어" w:hAnsi="나눔스퀘어" w:cs="나눔스퀘어" w:hint="default"/>
          <w:b/>
          <w:color w:val="552288"/>
          <w:u w:color="auto"/>
        </w:rPr>
        <w:br/>
      </w:r>
      <w:r>
        <w:rPr>
          <w:rFonts w:ascii="나눔스퀘어" w:eastAsia="나눔스퀘어" w:hAnsi="나눔스퀘어" w:cs="나눔스퀘어" w:hint="default"/>
          <w:color w:val="333333"/>
          <w:u w:color="auto"/>
        </w:rPr>
        <w:t>단순 ‘권고안 1편’이 아니라 ‘검토 의견 + 정부 책무 + 시민 책무 + 헌장 + 이행 점검’으로 **5층 분리** 했다는 점이 핵심.</w:t>
      </w:r>
      <w:r>
        <w:rPr>
          <w:rFonts w:ascii="나눔스퀘어" w:eastAsia="나눔스퀘어" w:hAnsi="나눔스퀘어" w:cs="나눔스퀘어" w:hint="default"/>
          <w:color w:val="333333"/>
          <w:u w:color="auto"/>
        </w:rPr>
        <w:br/>
      </w:r>
      <w:r>
        <w:rPr>
          <w:rFonts w:ascii="나눔스퀘어" w:eastAsia="나눔스퀘어" w:hAnsi="나눔스퀘어" w:cs="나눔스퀘어" w:hint="default"/>
          <w:color w:val="333333"/>
          <w:u w:color="auto"/>
        </w:rPr>
        <w:t>→ 본회의 분임 토론에서도 ‘이 의견은 정부에게 요구하는 것인지, 시민이 함께 할 것인지’를 분리해 정리하면 권고안 품질이 올라감.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br w:type="page"/>
      </w:r>
    </w:p>
    <w:p>
      <w:pPr>
        <w:pStyle w:val="Heading1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Part 4. 「위대한 모임」 — 시민 사전 학습 모델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b w:val="0"/>
          <w:i/>
          <w:u w:color="auto"/>
        </w:rPr>
        <w:t>도민총회 활동의 ‘학습 단계’ 표준이 된 공동학습 프로그램. 본 회의 모더레이터도 학습 단계의 운영을 이해해두면 시민이 ‘왜 이렇게 학습부터 하나요?’ 질문에 답할 수 있음.</w:t>
      </w:r>
    </w:p>
    <w:p>
      <w:pPr>
        <w:pStyle w:val="Heading2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4-1. 프로그램 구조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항목</w:t>
            </w:r>
          </w:p>
        </w:tc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내용</w:t>
            </w:r>
          </w:p>
        </w:tc>
      </w:tr>
      <w:tr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주관</w:t>
            </w:r>
          </w:p>
        </w:tc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사회혁신연구소(si-lab.kr) 등 학계·시민사회 협력</w:t>
            </w:r>
          </w:p>
        </w:tc>
      </w:tr>
      <w:tr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대상</w:t>
            </w:r>
          </w:p>
        </w:tc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경기기후도민회의 도민위원 (120명 규모)</w:t>
            </w:r>
          </w:p>
        </w:tc>
      </w:tr>
      <w:tr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기간</w:t>
            </w:r>
          </w:p>
        </w:tc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2024년 4월 한 달간</w:t>
            </w:r>
          </w:p>
        </w:tc>
      </w:tr>
      <w:tr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회차</w:t>
            </w:r>
          </w:p>
        </w:tc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총 5강</w:t>
            </w:r>
          </w:p>
        </w:tc>
      </w:tr>
      <w:tr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운영 방식</w:t>
            </w:r>
          </w:p>
        </w:tc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강의 + 질의응답 + 토론 (분과별)</w:t>
            </w:r>
          </w:p>
        </w:tc>
      </w:tr>
    </w:tbl>
    <w:p>
      <w:pPr>
        <w:pStyle w:val="Heading2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4-2. 회차별 주제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c>
          <w:tcPr>
            <w:tcW w:w="288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회차</w:t>
            </w:r>
          </w:p>
        </w:tc>
        <w:tc>
          <w:tcPr>
            <w:tcW w:w="288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주제</w:t>
            </w:r>
          </w:p>
        </w:tc>
        <w:tc>
          <w:tcPr>
            <w:tcW w:w="288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성격</w:t>
            </w:r>
          </w:p>
        </w:tc>
      </w:tr>
      <w:tr>
        <w:tc>
          <w:tcPr>
            <w:tcW w:w="288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1강 (4/3)</w:t>
            </w:r>
          </w:p>
        </w:tc>
        <w:tc>
          <w:tcPr>
            <w:tcW w:w="288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도민이 함께 수립한 제1차 경기도 탄소중립녹색성장 기본계획(안) 결과 공유</w:t>
            </w:r>
          </w:p>
        </w:tc>
        <w:tc>
          <w:tcPr>
            <w:tcW w:w="288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총론·결과 공유</w:t>
            </w:r>
          </w:p>
        </w:tc>
      </w:tr>
      <w:tr>
        <w:tc>
          <w:tcPr>
            <w:tcW w:w="288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2강</w:t>
            </w:r>
          </w:p>
        </w:tc>
        <w:tc>
          <w:tcPr>
            <w:tcW w:w="288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자원순환</w:t>
            </w:r>
          </w:p>
        </w:tc>
        <w:tc>
          <w:tcPr>
            <w:tcW w:w="288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분과별 학습</w:t>
            </w:r>
          </w:p>
        </w:tc>
      </w:tr>
      <w:tr>
        <w:tc>
          <w:tcPr>
            <w:tcW w:w="288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3강</w:t>
            </w:r>
          </w:p>
        </w:tc>
        <w:tc>
          <w:tcPr>
            <w:tcW w:w="288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농식품</w:t>
            </w:r>
          </w:p>
        </w:tc>
        <w:tc>
          <w:tcPr>
            <w:tcW w:w="288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분과별 학습</w:t>
            </w:r>
          </w:p>
        </w:tc>
      </w:tr>
      <w:tr>
        <w:tc>
          <w:tcPr>
            <w:tcW w:w="288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4강</w:t>
            </w:r>
          </w:p>
        </w:tc>
        <w:tc>
          <w:tcPr>
            <w:tcW w:w="288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수송 부문</w:t>
            </w:r>
          </w:p>
        </w:tc>
        <w:tc>
          <w:tcPr>
            <w:tcW w:w="288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분과별 학습</w:t>
            </w:r>
          </w:p>
        </w:tc>
      </w:tr>
      <w:tr>
        <w:tc>
          <w:tcPr>
            <w:tcW w:w="288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5강</w:t>
            </w:r>
          </w:p>
        </w:tc>
        <w:tc>
          <w:tcPr>
            <w:tcW w:w="288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건물</w:t>
            </w:r>
          </w:p>
        </w:tc>
        <w:tc>
          <w:tcPr>
            <w:tcW w:w="288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분과별 학습</w:t>
            </w:r>
          </w:p>
        </w:tc>
      </w:tr>
    </w:tbl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b/>
          <w:color w:val="006633"/>
          <w:u w:color="auto"/>
        </w:rPr>
        <w:t>▸ 국가 시민회의에 그대로 응용 가능한 학습 설계</w:t>
      </w:r>
      <w:r>
        <w:rPr>
          <w:rFonts w:ascii="나눔스퀘어" w:eastAsia="나눔스퀘어" w:hAnsi="나눔스퀘어" w:cs="나눔스퀘어" w:hint="default"/>
          <w:b/>
          <w:color w:val="006633"/>
          <w:u w:color="auto"/>
        </w:rPr>
        <w:br/>
      </w:r>
      <w:r>
        <w:rPr>
          <w:rFonts w:ascii="나눔스퀘어" w:eastAsia="나눔스퀘어" w:hAnsi="나눔스퀘어" w:cs="나눔스퀘어" w:hint="default"/>
          <w:color w:val="333333"/>
          <w:u w:color="auto"/>
        </w:rPr>
        <w:t>‘총론(첫 강) + 분과별 4~5강’ 구조는 KEI 교안 14종의 구성과 정확히 호응함.</w:t>
      </w:r>
      <w:r>
        <w:rPr>
          <w:rFonts w:ascii="나눔스퀘어" w:eastAsia="나눔스퀘어" w:hAnsi="나눔스퀘어" w:cs="나눔스퀘어" w:hint="default"/>
          <w:color w:val="333333"/>
          <w:u w:color="auto"/>
        </w:rPr>
        <w:br/>
      </w:r>
      <w:r>
        <w:rPr>
          <w:rFonts w:ascii="나눔스퀘어" w:eastAsia="나눔스퀘어" w:hAnsi="나눔스퀘어" w:cs="나눔스퀘어" w:hint="default"/>
          <w:color w:val="333333"/>
          <w:u w:color="auto"/>
        </w:rPr>
        <w:t>→ 모더레이터는 학습 단계에서 ‘오늘은 무엇을 알게 됐고, 무엇이 아직 모호한가’를 분임의 마지막 5분에 정리하는 루틴을 권장.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br w:type="page"/>
      </w:r>
    </w:p>
    <w:p>
      <w:pPr>
        <w:pStyle w:val="Heading1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Part 5. 6개 워킹그룹의 의제와 활동 (2025~)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b w:val="0"/>
          <w:i/>
          <w:u w:color="auto"/>
        </w:rPr>
        <w:t>2025년 6월 출범한 ‘기후도민총회’는 초기 5개 분과(부문별)에서 6개 워킹그룹(횡단·세대별)으로 진화했음. 본 회의가 향후 분과 구성을 짤 때 직접 참조 가능.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#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워킹그룹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다루는 의제(추정 포함)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특징</w:t>
            </w:r>
          </w:p>
        </w:tc>
      </w:tr>
      <w:tr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1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에너지전환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재생에너지 보급, 분산에너지, 시군 RE100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기존 ‘에너지’ 분과의 확장형</w:t>
            </w:r>
          </w:p>
        </w:tc>
      </w:tr>
      <w:tr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2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기후격차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기후재난의 사회적 불평등, 취약계층 보호, 정의로운 전환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★ 횡단형 신설 — 시민이 직접 요구한 의제</w:t>
            </w:r>
          </w:p>
        </w:tc>
      </w:tr>
      <w:tr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3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소비와 자원순환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1회용품, 폐기물, 농촌 폐비닐, 순환경제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행동변화 중심</w:t>
            </w:r>
          </w:p>
        </w:tc>
      </w:tr>
      <w:tr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4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기후경제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녹색금융, 지역기업 RE100, 기후행동 기회소득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산업·재정 결합</w:t>
            </w:r>
          </w:p>
        </w:tc>
      </w:tr>
      <w:tr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5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도시생태계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도시숲, 도시농업, 흡수원, 그린인프라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공간 디자인</w:t>
            </w:r>
          </w:p>
        </w:tc>
      </w:tr>
      <w:tr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6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미래세대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청소년·청년 의제, 교육, 세대 형평성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★ 별도 트랙 보장 — ‘청년의제안’ 발전형</w:t>
            </w:r>
          </w:p>
        </w:tc>
      </w:tr>
    </w:tbl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b/>
          <w:color w:val="552288"/>
          <w:u w:color="auto"/>
        </w:rPr>
        <w:t>▸ 국가 기후시민회의 분과 설계 시사점</w:t>
      </w:r>
      <w:r>
        <w:rPr>
          <w:rFonts w:ascii="나눔스퀘어" w:eastAsia="나눔스퀘어" w:hAnsi="나눔스퀘어" w:cs="나눔스퀘어" w:hint="default"/>
          <w:b/>
          <w:color w:val="552288"/>
          <w:u w:color="auto"/>
        </w:rPr>
        <w:br/>
      </w:r>
      <w:r>
        <w:rPr>
          <w:rFonts w:ascii="나눔스퀘어" w:eastAsia="나눔스퀘어" w:hAnsi="나눔스퀘어" w:cs="나눔스퀘어" w:hint="default"/>
          <w:color w:val="333333"/>
          <w:u w:color="auto"/>
        </w:rPr>
        <w:t>‘에너지·건물·수송·폐기물·흡수원’ 같은 부문 분류는 정책 관료적 사고. 시민 입장에서는 ‘기후격차·미래세대·소비’ 같은 횡단/세대 분류가 더 직관적. 경기도가 1년 만에 분류 자체를 진화시킨 점이 핵심 교훈.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br w:type="page"/>
      </w:r>
    </w:p>
    <w:p>
      <w:pPr>
        <w:pStyle w:val="Heading1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Part 6. 결정 안건 — 2차 정책제안 20건 / 수용 18건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b w:val="0"/>
          <w:i/>
          <w:color w:val="884400"/>
          <w:u w:color="auto"/>
        </w:rPr>
        <w:t>2025.6 ~ 2026.5 동안 도민총회가 직접 결정해 도지사·도청에 권고한 정책. 상위법 위배·취지 불일치 2건을 제외하고 18건이 도정 반영 추진 중. 수용률 90%.</w:t>
      </w:r>
    </w:p>
    <w:p>
      <w:pPr>
        <w:pStyle w:val="Heading2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6-1. 공개된 핵심 정책 사례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#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정책명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내용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성격</w:t>
            </w:r>
          </w:p>
        </w:tc>
      </w:tr>
      <w:tr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1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경기도형 탄소포인트 기부 나눔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탄소포인트를 ‘기후행동 기회소득’ 앱과 연계해 취약계층에 지정 기부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복지 결합형</w:t>
            </w:r>
          </w:p>
        </w:tc>
      </w:tr>
      <w:tr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2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찾아가는 폐비닐 수거차량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농촌 폐비닐 수거 방식을 고정식 → 이동식으로 전환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농촌 생활밀착</w:t>
            </w:r>
          </w:p>
        </w:tc>
      </w:tr>
      <w:tr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3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기후행동 앱 기능 확대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도민 이용도 높은 앱의 편의성 증진 및 기능 확장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디지털 인프라</w:t>
            </w:r>
          </w:p>
        </w:tc>
      </w:tr>
      <w:tr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4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무더위쉼터 야간운영 확대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313곳 → 605곳까지 확대(6월 목표)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폭염 적응</w:t>
            </w:r>
          </w:p>
        </w:tc>
      </w:tr>
      <w:tr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5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옥외노동자 보호 강화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폭염주의보부터 작업시간 조정 요청 체계화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기후격차 보호</w:t>
            </w:r>
          </w:p>
        </w:tc>
      </w:tr>
      <w:tr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6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호우 취약시설 점검 의무화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반지하주택·지하주차장 등 54,313개소 점검 완료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재난 적응</w:t>
            </w:r>
          </w:p>
        </w:tc>
      </w:tr>
      <w:tr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7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재해복구사업 사전 완료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641개소·2,911억원 규모, 우기 전 주요 공정 완료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선제적 적응</w:t>
            </w:r>
          </w:p>
        </w:tc>
      </w:tr>
    </w:tbl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b w:val="0"/>
          <w:i/>
          <w:color w:val="666666"/>
          <w:sz w:val="18"/>
          <w:u w:color="auto"/>
        </w:rPr>
        <w:t>※ 나머지 11건은 2026년 5월 성과교류회 시점에 정책 반영 추진 중(언론 공개 일부만 확인됨).</w:t>
      </w:r>
    </w:p>
    <w:p>
      <w:pPr>
        <w:pStyle w:val="Heading2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6-2. 18건의 공통 특징</w:t>
      </w:r>
    </w:p>
    <w:p>
      <w:pPr>
        <w:pStyle w:val="ListBullet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★ ‘생활밀착형’ — 탄소포인트, 폐비닐, 앱, 쉼터, 노동시간, 반지하 등 시민 일상 어휘로 작성됨.</w:t>
      </w:r>
    </w:p>
    <w:p>
      <w:pPr>
        <w:pStyle w:val="ListBullet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★ ‘적응’ 비중이 높음 — 감축뿐 아니라 폭염·호우 적응 정책이 다수 포함. ‘완화 일변도’ 정책을 시민이 보정한 사례.</w:t>
      </w:r>
    </w:p>
    <w:p>
      <w:pPr>
        <w:pStyle w:val="ListBullet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★ ‘취약계층 보호’ 의제가 강함 — 옥외노동자, 반지하 주민, 농민, 취약계층 기부 등.</w:t>
      </w:r>
    </w:p>
    <w:p>
      <w:pPr>
        <w:pStyle w:val="ListBullet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★ 디지털·앱 활용 — 기존 앱 인프라(기후행동 기회소득)에 시민 제안을 얹는 방식.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b/>
          <w:color w:val="552288"/>
          <w:u w:color="auto"/>
        </w:rPr>
        <w:t>▸ 우리(국가 기후시민회의 분임 모더레이터)가 메모할 점</w:t>
      </w:r>
      <w:r>
        <w:rPr>
          <w:rFonts w:ascii="나눔스퀘어" w:eastAsia="나눔스퀘어" w:hAnsi="나눔스퀘어" w:cs="나눔스퀘어" w:hint="default"/>
          <w:b/>
          <w:color w:val="552288"/>
          <w:u w:color="auto"/>
        </w:rPr>
        <w:br/>
      </w:r>
      <w:r>
        <w:rPr>
          <w:rFonts w:ascii="나눔스퀘어" w:eastAsia="나눔스퀘어" w:hAnsi="나눔스퀘어" w:cs="나눔스퀘어" w:hint="default"/>
          <w:color w:val="333333"/>
          <w:u w:color="auto"/>
        </w:rPr>
        <w:t>시민이 직접 짠 정책의 70% 이상이 ‘일상 어휘 + 적응 + 취약계층’ 3대 키워드. → 본회의 분임에서 시민이 ‘NDC 40%’ 같은 거시 목표보다 ‘우리 동네 폭염 어떻게 할까’ 류 의제를 더 활발히 발의하더라도 그건 ‘수준이 낮아서’가 아니라 ‘좋은 권고가 만들어지는 정상 신호’임.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br w:type="page"/>
      </w:r>
    </w:p>
    <w:p>
      <w:pPr>
        <w:pStyle w:val="Heading1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Part 7. 결정 과정 — 5단계 워크플로우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b w:val="0"/>
          <w:i/>
          <w:u w:color="auto"/>
        </w:rPr>
        <w:t>경기 사례의 결정 과정을 재구성하면 다음 5단계가 됨. 국가 회의 모더레이터는 본인이 어느 단계 어디에 있는지 분임 중에도 의식해야 함.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b/>
          <w:color w:val="552288"/>
          <w:sz w:val="24"/>
          <w:u w:color="auto"/>
        </w:rPr>
        <w:t>Stage 1. 정보 평준화 (학습)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도청·KEI·사회혁신연구소가 자료집·강의를 준비 → 「위대한 모임」 같은 공동학습으로 도민 간 정보 격차 축소. 모더레이터 메모: 학습은 ‘완전 이해’가 아니라 ‘공통 출발선’을 만드는 단계. 모르는 게 있어도 OK.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b/>
          <w:color w:val="552288"/>
          <w:sz w:val="24"/>
          <w:u w:color="auto"/>
        </w:rPr>
        <w:t>Stage 2. 분과 편성 (의제 분류)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5개 분과(부문별) → 6개 워킹그룹(횡단·세대)으로 진화. 시민이 어느 그룹에 갈지 ‘선호도 신청’으로 결정. 모더레이터 메모: 시민 본인의 관심·전문성에 따라 자율 배정해야 토론 동기가 살아남.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b/>
          <w:color w:val="552288"/>
          <w:sz w:val="24"/>
          <w:u w:color="auto"/>
        </w:rPr>
        <w:t>Stage 3. 분과별 심층 토론 (숙의)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전체 토론 + 분과별 토론 병행. 찬·반 자료를 함께 검토하고 분임 토의 후 종합. 2024년에는 2개월 진행. 모더레이터 메모: 발언 균등화 + 의견·사람 분리 + ‘마음 바뀌어도 OK’ 분위기 보장 = 본회의 마음가짐 5가지와 동일.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b/>
          <w:color w:val="552288"/>
          <w:sz w:val="24"/>
          <w:u w:color="auto"/>
        </w:rPr>
        <w:t>Stage 4. 결과물 5종 분리 도출 (권고)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권고를 ‘검토의견 / 정부 책무(정책건의) / 시민 책무(실천약속) / 가치 선언(헌장) / 점검 체계(이행점검)’ 5층으로 분리. 모더레이터 메모: 분임 산출물 정리 시 ‘이건 정부에 요구하는 것? 우리가 함께 할 것?’을 묻는 습관이 결과 품질을 결정.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b/>
          <w:color w:val="552288"/>
          <w:sz w:val="24"/>
          <w:u w:color="auto"/>
        </w:rPr>
        <w:t>Stage 5. 정부 수용·이행·환류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위원회 안건화 → 도청 부서별 검토 → 수용/거절 결과 공개(20건 중 18건 수용) → 성과교류회로 이행 점검. 모더레이터 메모: 시민에게 ‘권고가 어떻게 처리될지’ 묻는 질문을 받을 때, 경기 사례를 들면 신뢰가 올라감.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br w:type="page"/>
      </w:r>
    </w:p>
    <w:p>
      <w:pPr>
        <w:pStyle w:val="Heading1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Part 8. 부속 운동 — 「경기 3030 실현 100만 도민 행동」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b w:val="0"/>
          <w:i/>
          <w:u w:color="auto"/>
        </w:rPr>
        <w:t>도민총회가 ‘공식 기구’라면 이 운동은 ‘민간 동력’. 둘이 결합되어 경기 모델을 굴러가게 한 핵심. 국가 회의에는 아직 해당 민간 연합체가 부재 → 향후 운동 결합 가능성을 시사.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항목</w:t>
            </w:r>
          </w:p>
        </w:tc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내용</w:t>
            </w:r>
          </w:p>
        </w:tc>
      </w:tr>
      <w:tr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정식 명칭</w:t>
            </w:r>
          </w:p>
        </w:tc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경기 3030 실현 100만 도민 행동</w:t>
            </w:r>
          </w:p>
        </w:tc>
      </w:tr>
      <w:tr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출범 배경</w:t>
            </w:r>
          </w:p>
        </w:tc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2019년 경기도 재생에너지 발전량이 전력소비량의 약 2.5%에 불과 + 후쿠시마(2011) 이후 에너지자립 인식 확산</w:t>
            </w:r>
          </w:p>
        </w:tc>
      </w:tr>
      <w:tr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핵심 목표</w:t>
            </w:r>
          </w:p>
        </w:tc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2030년까지 재생에너지 발전 비중 30% + 도민 100만 명 행동</w:t>
            </w:r>
          </w:p>
        </w:tc>
      </w:tr>
      <w:tr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연합 조직(3개)</w:t>
            </w:r>
          </w:p>
        </w:tc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기후위기 경기비상행동 / 경기도지속가능발전협의회 / 경기시민발전협동조합협의회</w:t>
            </w:r>
          </w:p>
        </w:tc>
      </w:tr>
      <w:tr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현재 규모</w:t>
            </w:r>
          </w:p>
        </w:tc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36개 에너지협동조합, 약 1만여 명 조합원</w:t>
            </w:r>
          </w:p>
        </w:tc>
      </w:tr>
      <w:tr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도민 참여 방식</w:t>
            </w:r>
          </w:p>
        </w:tc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지붕·주차장 태양광 설치 / 에너지협동조합 가입(1구좌 10만원) / 정부 보조금 + 연 50만원 이상 전기료 절감</w:t>
            </w:r>
          </w:p>
        </w:tc>
      </w:tr>
    </w:tbl>
    <w:p>
      <w:pPr>
        <w:pStyle w:val="Heading2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8-1. 10대 의제</w:t>
      </w:r>
    </w:p>
    <w:p>
      <w:pPr>
        <w:pStyle w:val="ListBullet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공공·민간 부지 활용 확대 (태양광·풍력)</w:t>
      </w:r>
    </w:p>
    <w:p>
      <w:pPr>
        <w:pStyle w:val="ListBullet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재생에너지 입지 규제 개선</w:t>
      </w:r>
    </w:p>
    <w:p>
      <w:pPr>
        <w:pStyle w:val="ListBullet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탄소중립위원회 강화</w:t>
      </w:r>
    </w:p>
    <w:p>
      <w:pPr>
        <w:pStyle w:val="ListBullet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에너지협동조합 10만 조합원 조직</w:t>
      </w:r>
    </w:p>
    <w:p>
      <w:pPr>
        <w:pStyle w:val="ListBullet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도민교육 확대</w:t>
      </w:r>
    </w:p>
    <w:p>
      <w:pPr>
        <w:pStyle w:val="ListBullet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RE100 촉구</w:t>
      </w:r>
    </w:p>
    <w:p>
      <w:pPr>
        <w:pStyle w:val="ListBullet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기후대응기금 확대</w:t>
      </w:r>
    </w:p>
    <w:p>
      <w:pPr>
        <w:pStyle w:val="ListBullet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관련 법·조례 제·개정</w:t>
      </w:r>
    </w:p>
    <w:p>
      <w:pPr>
        <w:pStyle w:val="ListBullet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지역 RE100 산업단지 조성</w:t>
      </w:r>
    </w:p>
    <w:p>
      <w:pPr>
        <w:pStyle w:val="ListBullet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정의로운 전환 지원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br w:type="page"/>
      </w:r>
    </w:p>
    <w:p>
      <w:pPr>
        <w:pStyle w:val="Heading1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Part 9. 우리가 참고할 점 — 모더레이터 실무 시사점 10가지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b/>
          <w:color w:val="880000"/>
          <w:u w:color="auto"/>
        </w:rPr>
        <w:t>① ‘권고안 1편’이 아닌 ‘5층 분리 산출물’로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→ 검토의견 / 정책건의(정부 책무) / 실천약속(시민 책무) / 헌장(가치) / 이행점검(절차). 분임 산출물 정리 시 이 5층 구조를 의식하면 권고 품질이 크게 올라감.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b/>
          <w:color w:val="880000"/>
          <w:u w:color="auto"/>
        </w:rPr>
        <w:t>② 시민의 ‘일상 어휘’를 검열하지 말 것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→ ‘NDC 40%’가 아니라 ‘우리 동네 폭염 쉼터’가 나오는 게 정상. 시민이 만든 18건 중 다수가 일상 어휘. ‘수준 끌어올리려는’ 개입 자제.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b/>
          <w:color w:val="880000"/>
          <w:u w:color="auto"/>
        </w:rPr>
        <w:t>③ 완화 일변도 의제 편향 보정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→ 정책 자료는 ‘감축’ 중심이지만 시민 권고는 ‘적응’ 비중이 자연히 높음(폭염·호우·반지하). 분임에서 적응 의제가 나오면 환영할 것.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b/>
          <w:color w:val="880000"/>
          <w:u w:color="auto"/>
        </w:rPr>
        <w:t>④ 취약계층·세대 의제는 ‘별도 트랙’으로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→ 경기 사례는 ‘청년의제안’과 ‘기후격차 워킹그룹’을 분리. 본회의도 이런 의제가 나오면 단일 다수결로 묻지 말고 별도 결과물로 인정 권장.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b/>
          <w:color w:val="880000"/>
          <w:u w:color="auto"/>
        </w:rPr>
        <w:t>⑤ 분과 구조는 ‘부문형’보다 ‘횡단·세대형’이 더 직관적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→ 경기는 ‘에너지·건물·수송’에서 ‘기후격차·미래세대·기후경제’로 진화. 본회의 분과 명칭이 부문형이라면 시민이 횡단형 의제(예: ‘기후취약’)를 발의해도 막지 말 것.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b/>
          <w:color w:val="880000"/>
          <w:u w:color="auto"/>
        </w:rPr>
        <w:t>⑥ ‘마음이 바뀌어도 OK’ 분위기는 학습 단계부터 깔 것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→ 「위대한 모임」 모델은 ‘배우면 처음 생각이 달라질 수 있다’를 전제. 분임 첫 5분 그라운드룰에 반드시 명시.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b/>
          <w:color w:val="880000"/>
          <w:u w:color="auto"/>
        </w:rPr>
        <w:t>⑦ ‘이건 정부에 요구하나, 우리가 함께 하나?’ 한 줄 질문 루틴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→ 발언이 길어지면 모더레이터가 “지금 말씀은 ‘정부 정책’ 제안인가요, ‘우리 함께 실천’ 제안인가요?”로 단계 정리. 산출물 분리에 직결.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b/>
          <w:color w:val="880000"/>
          <w:u w:color="auto"/>
        </w:rPr>
        <w:t>⑧ ‘반영 보장’의 한계를 솔직히 안내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→ 경기는 90% 수용률, 프랑스는 약속 미이행으로 신뢰 손상. 시민에게 ‘반드시 그대로 반영된다’고 약속하지 말고 ‘사후 모니터링 권리’를 함께 안내.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b/>
          <w:color w:val="880000"/>
          <w:u w:color="auto"/>
        </w:rPr>
        <w:t>⑨ 광역→권역→기초 다층 확산 의식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→ 경기는 6개 권역 원탁회의로 31개 시군 확산. 국가는 17개 광역으로 확산 가능성이 있음. 시민이 ‘우리 지역에서도 하나요?’ 물으면 ‘권고안에 지역 확산 트랙을 넣자’고 제안 가능.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b/>
          <w:color w:val="880000"/>
          <w:u w:color="auto"/>
        </w:rPr>
        <w:t>⑩ 민간 운동과의 결합 가능성 시사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→ 경기는 ‘100만 도민 행동’이라는 민간 연합이 회의를 받쳐줌. 국가 회의에는 아직 없음. 시민이 ‘회의 끝나고 어떻게 행동하나’ 물으면 경기 모델을 소개해 동기 부여 가능.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br w:type="page"/>
      </w:r>
    </w:p>
    <w:p>
      <w:pPr>
        <w:pStyle w:val="Heading1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[부록] 출처 및 추가 학습 링크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b/>
          <w:u w:color="auto"/>
        </w:rPr>
        <w:t>• 아주경제 — 경기도, 기후도민총회 정책 18건 반영 추진(2026.5.28)</w:t>
      </w:r>
      <w:r>
        <w:rPr>
          <w:rFonts w:ascii="나눔스퀘어" w:eastAsia="나눔스퀘어" w:hAnsi="나눔스퀘어" w:cs="나눔스퀘어" w:hint="default"/>
          <w:b/>
          <w:u w:color="auto"/>
        </w:rPr>
        <w:br/>
      </w:r>
      <w:r>
        <w:rPr>
          <w:rFonts w:ascii="나눔스퀘어" w:eastAsia="나눔스퀘어" w:hAnsi="나눔스퀘어" w:cs="나눔스퀘어" w:hint="default"/>
          <w:b/>
          <w:u w:color="auto"/>
        </w:rPr>
        <w:t xml:space="preserve">   </w:t>
      </w:r>
      <w:r>
        <w:rPr>
          <w:rFonts w:ascii="나눔스퀘어" w:eastAsia="나눔스퀘어" w:hAnsi="나눔스퀘어" w:cs="나눔스퀘어" w:hint="default"/>
          <w:color w:val="0055AA"/>
          <w:sz w:val="18"/>
          <w:u w:color="auto"/>
        </w:rPr>
        <w:t>https://www.ajunews.com/view/20260528162357866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b/>
          <w:u w:color="auto"/>
        </w:rPr>
        <w:t>• 뉴스뷰 — 출범 1년 성과교류회·도민 제안 18건</w:t>
      </w:r>
      <w:r>
        <w:rPr>
          <w:rFonts w:ascii="나눔스퀘어" w:eastAsia="나눔스퀘어" w:hAnsi="나눔스퀘어" w:cs="나눔스퀘어" w:hint="default"/>
          <w:b/>
          <w:u w:color="auto"/>
        </w:rPr>
        <w:br/>
      </w:r>
      <w:r>
        <w:rPr>
          <w:rFonts w:ascii="나눔스퀘어" w:eastAsia="나눔스퀘어" w:hAnsi="나눔스퀘어" w:cs="나눔스퀘어" w:hint="default"/>
          <w:b/>
          <w:u w:color="auto"/>
        </w:rPr>
        <w:t xml:space="preserve">   </w:t>
      </w:r>
      <w:r>
        <w:rPr>
          <w:rFonts w:ascii="나눔스퀘어" w:eastAsia="나눔스퀘어" w:hAnsi="나눔스퀘어" w:cs="나눔스퀘어" w:hint="default"/>
          <w:color w:val="0055AA"/>
          <w:sz w:val="18"/>
          <w:u w:color="auto"/>
        </w:rPr>
        <w:t>https://www.newsview.co.kr/270725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b/>
          <w:u w:color="auto"/>
        </w:rPr>
        <w:t>• 경기평화신문 — 출범 1년 성과교류회</w:t>
      </w:r>
      <w:r>
        <w:rPr>
          <w:rFonts w:ascii="나눔스퀘어" w:eastAsia="나눔스퀘어" w:hAnsi="나눔스퀘어" w:cs="나눔스퀘어" w:hint="default"/>
          <w:b/>
          <w:u w:color="auto"/>
        </w:rPr>
        <w:br/>
      </w:r>
      <w:r>
        <w:rPr>
          <w:rFonts w:ascii="나눔스퀘어" w:eastAsia="나눔스퀘어" w:hAnsi="나눔스퀘어" w:cs="나눔스퀘어" w:hint="default"/>
          <w:b/>
          <w:u w:color="auto"/>
        </w:rPr>
        <w:t xml:space="preserve">   </w:t>
      </w:r>
      <w:r>
        <w:rPr>
          <w:rFonts w:ascii="나눔스퀘어" w:eastAsia="나눔스퀘어" w:hAnsi="나눔스퀘어" w:cs="나눔스퀘어" w:hint="default"/>
          <w:color w:val="0055AA"/>
          <w:sz w:val="18"/>
          <w:u w:color="auto"/>
        </w:rPr>
        <w:t>https://www.ggpyeonghwa.com/581227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b/>
          <w:u w:color="auto"/>
        </w:rPr>
        <w:t>• 경기도지사 보도자료 — ‘대한민국 기후민주주의 첫 사례, 경기도 기후도민총회 출범’</w:t>
      </w:r>
      <w:r>
        <w:rPr>
          <w:rFonts w:ascii="나눔스퀘어" w:eastAsia="나눔스퀘어" w:hAnsi="나눔스퀘어" w:cs="나눔스퀘어" w:hint="default"/>
          <w:b/>
          <w:u w:color="auto"/>
        </w:rPr>
        <w:br/>
      </w:r>
      <w:r>
        <w:rPr>
          <w:rFonts w:ascii="나눔스퀘어" w:eastAsia="나눔스퀘어" w:hAnsi="나눔스퀘어" w:cs="나눔스퀘어" w:hint="default"/>
          <w:b/>
          <w:u w:color="auto"/>
        </w:rPr>
        <w:t xml:space="preserve">   </w:t>
      </w:r>
      <w:r>
        <w:rPr>
          <w:rFonts w:ascii="나눔스퀘어" w:eastAsia="나눔스퀘어" w:hAnsi="나눔스퀘어" w:cs="나눔스퀘어" w:hint="default"/>
          <w:color w:val="0055AA"/>
          <w:sz w:val="18"/>
          <w:u w:color="auto"/>
        </w:rPr>
        <w:t>https://governor.gg.go.kr/governor-news/press/?uid=16812&amp;mod=document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b/>
          <w:u w:color="auto"/>
        </w:rPr>
        <w:t>• 2025년 경기도 기후도민총회 일정(공식)</w:t>
      </w:r>
      <w:r>
        <w:rPr>
          <w:rFonts w:ascii="나눔스퀘어" w:eastAsia="나눔스퀘어" w:hAnsi="나눔스퀘어" w:cs="나눔스퀘어" w:hint="default"/>
          <w:b/>
          <w:u w:color="auto"/>
        </w:rPr>
        <w:br/>
      </w:r>
      <w:r>
        <w:rPr>
          <w:rFonts w:ascii="나눔스퀘어" w:eastAsia="나눔스퀘어" w:hAnsi="나눔스퀘어" w:cs="나눔스퀘어" w:hint="default"/>
          <w:b/>
          <w:u w:color="auto"/>
        </w:rPr>
        <w:t xml:space="preserve">   </w:t>
      </w:r>
      <w:r>
        <w:rPr>
          <w:rFonts w:ascii="나눔스퀘어" w:eastAsia="나눔스퀘어" w:hAnsi="나눔스퀘어" w:cs="나눔스퀘어" w:hint="default"/>
          <w:color w:val="0055AA"/>
          <w:sz w:val="18"/>
          <w:u w:color="auto"/>
        </w:rPr>
        <w:t>https://www.ggclimate.kr/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b/>
          <w:u w:color="auto"/>
        </w:rPr>
        <w:t>• 「위대한 모임」 ①강 결과 공유(사회혁신연구소)</w:t>
      </w:r>
      <w:r>
        <w:rPr>
          <w:rFonts w:ascii="나눔스퀘어" w:eastAsia="나눔스퀘어" w:hAnsi="나눔스퀘어" w:cs="나눔스퀘어" w:hint="default"/>
          <w:b/>
          <w:u w:color="auto"/>
        </w:rPr>
        <w:br/>
      </w:r>
      <w:r>
        <w:rPr>
          <w:rFonts w:ascii="나눔스퀘어" w:eastAsia="나눔스퀘어" w:hAnsi="나눔스퀘어" w:cs="나눔스퀘어" w:hint="default"/>
          <w:b/>
          <w:u w:color="auto"/>
        </w:rPr>
        <w:t xml:space="preserve">   </w:t>
      </w:r>
      <w:r>
        <w:rPr>
          <w:rFonts w:ascii="나눔스퀘어" w:eastAsia="나눔스퀘어" w:hAnsi="나눔스퀘어" w:cs="나눔스퀘어" w:hint="default"/>
          <w:color w:val="0055AA"/>
          <w:sz w:val="18"/>
          <w:u w:color="auto"/>
        </w:rPr>
        <w:t>http://www.si-lab.kr/37/?bmode=view&amp;idx=19440883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b/>
          <w:u w:color="auto"/>
        </w:rPr>
        <w:t>• 경기공익활동지원센터 — 기후위기 대응에 나선 경기도와 시민사회</w:t>
      </w:r>
      <w:r>
        <w:rPr>
          <w:rFonts w:ascii="나눔스퀘어" w:eastAsia="나눔스퀘어" w:hAnsi="나눔스퀘어" w:cs="나눔스퀘어" w:hint="default"/>
          <w:b/>
          <w:u w:color="auto"/>
        </w:rPr>
        <w:br/>
      </w:r>
      <w:r>
        <w:rPr>
          <w:rFonts w:ascii="나눔스퀘어" w:eastAsia="나눔스퀘어" w:hAnsi="나눔스퀘어" w:cs="나눔스퀘어" w:hint="default"/>
          <w:b/>
          <w:u w:color="auto"/>
        </w:rPr>
        <w:t xml:space="preserve">   </w:t>
      </w:r>
      <w:r>
        <w:rPr>
          <w:rFonts w:ascii="나눔스퀘어" w:eastAsia="나눔스퀘어" w:hAnsi="나눔스퀘어" w:cs="나눔스퀘어" w:hint="default"/>
          <w:color w:val="0055AA"/>
          <w:sz w:val="18"/>
          <w:u w:color="auto"/>
        </w:rPr>
        <w:t>https://www.gggongik.or.kr/m/page/archive/archiveinfo_detail.php?board_idx=4442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b/>
          <w:u w:color="auto"/>
        </w:rPr>
        <w:t>• 「경기 3030 실현 100만 도민 행동」 출범 기획</w:t>
      </w:r>
      <w:r>
        <w:rPr>
          <w:rFonts w:ascii="나눔스퀘어" w:eastAsia="나눔스퀘어" w:hAnsi="나눔스퀘어" w:cs="나눔스퀘어" w:hint="default"/>
          <w:b/>
          <w:u w:color="auto"/>
        </w:rPr>
        <w:br/>
      </w:r>
      <w:r>
        <w:rPr>
          <w:rFonts w:ascii="나눔스퀘어" w:eastAsia="나눔스퀘어" w:hAnsi="나눔스퀘어" w:cs="나눔스퀘어" w:hint="default"/>
          <w:b/>
          <w:u w:color="auto"/>
        </w:rPr>
        <w:t xml:space="preserve">   </w:t>
      </w:r>
      <w:r>
        <w:rPr>
          <w:rFonts w:ascii="나눔스퀘어" w:eastAsia="나눔스퀘어" w:hAnsi="나눔스퀘어" w:cs="나눔스퀘어" w:hint="default"/>
          <w:color w:val="0055AA"/>
          <w:sz w:val="18"/>
          <w:u w:color="auto"/>
        </w:rPr>
        <w:t>https://www.gggongik.or.kr/m/page/archive/archiveinfo_detail.html?board_idx=4708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b/>
          <w:u w:color="auto"/>
        </w:rPr>
        <w:t>• 경기RE100 — 도민참여 재생에너지 사회</w:t>
      </w:r>
      <w:r>
        <w:rPr>
          <w:rFonts w:ascii="나눔스퀘어" w:eastAsia="나눔스퀘어" w:hAnsi="나눔스퀘어" w:cs="나눔스퀘어" w:hint="default"/>
          <w:b/>
          <w:u w:color="auto"/>
        </w:rPr>
        <w:br/>
      </w:r>
      <w:r>
        <w:rPr>
          <w:rFonts w:ascii="나눔스퀘어" w:eastAsia="나눔스퀘어" w:hAnsi="나눔스퀘어" w:cs="나눔스퀘어" w:hint="default"/>
          <w:b/>
          <w:u w:color="auto"/>
        </w:rPr>
        <w:t xml:space="preserve">   </w:t>
      </w:r>
      <w:r>
        <w:rPr>
          <w:rFonts w:ascii="나눔스퀘어" w:eastAsia="나눔스퀘어" w:hAnsi="나눔스퀘어" w:cs="나눔스퀘어" w:hint="default"/>
          <w:color w:val="0055AA"/>
          <w:sz w:val="18"/>
          <w:u w:color="auto"/>
        </w:rPr>
        <w:t>https://www.gggongik.or.kr/m/page/archive/archiveinfo_detail.html?board_idx=5071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b/>
          <w:u w:color="auto"/>
        </w:rPr>
        <w:t>• 경기도 탄소중립 녹색성장 기본계획(경기도청)</w:t>
      </w:r>
      <w:r>
        <w:rPr>
          <w:rFonts w:ascii="나눔스퀘어" w:eastAsia="나눔스퀘어" w:hAnsi="나눔스퀘어" w:cs="나눔스퀘어" w:hint="default"/>
          <w:b/>
          <w:u w:color="auto"/>
        </w:rPr>
        <w:br/>
      </w:r>
      <w:r>
        <w:rPr>
          <w:rFonts w:ascii="나눔스퀘어" w:eastAsia="나눔스퀘어" w:hAnsi="나눔스퀘어" w:cs="나눔스퀘어" w:hint="default"/>
          <w:b/>
          <w:u w:color="auto"/>
        </w:rPr>
        <w:t xml:space="preserve">   </w:t>
      </w:r>
      <w:r>
        <w:rPr>
          <w:rFonts w:ascii="나눔스퀘어" w:eastAsia="나눔스퀘어" w:hAnsi="나눔스퀘어" w:cs="나눔스퀘어" w:hint="default"/>
          <w:color w:val="0055AA"/>
          <w:sz w:val="18"/>
          <w:u w:color="auto"/>
        </w:rPr>
        <w:t>https://www.gg.go.kr/contents/contents.do?ciIdx=987132&amp;menuId=266098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b/>
          <w:u w:color="auto"/>
        </w:rPr>
        <w:t>• 경기기후플랫폼 — 탄소중립 기본계획</w:t>
      </w:r>
      <w:r>
        <w:rPr>
          <w:rFonts w:ascii="나눔스퀘어" w:eastAsia="나눔스퀘어" w:hAnsi="나눔스퀘어" w:cs="나눔스퀘어" w:hint="default"/>
          <w:b/>
          <w:u w:color="auto"/>
        </w:rPr>
        <w:br/>
      </w:r>
      <w:r>
        <w:rPr>
          <w:rFonts w:ascii="나눔스퀘어" w:eastAsia="나눔스퀘어" w:hAnsi="나눔스퀘어" w:cs="나눔스퀘어" w:hint="default"/>
          <w:b/>
          <w:u w:color="auto"/>
        </w:rPr>
        <w:t xml:space="preserve">   </w:t>
      </w:r>
      <w:r>
        <w:rPr>
          <w:rFonts w:ascii="나눔스퀘어" w:eastAsia="나눔스퀘어" w:hAnsi="나눔스퀘어" w:cs="나눔스퀘어" w:hint="default"/>
          <w:color w:val="0055AA"/>
          <w:sz w:val="18"/>
          <w:u w:color="auto"/>
        </w:rPr>
        <w:t>https://climate.gg.go.kr/ips/carbon/plan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b/>
          <w:u w:color="auto"/>
        </w:rPr>
        <w:t>• 경기도민 탄소중립 실천을 위한 생활 안내서(PDF)</w:t>
      </w:r>
      <w:r>
        <w:rPr>
          <w:rFonts w:ascii="나눔스퀘어" w:eastAsia="나눔스퀘어" w:hAnsi="나눔스퀘어" w:cs="나눔스퀘어" w:hint="default"/>
          <w:b/>
          <w:u w:color="auto"/>
        </w:rPr>
        <w:br/>
      </w:r>
      <w:r>
        <w:rPr>
          <w:rFonts w:ascii="나눔스퀘어" w:eastAsia="나눔스퀘어" w:hAnsi="나눔스퀘어" w:cs="나눔스퀘어" w:hint="default"/>
          <w:b/>
          <w:u w:color="auto"/>
        </w:rPr>
        <w:t xml:space="preserve">   </w:t>
      </w:r>
      <w:r>
        <w:rPr>
          <w:rFonts w:ascii="나눔스퀘어" w:eastAsia="나눔스퀘어" w:hAnsi="나눔스퀘어" w:cs="나눔스퀘어" w:hint="default"/>
          <w:color w:val="0055AA"/>
          <w:sz w:val="18"/>
          <w:u w:color="auto"/>
        </w:rPr>
        <w:t>https://www.ggeea.or.kr/resources/download/경기도민%20탄소중립%20실천을%20위한%20생활안내서.pdf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b/>
          <w:u w:color="auto"/>
        </w:rPr>
        <w:t>• 경기 에너지 대전환 워킹그룹 출범 — 2030 재생에너지 10GW 전략</w:t>
      </w:r>
      <w:r>
        <w:rPr>
          <w:rFonts w:ascii="나눔스퀘어" w:eastAsia="나눔스퀘어" w:hAnsi="나눔스퀘어" w:cs="나눔스퀘어" w:hint="default"/>
          <w:b/>
          <w:u w:color="auto"/>
        </w:rPr>
        <w:br/>
      </w:r>
      <w:r>
        <w:rPr>
          <w:rFonts w:ascii="나눔스퀘어" w:eastAsia="나눔스퀘어" w:hAnsi="나눔스퀘어" w:cs="나눔스퀘어" w:hint="default"/>
          <w:b/>
          <w:u w:color="auto"/>
        </w:rPr>
        <w:t xml:space="preserve">   </w:t>
      </w:r>
      <w:r>
        <w:rPr>
          <w:rFonts w:ascii="나눔스퀘어" w:eastAsia="나눔스퀘어" w:hAnsi="나눔스퀘어" w:cs="나눔스퀘어" w:hint="default"/>
          <w:color w:val="0055AA"/>
          <w:sz w:val="18"/>
          <w:u w:color="auto"/>
        </w:rPr>
        <w:t>https://www.ggpyeonghwa.com/578830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b/>
          <w:u w:color="auto"/>
        </w:rPr>
        <w:t>• 기후행동 기회소득(경기도) 공식</w:t>
      </w:r>
      <w:r>
        <w:rPr>
          <w:rFonts w:ascii="나눔스퀘어" w:eastAsia="나눔스퀘어" w:hAnsi="나눔스퀘어" w:cs="나눔스퀘어" w:hint="default"/>
          <w:b/>
          <w:u w:color="auto"/>
        </w:rPr>
        <w:br/>
      </w:r>
      <w:r>
        <w:rPr>
          <w:rFonts w:ascii="나눔스퀘어" w:eastAsia="나눔스퀘어" w:hAnsi="나눔스퀘어" w:cs="나눔스퀘어" w:hint="default"/>
          <w:b/>
          <w:u w:color="auto"/>
        </w:rPr>
        <w:t xml:space="preserve">   </w:t>
      </w:r>
      <w:r>
        <w:rPr>
          <w:rFonts w:ascii="나눔스퀘어" w:eastAsia="나눔스퀘어" w:hAnsi="나눔스퀘어" w:cs="나눔스퀘어" w:hint="default"/>
          <w:color w:val="0055AA"/>
          <w:sz w:val="18"/>
          <w:u w:color="auto"/>
        </w:rPr>
        <w:t>https://www.ggaction.or.kr/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b/>
          <w:u w:color="auto"/>
        </w:rPr>
        <w:t>• 탄소중립 도민추진단 2기 역량 강화 교육(중부시사신문)</w:t>
      </w:r>
      <w:r>
        <w:rPr>
          <w:rFonts w:ascii="나눔스퀘어" w:eastAsia="나눔스퀘어" w:hAnsi="나눔스퀘어" w:cs="나눔스퀘어" w:hint="default"/>
          <w:b/>
          <w:u w:color="auto"/>
        </w:rPr>
        <w:br/>
      </w:r>
      <w:r>
        <w:rPr>
          <w:rFonts w:ascii="나눔스퀘어" w:eastAsia="나눔스퀘어" w:hAnsi="나눔스퀘어" w:cs="나눔스퀘어" w:hint="default"/>
          <w:b/>
          <w:u w:color="auto"/>
        </w:rPr>
        <w:t xml:space="preserve">   </w:t>
      </w:r>
      <w:r>
        <w:rPr>
          <w:rFonts w:ascii="나눔스퀘어" w:eastAsia="나눔스퀘어" w:hAnsi="나눔스퀘어" w:cs="나눔스퀘어" w:hint="default"/>
          <w:color w:val="0055AA"/>
          <w:sz w:val="18"/>
          <w:u w:color="auto"/>
        </w:rPr>
        <w:t>https://www.gninews.co.kr/news/article.html?no=781138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b w:val="0"/>
          <w:i/>
          <w:color w:val="884400"/>
          <w:sz w:val="20"/>
          <w:u w:color="auto"/>
        </w:rPr>
        <w:t>⚠ 본 자료는 공개 보도·공식 사이트·연구 자료를 종합한 비공식 참고용입니다. 인용 시 원 출처를 우선 확인하시기 바랍니다.</w:t>
      </w:r>
    </w:p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나눔스퀘어">
    <w:panose1 w:val="020B0600000101010101"/>
    <w:notTrueType w:val="false"/>
    <w:sig w:usb0="00000203" w:usb1="21D12C10" w:usb2="00000010" w:usb3="00000001" w:csb0="00280005" w:csb1="00000001"/>
  </w:font>
  <w:font w:name="Courier">
    <w:charset w:val="00"/>
    <w:notTrueType w:val="false"/>
  </w:font>
  <w:font w:name="Symbol">
    <w:panose1 w:val="05050102010706020507"/>
    <w:family w:val="Symbol"/>
    <w:charset w:val="00"/>
    <w:notTrueType w:val="false"/>
    <w:sig w:usb0="00000001" w:usb1="00000001" w:usb2="00000001" w:usb3="00000001" w:csb0="7FFFFFFF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Strong" w:semiHidden="0" w:uiPriority="34" w:unhideWhenUsed="0" w:qFormat="1"/>
    <w:lsdException w:name="Emphasis" w:semiHidden="0" w:uiPriority="32" w:unhideWhenUsed="0" w:qFormat="1"/>
    <w:lsdException w:name="Table Grid" w:semiHidden="0" w:uiPriority="8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iPriority="99" w:unhideWhenUsed="0"/>
    <w:lsdException w:name="Medium Shading 2" w:semiHidden="0" w:uiPriority="100" w:unhideWhenUsed="0"/>
    <w:lsdException w:name="Medium List 1" w:semiHidden="0" w:uiPriority="101" w:unhideWhenUsed="0"/>
    <w:lsdException w:name="Medium List 2" w:semiHidden="0" w:uiPriority="102" w:unhideWhenUsed="0"/>
    <w:lsdException w:name="Medium Grid 1" w:semiHidden="0" w:uiPriority="103" w:unhideWhenUsed="0"/>
    <w:lsdException w:name="Medium Grid 2" w:semiHidden="0" w:uiPriority="104" w:unhideWhenUsed="0"/>
    <w:lsdException w:name="Medium Grid 3" w:semiHidden="0" w:uiPriority="105" w:unhideWhenUsed="0"/>
    <w:lsdException w:name="Dark List" w:semiHidden="0" w:uiPriority="112" w:unhideWhenUsed="0"/>
    <w:lsdException w:name="Colorful Shading" w:semiHidden="0" w:uiPriority="113" w:unhideWhenUsed="0"/>
    <w:lsdException w:name="Colorful List" w:semiHidden="0" w:uiPriority="114" w:unhideWhenUsed="0"/>
    <w:lsdException w:name="Colorful Grid" w:semiHidden="0" w:uiPriority="115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iPriority="99" w:unhideWhenUsed="0"/>
    <w:lsdException w:name="Medium Shading 2 Accent 1" w:semiHidden="0" w:uiPriority="100" w:unhideWhenUsed="0"/>
    <w:lsdException w:name="Medium List 1 Accent 1" w:semiHidden="0" w:uiPriority="101" w:unhideWhenUsed="0"/>
    <w:lsdException w:name="Revision" w:unhideWhenUsed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102" w:unhideWhenUsed="0"/>
    <w:lsdException w:name="Medium Grid 1 Accent 1" w:semiHidden="0" w:uiPriority="103" w:unhideWhenUsed="0"/>
    <w:lsdException w:name="Medium Grid 2 Accent 1" w:semiHidden="0" w:uiPriority="104" w:unhideWhenUsed="0"/>
    <w:lsdException w:name="Medium Grid 3 Accent 1" w:semiHidden="0" w:uiPriority="105" w:unhideWhenUsed="0"/>
    <w:lsdException w:name="Dark List Accent 1" w:semiHidden="0" w:uiPriority="112" w:unhideWhenUsed="0"/>
    <w:lsdException w:name="Colorful Shading Accent 1" w:semiHidden="0" w:uiPriority="113" w:unhideWhenUsed="0"/>
    <w:lsdException w:name="Colorful List Accent 1" w:semiHidden="0" w:uiPriority="114" w:unhideWhenUsed="0"/>
    <w:lsdException w:name="Colorful Grid Accent 1" w:semiHidden="0" w:uiPriority="115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iPriority="99" w:unhideWhenUsed="0"/>
    <w:lsdException w:name="Medium Shading 2 Accent 2" w:semiHidden="0" w:uiPriority="100" w:unhideWhenUsed="0"/>
    <w:lsdException w:name="Medium List 1 Accent 2" w:semiHidden="0" w:uiPriority="101" w:unhideWhenUsed="0"/>
    <w:lsdException w:name="Medium List 2 Accent 2" w:semiHidden="0" w:uiPriority="102" w:unhideWhenUsed="0"/>
    <w:lsdException w:name="Medium Grid 1 Accent 2" w:semiHidden="0" w:uiPriority="103" w:unhideWhenUsed="0"/>
    <w:lsdException w:name="Medium Grid 2 Accent 2" w:semiHidden="0" w:uiPriority="104" w:unhideWhenUsed="0"/>
    <w:lsdException w:name="Medium Grid 3 Accent 2" w:semiHidden="0" w:uiPriority="105" w:unhideWhenUsed="0"/>
    <w:lsdException w:name="Dark List Accent 2" w:semiHidden="0" w:uiPriority="112" w:unhideWhenUsed="0"/>
    <w:lsdException w:name="Colorful Shading Accent 2" w:semiHidden="0" w:uiPriority="113" w:unhideWhenUsed="0"/>
    <w:lsdException w:name="Colorful List Accent 2" w:semiHidden="0" w:uiPriority="114" w:unhideWhenUsed="0"/>
    <w:lsdException w:name="Colorful Grid Accent 2" w:semiHidden="0" w:uiPriority="115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iPriority="99" w:unhideWhenUsed="0"/>
    <w:lsdException w:name="Medium Shading 2 Accent 3" w:semiHidden="0" w:uiPriority="100" w:unhideWhenUsed="0"/>
    <w:lsdException w:name="Medium List 1 Accent 3" w:semiHidden="0" w:uiPriority="101" w:unhideWhenUsed="0"/>
    <w:lsdException w:name="Medium List 2 Accent 3" w:semiHidden="0" w:uiPriority="102" w:unhideWhenUsed="0"/>
    <w:lsdException w:name="Medium Grid 1 Accent 3" w:semiHidden="0" w:uiPriority="103" w:unhideWhenUsed="0"/>
    <w:lsdException w:name="Medium Grid 2 Accent 3" w:semiHidden="0" w:uiPriority="104" w:unhideWhenUsed="0"/>
    <w:lsdException w:name="Medium Grid 3 Accent 3" w:semiHidden="0" w:uiPriority="105" w:unhideWhenUsed="0"/>
    <w:lsdException w:name="Dark List Accent 3" w:semiHidden="0" w:uiPriority="112" w:unhideWhenUsed="0"/>
    <w:lsdException w:name="Colorful Shading Accent 3" w:semiHidden="0" w:uiPriority="113" w:unhideWhenUsed="0"/>
    <w:lsdException w:name="Colorful List Accent 3" w:semiHidden="0" w:uiPriority="114" w:unhideWhenUsed="0"/>
    <w:lsdException w:name="Colorful Grid Accent 3" w:semiHidden="0" w:uiPriority="115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iPriority="99" w:unhideWhenUsed="0"/>
    <w:lsdException w:name="Medium Shading 2 Accent 4" w:semiHidden="0" w:uiPriority="100" w:unhideWhenUsed="0"/>
    <w:lsdException w:name="Medium List 1 Accent 4" w:semiHidden="0" w:uiPriority="101" w:unhideWhenUsed="0"/>
    <w:lsdException w:name="Medium List 2 Accent 4" w:semiHidden="0" w:uiPriority="102" w:unhideWhenUsed="0"/>
    <w:lsdException w:name="Medium Grid 1 Accent 4" w:semiHidden="0" w:uiPriority="103" w:unhideWhenUsed="0"/>
    <w:lsdException w:name="Medium Grid 2 Accent 4" w:semiHidden="0" w:uiPriority="104" w:unhideWhenUsed="0"/>
    <w:lsdException w:name="Medium Grid 3 Accent 4" w:semiHidden="0" w:uiPriority="105" w:unhideWhenUsed="0"/>
    <w:lsdException w:name="Dark List Accent 4" w:semiHidden="0" w:uiPriority="112" w:unhideWhenUsed="0"/>
    <w:lsdException w:name="Colorful Shading Accent 4" w:semiHidden="0" w:uiPriority="113" w:unhideWhenUsed="0"/>
    <w:lsdException w:name="Colorful List Accent 4" w:semiHidden="0" w:uiPriority="114" w:unhideWhenUsed="0"/>
    <w:lsdException w:name="Colorful Grid Accent 4" w:semiHidden="0" w:uiPriority="115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iPriority="99" w:unhideWhenUsed="0"/>
    <w:lsdException w:name="Medium Shading 2 Accent 5" w:semiHidden="0" w:uiPriority="100" w:unhideWhenUsed="0"/>
    <w:lsdException w:name="Medium List 1 Accent 5" w:semiHidden="0" w:uiPriority="101" w:unhideWhenUsed="0"/>
    <w:lsdException w:name="Medium List 2 Accent 5" w:semiHidden="0" w:uiPriority="102" w:unhideWhenUsed="0"/>
    <w:lsdException w:name="Medium Grid 1 Accent 5" w:semiHidden="0" w:uiPriority="103" w:unhideWhenUsed="0"/>
    <w:lsdException w:name="Medium Grid 2 Accent 5" w:semiHidden="0" w:uiPriority="104" w:unhideWhenUsed="0"/>
    <w:lsdException w:name="Medium Grid 3 Accent 5" w:semiHidden="0" w:uiPriority="105" w:unhideWhenUsed="0"/>
    <w:lsdException w:name="Dark List Accent 5" w:semiHidden="0" w:uiPriority="112" w:unhideWhenUsed="0"/>
    <w:lsdException w:name="Colorful Shading Accent 5" w:semiHidden="0" w:uiPriority="113" w:unhideWhenUsed="0"/>
    <w:lsdException w:name="Colorful List Accent 5" w:semiHidden="0" w:uiPriority="114" w:unhideWhenUsed="0"/>
    <w:lsdException w:name="Colorful Grid Accent 5" w:semiHidden="0" w:uiPriority="115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iPriority="99" w:unhideWhenUsed="0"/>
    <w:lsdException w:name="Medium Shading 2 Accent 6" w:semiHidden="0" w:uiPriority="100" w:unhideWhenUsed="0"/>
    <w:lsdException w:name="Medium List 1 Accent 6" w:semiHidden="0" w:uiPriority="101" w:unhideWhenUsed="0"/>
    <w:lsdException w:name="Medium List 2 Accent 6" w:semiHidden="0" w:uiPriority="102" w:unhideWhenUsed="0"/>
    <w:lsdException w:name="Medium Grid 1 Accent 6" w:semiHidden="0" w:uiPriority="103" w:unhideWhenUsed="0"/>
    <w:lsdException w:name="Medium Grid 2 Accent 6" w:semiHidden="0" w:uiPriority="104" w:unhideWhenUsed="0"/>
    <w:lsdException w:name="Medium Grid 3 Accent 6" w:semiHidden="0" w:uiPriority="105" w:unhideWhenUsed="0"/>
    <w:lsdException w:name="Dark List Accent 6" w:semiHidden="0" w:uiPriority="112" w:unhideWhenUsed="0"/>
    <w:lsdException w:name="Colorful Shading Accent 6" w:semiHidden="0" w:uiPriority="113" w:unhideWhenUsed="0"/>
    <w:lsdException w:name="Colorful List Accent 6" w:semiHidden="0" w:uiPriority="114" w:unhideWhenUsed="0"/>
    <w:lsdException w:name="Colorful Grid Accent 6" w:semiHidden="0" w:uiPriority="115" w:unhideWhenUsed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uiPriority="55"/>
    <w:lsdException w:name="TOC Heading" w:uiPriority="57" w:qFormat="1"/>
  </w:latentStyles>
  <w:style w:type="paragraph" w:default="1" w:styleId="Normal">
    <w:name w:val="Normal"/>
    <w:qFormat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8C8C8C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8C8C8C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numId w:val="3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numId w:val="4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numId w:val="2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8C8C8C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8C8C8C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BDBDBD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E1E1E1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E1E1E1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E4E8F1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E4E8F1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F1E4E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F1E4E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BF0E4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BF0E4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E8E5EC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E8E5EC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E3EEF3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E3EEF3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BE3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BE3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8C8C8C" w:themeColor="text1" w:themeTint="bf"/>
        <w:left w:val="single" w:sz="8" w:space="0" w:color="8C8C8C" w:themeColor="text1" w:themeTint="bf"/>
        <w:bottom w:val="single" w:sz="8" w:space="0" w:color="8C8C8C" w:themeColor="text1" w:themeTint="bf"/>
        <w:right w:val="single" w:sz="8" w:space="0" w:color="8C8C8C" w:themeColor="text1" w:themeTint="bf"/>
        <w:insideH w:val="single" w:sz="8" w:space="0" w:color="8C8C8C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8C8C8C" w:themeColor="text1" w:themeTint="bf"/>
          <w:left w:val="single" w:sz="8" w:space="0" w:color="8C8C8C" w:themeColor="text1" w:themeTint="bf"/>
          <w:bottom w:val="single" w:sz="8" w:space="0" w:color="8C8C8C" w:themeColor="text1" w:themeTint="bf"/>
          <w:right w:val="single" w:sz="8" w:space="0" w:color="8C8C8C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C8C8C" w:themeColor="text1" w:themeTint="bf"/>
          <w:left w:val="single" w:sz="8" w:space="0" w:color="8C8C8C" w:themeColor="text1" w:themeTint="bf"/>
          <w:bottom w:val="single" w:sz="8" w:space="0" w:color="8C8C8C" w:themeColor="text1" w:themeTint="bf"/>
          <w:right w:val="single" w:sz="8" w:space="0" w:color="8C8C8C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1E1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E1E1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7ADD0" w:themeColor="accent1" w:themeTint="bf"/>
        <w:left w:val="single" w:sz="8" w:space="0" w:color="97ADD0" w:themeColor="accent1" w:themeTint="bf"/>
        <w:bottom w:val="single" w:sz="8" w:space="0" w:color="97ADD0" w:themeColor="accent1" w:themeTint="bf"/>
        <w:right w:val="single" w:sz="8" w:space="0" w:color="97ADD0" w:themeColor="accent1" w:themeTint="bf"/>
        <w:insideH w:val="single" w:sz="8" w:space="0" w:color="97ADD0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7ADD0" w:themeColor="accent1" w:themeTint="bf"/>
          <w:left w:val="single" w:sz="8" w:space="0" w:color="97ADD0" w:themeColor="accent1" w:themeTint="bf"/>
          <w:bottom w:val="single" w:sz="8" w:space="0" w:color="97ADD0" w:themeColor="accent1" w:themeTint="bf"/>
          <w:right w:val="single" w:sz="8" w:space="0" w:color="97ADD0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7ADD0" w:themeColor="accent1" w:themeTint="bf"/>
          <w:left w:val="single" w:sz="8" w:space="0" w:color="97ADD0" w:themeColor="accent1" w:themeTint="bf"/>
          <w:bottom w:val="single" w:sz="8" w:space="0" w:color="97ADD0" w:themeColor="accent1" w:themeTint="bf"/>
          <w:right w:val="single" w:sz="8" w:space="0" w:color="97ADD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8F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8F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D29897" w:themeColor="accent2" w:themeTint="bf"/>
        <w:left w:val="single" w:sz="8" w:space="0" w:color="D29897" w:themeColor="accent2" w:themeTint="bf"/>
        <w:bottom w:val="single" w:sz="8" w:space="0" w:color="D29897" w:themeColor="accent2" w:themeTint="bf"/>
        <w:right w:val="single" w:sz="8" w:space="0" w:color="D29897" w:themeColor="accent2" w:themeTint="bf"/>
        <w:insideH w:val="single" w:sz="8" w:space="0" w:color="D29897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D29897" w:themeColor="accent2" w:themeTint="bf"/>
          <w:left w:val="single" w:sz="8" w:space="0" w:color="D29897" w:themeColor="accent2" w:themeTint="bf"/>
          <w:bottom w:val="single" w:sz="8" w:space="0" w:color="D29897" w:themeColor="accent2" w:themeTint="bf"/>
          <w:right w:val="single" w:sz="8" w:space="0" w:color="D29897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D29897" w:themeColor="accent2" w:themeTint="bf"/>
          <w:left w:val="single" w:sz="8" w:space="0" w:color="D29897" w:themeColor="accent2" w:themeTint="bf"/>
          <w:bottom w:val="single" w:sz="8" w:space="0" w:color="D29897" w:themeColor="accent2" w:themeTint="bf"/>
          <w:right w:val="single" w:sz="8" w:space="0" w:color="D29897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E4E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1E4E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BCF9B" w:themeColor="accent3" w:themeTint="bf"/>
        <w:left w:val="single" w:sz="8" w:space="0" w:color="BBCF9B" w:themeColor="accent3" w:themeTint="bf"/>
        <w:bottom w:val="single" w:sz="8" w:space="0" w:color="BBCF9B" w:themeColor="accent3" w:themeTint="bf"/>
        <w:right w:val="single" w:sz="8" w:space="0" w:color="BBCF9B" w:themeColor="accent3" w:themeTint="bf"/>
        <w:insideH w:val="single" w:sz="8" w:space="0" w:color="BBCF9B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BCF9B" w:themeColor="accent3" w:themeTint="bf"/>
          <w:left w:val="single" w:sz="8" w:space="0" w:color="BBCF9B" w:themeColor="accent3" w:themeTint="bf"/>
          <w:bottom w:val="single" w:sz="8" w:space="0" w:color="BBCF9B" w:themeColor="accent3" w:themeTint="bf"/>
          <w:right w:val="single" w:sz="8" w:space="0" w:color="BBCF9B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BCF9B" w:themeColor="accent3" w:themeTint="bf"/>
          <w:left w:val="single" w:sz="8" w:space="0" w:color="BBCF9B" w:themeColor="accent3" w:themeTint="bf"/>
          <w:bottom w:val="single" w:sz="8" w:space="0" w:color="BBCF9B" w:themeColor="accent3" w:themeTint="bf"/>
          <w:right w:val="single" w:sz="8" w:space="0" w:color="BBCF9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0E4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F0E4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AC9FBF" w:themeColor="accent4" w:themeTint="bf"/>
        <w:left w:val="single" w:sz="8" w:space="0" w:color="AC9FBF" w:themeColor="accent4" w:themeTint="bf"/>
        <w:bottom w:val="single" w:sz="8" w:space="0" w:color="AC9FBF" w:themeColor="accent4" w:themeTint="bf"/>
        <w:right w:val="single" w:sz="8" w:space="0" w:color="AC9FBF" w:themeColor="accent4" w:themeTint="bf"/>
        <w:insideH w:val="single" w:sz="8" w:space="0" w:color="AC9FBF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AC9FBF" w:themeColor="accent4" w:themeTint="bf"/>
          <w:left w:val="single" w:sz="8" w:space="0" w:color="AC9FBF" w:themeColor="accent4" w:themeTint="bf"/>
          <w:bottom w:val="single" w:sz="8" w:space="0" w:color="AC9FBF" w:themeColor="accent4" w:themeTint="bf"/>
          <w:right w:val="single" w:sz="8" w:space="0" w:color="AC9FBF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AC9FBF" w:themeColor="accent4" w:themeTint="bf"/>
          <w:left w:val="single" w:sz="8" w:space="0" w:color="AC9FBF" w:themeColor="accent4" w:themeTint="bf"/>
          <w:bottom w:val="single" w:sz="8" w:space="0" w:color="AC9FBF" w:themeColor="accent4" w:themeTint="bf"/>
          <w:right w:val="single" w:sz="8" w:space="0" w:color="AC9FB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5EC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5EC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6C5D6" w:themeColor="accent5" w:themeTint="bf"/>
        <w:left w:val="single" w:sz="8" w:space="0" w:color="96C5D6" w:themeColor="accent5" w:themeTint="bf"/>
        <w:bottom w:val="single" w:sz="8" w:space="0" w:color="96C5D6" w:themeColor="accent5" w:themeTint="bf"/>
        <w:right w:val="single" w:sz="8" w:space="0" w:color="96C5D6" w:themeColor="accent5" w:themeTint="bf"/>
        <w:insideH w:val="single" w:sz="8" w:space="0" w:color="96C5D6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6C5D6" w:themeColor="accent5" w:themeTint="bf"/>
          <w:left w:val="single" w:sz="8" w:space="0" w:color="96C5D6" w:themeColor="accent5" w:themeTint="bf"/>
          <w:bottom w:val="single" w:sz="8" w:space="0" w:color="96C5D6" w:themeColor="accent5" w:themeTint="bf"/>
          <w:right w:val="single" w:sz="8" w:space="0" w:color="96C5D6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6C5D6" w:themeColor="accent5" w:themeTint="bf"/>
          <w:left w:val="single" w:sz="8" w:space="0" w:color="96C5D6" w:themeColor="accent5" w:themeTint="bf"/>
          <w:bottom w:val="single" w:sz="8" w:space="0" w:color="96C5D6" w:themeColor="accent5" w:themeTint="bf"/>
          <w:right w:val="single" w:sz="8" w:space="0" w:color="96C5D6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EEF3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EEF3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895" w:themeColor="accent6" w:themeTint="bf"/>
        <w:left w:val="single" w:sz="8" w:space="0" w:color="F9B895" w:themeColor="accent6" w:themeTint="bf"/>
        <w:bottom w:val="single" w:sz="8" w:space="0" w:color="F9B895" w:themeColor="accent6" w:themeTint="bf"/>
        <w:right w:val="single" w:sz="8" w:space="0" w:color="F9B895" w:themeColor="accent6" w:themeTint="bf"/>
        <w:insideH w:val="single" w:sz="8" w:space="0" w:color="F9B895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895" w:themeColor="accent6" w:themeTint="bf"/>
          <w:left w:val="single" w:sz="8" w:space="0" w:color="F9B895" w:themeColor="accent6" w:themeTint="bf"/>
          <w:bottom w:val="single" w:sz="8" w:space="0" w:color="F9B895" w:themeColor="accent6" w:themeTint="bf"/>
          <w:right w:val="single" w:sz="8" w:space="0" w:color="F9B895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895" w:themeColor="accent6" w:themeTint="bf"/>
          <w:left w:val="single" w:sz="8" w:space="0" w:color="F9B895" w:themeColor="accent6" w:themeTint="bf"/>
          <w:bottom w:val="single" w:sz="8" w:space="0" w:color="F9B895" w:themeColor="accent6" w:themeTint="bf"/>
          <w:right w:val="single" w:sz="8" w:space="0" w:color="F9B895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BE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BE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E1E1E1" w:themeFill="text1" w:themeFillTint="3f"/>
      </w:tcPr>
    </w:tblStylePr>
    <w:tblStylePr w:type="band1Horz">
      <w:tblPr/>
      <w:tcPr>
        <w:shd w:val="clear" w:color="auto" w:fill="E1E1E1" w:themeFill="text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E4E8F1" w:themeFill="accent1" w:themeFillTint="3f"/>
      </w:tcPr>
    </w:tblStylePr>
    <w:tblStylePr w:type="band1Horz">
      <w:tblPr/>
      <w:tcPr>
        <w:shd w:val="clear" w:color="auto" w:fill="E4E8F1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F1E4E3" w:themeFill="accent2" w:themeFillTint="3f"/>
      </w:tcPr>
    </w:tblStylePr>
    <w:tblStylePr w:type="band1Horz">
      <w:tblPr/>
      <w:tcPr>
        <w:shd w:val="clear" w:color="auto" w:fill="F1E4E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BF0E4" w:themeFill="accent3" w:themeFillTint="3f"/>
      </w:tcPr>
    </w:tblStylePr>
    <w:tblStylePr w:type="band1Horz">
      <w:tblPr/>
      <w:tcPr>
        <w:shd w:val="clear" w:color="auto" w:fill="EBF0E4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E8E5EC" w:themeFill="accent4" w:themeFillTint="3f"/>
      </w:tcPr>
    </w:tblStylePr>
    <w:tblStylePr w:type="band1Horz">
      <w:tblPr/>
      <w:tcPr>
        <w:shd w:val="clear" w:color="auto" w:fill="E8E5EC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E3EEF3" w:themeFill="accent5" w:themeFillTint="3f"/>
      </w:tcPr>
    </w:tblStylePr>
    <w:tblStylePr w:type="band1Horz">
      <w:tblPr/>
      <w:tcPr>
        <w:shd w:val="clear" w:color="auto" w:fill="E3EEF3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BE3" w:themeFill="accent6" w:themeFillTint="3f"/>
      </w:tcPr>
    </w:tblStylePr>
    <w:tblStylePr w:type="band1Horz">
      <w:tblPr/>
      <w:tcPr>
        <w:shd w:val="clear" w:color="auto" w:fill="FDEBE3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E1E1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8F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1E4E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F0E4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5EC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EEF3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BE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8C8C8C" w:themeColor="text1" w:themeTint="bf"/>
        <w:left w:val="single" w:sz="8" w:space="0" w:color="8C8C8C" w:themeColor="text1" w:themeTint="bf"/>
        <w:bottom w:val="single" w:sz="8" w:space="0" w:color="8C8C8C" w:themeColor="text1" w:themeTint="bf"/>
        <w:right w:val="single" w:sz="8" w:space="0" w:color="8C8C8C" w:themeColor="text1" w:themeTint="bf"/>
        <w:insideH w:val="single" w:sz="8" w:space="0" w:color="8C8C8C" w:themeColor="text1" w:themeTint="bf"/>
        <w:insideV w:val="single" w:sz="8" w:space="0" w:color="8C8C8C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1E1E1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C8C8C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BDBD" w:themeFill="text1" w:themeFillTint="7f"/>
      </w:tcPr>
    </w:tblStylePr>
    <w:tblStylePr w:type="band1Horz">
      <w:tblPr/>
      <w:tcPr>
        <w:shd w:val="clear" w:color="auto" w:fill="BDBDBD" w:themeFill="text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7ADD0" w:themeColor="accent1" w:themeTint="bf"/>
        <w:left w:val="single" w:sz="8" w:space="0" w:color="97ADD0" w:themeColor="accent1" w:themeTint="bf"/>
        <w:bottom w:val="single" w:sz="8" w:space="0" w:color="97ADD0" w:themeColor="accent1" w:themeTint="bf"/>
        <w:right w:val="single" w:sz="8" w:space="0" w:color="97ADD0" w:themeColor="accent1" w:themeTint="bf"/>
        <w:insideH w:val="single" w:sz="8" w:space="0" w:color="97ADD0" w:themeColor="accent1" w:themeTint="bf"/>
        <w:insideV w:val="single" w:sz="8" w:space="0" w:color="97ADD0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4E8F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7ADD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CDE1" w:themeFill="accent1" w:themeFillTint="7f"/>
      </w:tcPr>
    </w:tblStylePr>
    <w:tblStylePr w:type="band1Horz">
      <w:tblPr/>
      <w:tcPr>
        <w:shd w:val="clear" w:color="auto" w:fill="C2CDE1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D29897" w:themeColor="accent2" w:themeTint="bf"/>
        <w:left w:val="single" w:sz="8" w:space="0" w:color="D29897" w:themeColor="accent2" w:themeTint="bf"/>
        <w:bottom w:val="single" w:sz="8" w:space="0" w:color="D29897" w:themeColor="accent2" w:themeTint="bf"/>
        <w:right w:val="single" w:sz="8" w:space="0" w:color="D29897" w:themeColor="accent2" w:themeTint="bf"/>
        <w:insideH w:val="single" w:sz="8" w:space="0" w:color="D29897" w:themeColor="accent2" w:themeTint="bf"/>
        <w:insideV w:val="single" w:sz="8" w:space="0" w:color="D29897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1E4E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29897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C3C2" w:themeFill="accent2" w:themeFillTint="7f"/>
      </w:tcPr>
    </w:tblStylePr>
    <w:tblStylePr w:type="band1Horz">
      <w:tblPr/>
      <w:tcPr>
        <w:shd w:val="clear" w:color="auto" w:fill="E2C3C2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BCF9B" w:themeColor="accent3" w:themeTint="bf"/>
        <w:left w:val="single" w:sz="8" w:space="0" w:color="BBCF9B" w:themeColor="accent3" w:themeTint="bf"/>
        <w:bottom w:val="single" w:sz="8" w:space="0" w:color="BBCF9B" w:themeColor="accent3" w:themeTint="bf"/>
        <w:right w:val="single" w:sz="8" w:space="0" w:color="BBCF9B" w:themeColor="accent3" w:themeTint="bf"/>
        <w:insideH w:val="single" w:sz="8" w:space="0" w:color="BBCF9B" w:themeColor="accent3" w:themeTint="bf"/>
        <w:insideV w:val="single" w:sz="8" w:space="0" w:color="BBCF9B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0E4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CF9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0C4" w:themeFill="accent3" w:themeFillTint="7f"/>
      </w:tcPr>
    </w:tblStylePr>
    <w:tblStylePr w:type="band1Horz">
      <w:tblPr/>
      <w:tcPr>
        <w:shd w:val="clear" w:color="auto" w:fill="D5E0C4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AC9FBF" w:themeColor="accent4" w:themeTint="bf"/>
        <w:left w:val="single" w:sz="8" w:space="0" w:color="AC9FBF" w:themeColor="accent4" w:themeTint="bf"/>
        <w:bottom w:val="single" w:sz="8" w:space="0" w:color="AC9FBF" w:themeColor="accent4" w:themeTint="bf"/>
        <w:right w:val="single" w:sz="8" w:space="0" w:color="AC9FBF" w:themeColor="accent4" w:themeTint="bf"/>
        <w:insideH w:val="single" w:sz="8" w:space="0" w:color="AC9FBF" w:themeColor="accent4" w:themeTint="bf"/>
        <w:insideV w:val="single" w:sz="8" w:space="0" w:color="AC9FBF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8E5EC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C9FB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C6D7" w:themeFill="accent4" w:themeFillTint="7f"/>
      </w:tcPr>
    </w:tblStylePr>
    <w:tblStylePr w:type="band1Horz">
      <w:tblPr/>
      <w:tcPr>
        <w:shd w:val="clear" w:color="auto" w:fill="CDC6D7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6C5D6" w:themeColor="accent5" w:themeTint="bf"/>
        <w:left w:val="single" w:sz="8" w:space="0" w:color="96C5D6" w:themeColor="accent5" w:themeTint="bf"/>
        <w:bottom w:val="single" w:sz="8" w:space="0" w:color="96C5D6" w:themeColor="accent5" w:themeTint="bf"/>
        <w:right w:val="single" w:sz="8" w:space="0" w:color="96C5D6" w:themeColor="accent5" w:themeTint="bf"/>
        <w:insideH w:val="single" w:sz="8" w:space="0" w:color="96C5D6" w:themeColor="accent5" w:themeTint="bf"/>
        <w:insideV w:val="single" w:sz="8" w:space="0" w:color="96C5D6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3EEF3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6C5D6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BE5" w:themeFill="accent5" w:themeFillTint="7f"/>
      </w:tcPr>
    </w:tblStylePr>
    <w:tblStylePr w:type="band1Horz">
      <w:tblPr/>
      <w:tcPr>
        <w:shd w:val="clear" w:color="auto" w:fill="C2DBE5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895" w:themeColor="accent6" w:themeTint="bf"/>
        <w:left w:val="single" w:sz="8" w:space="0" w:color="F9B895" w:themeColor="accent6" w:themeTint="bf"/>
        <w:bottom w:val="single" w:sz="8" w:space="0" w:color="F9B895" w:themeColor="accent6" w:themeTint="bf"/>
        <w:right w:val="single" w:sz="8" w:space="0" w:color="F9B895" w:themeColor="accent6" w:themeTint="bf"/>
        <w:insideH w:val="single" w:sz="8" w:space="0" w:color="F9B895" w:themeColor="accent6" w:themeTint="bf"/>
        <w:insideV w:val="single" w:sz="8" w:space="0" w:color="F9B895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BE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895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3C1" w:themeFill="accent6" w:themeFillTint="7f"/>
      </w:tcPr>
    </w:tblStylePr>
    <w:tblStylePr w:type="band1Horz">
      <w:tblPr/>
      <w:tcPr>
        <w:shd w:val="clear" w:color="auto" w:fill="FBD3C1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1E1E1" w:themeFill="text1" w:themeFillTint="3f"/>
    </w:tcPr>
    <w:tblStylePr w:type="firstRow">
      <w:rPr>
        <w:b/>
        <w:bCs/>
        <w:color w:val="000000"/>
      </w:rPr>
      <w:tblPr/>
      <w:tcPr>
        <w:shd w:val="clear" w:color="auto" w:fill="F4F4F4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E7E7" w:themeFill="text1" w:themeFillTint="33"/>
      </w:tcPr>
    </w:tblStylePr>
    <w:tblStylePr w:type="band1Vert">
      <w:tblPr/>
      <w:tcPr>
        <w:shd w:val="clear" w:color="auto" w:fill="BDBDBD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BDBDBD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4E8F1" w:themeFill="accent1" w:themeFillTint="3f"/>
    </w:tcPr>
    <w:tblStylePr w:type="firstRow">
      <w:rPr>
        <w:b/>
        <w:bCs/>
        <w:color w:val="000000"/>
      </w:rPr>
      <w:tblPr/>
      <w:tcPr>
        <w:shd w:val="clear" w:color="auto" w:fill="F5F6FA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EDF4" w:themeFill="accent1" w:themeFillTint="33"/>
      </w:tcPr>
    </w:tblStylePr>
    <w:tblStylePr w:type="band1Vert">
      <w:tblPr/>
      <w:tcPr>
        <w:shd w:val="clear" w:color="auto" w:fill="C2CDE1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C2CD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1E4E3" w:themeFill="accent2" w:themeFillTint="3f"/>
    </w:tcPr>
    <w:tblStylePr w:type="firstRow">
      <w:rPr>
        <w:b/>
        <w:bCs/>
        <w:color w:val="000000"/>
      </w:rPr>
      <w:tblPr/>
      <w:tcPr>
        <w:shd w:val="clear" w:color="auto" w:fill="FAF5F5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E9E9" w:themeFill="accent2" w:themeFillTint="33"/>
      </w:tcPr>
    </w:tblStylePr>
    <w:tblStylePr w:type="band1Vert">
      <w:tblPr/>
      <w:tcPr>
        <w:shd w:val="clear" w:color="auto" w:fill="E2C3C2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E2C3C2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0E4" w:themeFill="accent3" w:themeFillTint="3f"/>
    </w:tcPr>
    <w:tblStylePr w:type="firstRow">
      <w:rPr>
        <w:b/>
        <w:bCs/>
        <w:color w:val="000000"/>
      </w:rPr>
      <w:tblPr/>
      <w:tcPr>
        <w:shd w:val="clear" w:color="auto" w:fill="F7F9F5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F3EA" w:themeFill="accent3" w:themeFillTint="33"/>
      </w:tcPr>
    </w:tblStylePr>
    <w:tblStylePr w:type="band1Vert">
      <w:tblPr/>
      <w:tcPr>
        <w:shd w:val="clear" w:color="auto" w:fill="D5E0C4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D5E0C4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8E5EC" w:themeFill="accent4" w:themeFillTint="3f"/>
    </w:tcPr>
    <w:tblStylePr w:type="firstRow">
      <w:rPr>
        <w:b/>
        <w:bCs/>
        <w:color w:val="000000"/>
      </w:rPr>
      <w:tblPr/>
      <w:tcPr>
        <w:shd w:val="clear" w:color="auto" w:fill="F6F5F8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AF0" w:themeFill="accent4" w:themeFillTint="33"/>
      </w:tcPr>
    </w:tblStylePr>
    <w:tblStylePr w:type="band1Vert">
      <w:tblPr/>
      <w:tcPr>
        <w:shd w:val="clear" w:color="auto" w:fill="CDC6D7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CDC6D7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3EEF3" w:themeFill="accent5" w:themeFillTint="3f"/>
    </w:tcPr>
    <w:tblStylePr w:type="firstRow">
      <w:rPr>
        <w:b/>
        <w:bCs/>
        <w:color w:val="000000"/>
      </w:rPr>
      <w:tblPr/>
      <w:tcPr>
        <w:shd w:val="clear" w:color="auto" w:fill="F5F8FA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1F5" w:themeFill="accent5" w:themeFillTint="33"/>
      </w:tcPr>
    </w:tblStylePr>
    <w:tblStylePr w:type="band1Vert">
      <w:tblPr/>
      <w:tcPr>
        <w:shd w:val="clear" w:color="auto" w:fill="C2DBE5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C2DBE5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BE3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7F4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FE9" w:themeFill="accent6" w:themeFillTint="33"/>
      </w:tcPr>
    </w:tblStylePr>
    <w:tblStylePr w:type="band1Vert">
      <w:tblPr/>
      <w:tcPr>
        <w:shd w:val="clear" w:color="auto" w:fill="FBD3C1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D3C1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1E1E1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BDBD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DBDBD" w:themeFill="text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4E8F1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2CD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2CDE1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1E4E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2C3C2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2C3C2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0E4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5E0C4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5E0C4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8E5EC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C6D7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C6D7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3EEF3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2DBE5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2DBE5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BE3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D3C1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D3C1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4F4F4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CCCCCC" w:themeFill="text1" w:themeFillTint="66"/>
      </w:tcPr>
    </w:tblStylePr>
    <w:tblStylePr w:type="band1Horz">
      <w:tblPr/>
      <w:tcPr>
        <w:shd w:val="clear" w:color="auto" w:fill="BDBDBD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6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D0D8E8" w:themeFill="accent1" w:themeFillTint="66"/>
      </w:tcPr>
    </w:tblStylePr>
    <w:tblStylePr w:type="band1Horz">
      <w:tblPr/>
      <w:tcPr>
        <w:shd w:val="clear" w:color="auto" w:fill="C2CDE1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AF5F5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8D0D0" w:themeFill="accent2" w:themeFillTint="66"/>
      </w:tcPr>
    </w:tblStylePr>
    <w:tblStylePr w:type="band1Horz">
      <w:tblPr/>
      <w:tcPr>
        <w:shd w:val="clear" w:color="auto" w:fill="E2C3C2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F9F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EE7D1" w:themeFill="accent3" w:themeFillTint="66"/>
      </w:tcPr>
    </w:tblStylePr>
    <w:tblStylePr w:type="band1Horz">
      <w:tblPr/>
      <w:tcPr>
        <w:shd w:val="clear" w:color="auto" w:fill="D5E0C4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6F5F8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D8D3E0" w:themeFill="accent4" w:themeFillTint="66"/>
      </w:tcPr>
    </w:tblStylePr>
    <w:tblStylePr w:type="band1Horz">
      <w:tblPr/>
      <w:tcPr>
        <w:shd w:val="clear" w:color="auto" w:fill="CDC6D7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FA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D0E3EA" w:themeFill="accent5" w:themeFillTint="66"/>
      </w:tcPr>
    </w:tblStylePr>
    <w:tblStylePr w:type="band1Horz">
      <w:tblPr/>
      <w:tcPr>
        <w:shd w:val="clear" w:color="auto" w:fill="C2DBE5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7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CDDCF" w:themeFill="accent6" w:themeFillTint="66"/>
      </w:tcPr>
    </w:tblStylePr>
    <w:tblStylePr w:type="band1Horz">
      <w:tblPr/>
      <w:tcPr>
        <w:shd w:val="clear" w:color="auto" w:fill="FBD3C1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4F4F4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  <w:tblStylePr w:type="band1Horz">
      <w:tblPr/>
      <w:tcPr>
        <w:shd w:val="clear" w:color="auto" w:fill="E7E7E7" w:themeFill="text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6FA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  <w:tblStylePr w:type="band1Horz">
      <w:tblPr/>
      <w:tcPr>
        <w:shd w:val="clear" w:color="auto" w:fill="E9EDF4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AF5F5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  <w:tblStylePr w:type="band1Horz">
      <w:tblPr/>
      <w:tcPr>
        <w:shd w:val="clear" w:color="auto" w:fill="F4E9E9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F9F5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  <w:tblStylePr w:type="band1Horz">
      <w:tblPr/>
      <w:tcPr>
        <w:shd w:val="clear" w:color="auto" w:fill="EFF3EA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6F5F8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  <w:tblStylePr w:type="band1Horz">
      <w:tblPr/>
      <w:tcPr>
        <w:shd w:val="clear" w:color="auto" w:fill="EDEAF0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FA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  <w:tblStylePr w:type="band1Horz">
      <w:tblPr/>
      <w:tcPr>
        <w:shd w:val="clear" w:color="auto" w:fill="E9F1F5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7F4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  <w:tblStylePr w:type="band1Horz">
      <w:tblPr/>
      <w:tcPr>
        <w:shd w:val="clear" w:color="auto" w:fill="FDEFE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7E7E7" w:themeFill="text1" w:themeFillTint="33"/>
    </w:tcPr>
    <w:tblStylePr w:type="firstRow">
      <w:rPr>
        <w:b/>
        <w:bCs/>
      </w:rPr>
      <w:tblPr/>
      <w:tcPr>
        <w:shd w:val="clear" w:color="auto" w:fill="CCCCCC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CCCCCC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BDBDBD" w:themeFill="text1" w:themeFillTint="7f"/>
      </w:tcPr>
    </w:tblStylePr>
    <w:tblStylePr w:type="band1Horz">
      <w:tblPr/>
      <w:tcPr>
        <w:shd w:val="clear" w:color="auto" w:fill="BDBDBD" w:themeFill="text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9EDF4" w:themeFill="accent1" w:themeFillTint="33"/>
    </w:tcPr>
    <w:tblStylePr w:type="firstRow">
      <w:rPr>
        <w:b/>
        <w:bCs/>
      </w:rPr>
      <w:tblPr/>
      <w:tcPr>
        <w:shd w:val="clear" w:color="auto" w:fill="D0D8E8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D0D8E8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C2CDE1" w:themeFill="accent1" w:themeFillTint="7f"/>
      </w:tcPr>
    </w:tblStylePr>
    <w:tblStylePr w:type="band1Horz">
      <w:tblPr/>
      <w:tcPr>
        <w:shd w:val="clear" w:color="auto" w:fill="C2CDE1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4E9E9" w:themeFill="accent2" w:themeFillTint="33"/>
    </w:tcPr>
    <w:tblStylePr w:type="firstRow">
      <w:rPr>
        <w:b/>
        <w:bCs/>
      </w:rPr>
      <w:tblPr/>
      <w:tcPr>
        <w:shd w:val="clear" w:color="auto" w:fill="E8D0D0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8D0D0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E2C3C2" w:themeFill="accent2" w:themeFillTint="7f"/>
      </w:tcPr>
    </w:tblStylePr>
    <w:tblStylePr w:type="band1Horz">
      <w:tblPr/>
      <w:tcPr>
        <w:shd w:val="clear" w:color="auto" w:fill="E2C3C2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F3EA" w:themeFill="accent3" w:themeFillTint="33"/>
    </w:tcPr>
    <w:tblStylePr w:type="firstRow">
      <w:rPr>
        <w:b/>
        <w:bCs/>
      </w:rPr>
      <w:tblPr/>
      <w:tcPr>
        <w:shd w:val="clear" w:color="auto" w:fill="DEE7D1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EE7D1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D5E0C4" w:themeFill="accent3" w:themeFillTint="7f"/>
      </w:tcPr>
    </w:tblStylePr>
    <w:tblStylePr w:type="band1Horz">
      <w:tblPr/>
      <w:tcPr>
        <w:shd w:val="clear" w:color="auto" w:fill="D5E0C4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EAF0" w:themeFill="accent4" w:themeFillTint="33"/>
    </w:tcPr>
    <w:tblStylePr w:type="firstRow">
      <w:rPr>
        <w:b/>
        <w:bCs/>
      </w:rPr>
      <w:tblPr/>
      <w:tcPr>
        <w:shd w:val="clear" w:color="auto" w:fill="D8D3E0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D8D3E0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CDC6D7" w:themeFill="accent4" w:themeFillTint="7f"/>
      </w:tcPr>
    </w:tblStylePr>
    <w:tblStylePr w:type="band1Horz">
      <w:tblPr/>
      <w:tcPr>
        <w:shd w:val="clear" w:color="auto" w:fill="CDC6D7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9F1F5" w:themeFill="accent5" w:themeFillTint="33"/>
    </w:tcPr>
    <w:tblStylePr w:type="firstRow">
      <w:rPr>
        <w:b/>
        <w:bCs/>
      </w:rPr>
      <w:tblPr/>
      <w:tcPr>
        <w:shd w:val="clear" w:color="auto" w:fill="D0E3EA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D0E3EA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C2DBE5" w:themeFill="accent5" w:themeFillTint="7f"/>
      </w:tcPr>
    </w:tblStylePr>
    <w:tblStylePr w:type="band1Horz">
      <w:tblPr/>
      <w:tcPr>
        <w:shd w:val="clear" w:color="auto" w:fill="C2DBE5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FE9" w:themeFill="accent6" w:themeFillTint="33"/>
    </w:tcPr>
    <w:tblStylePr w:type="firstRow">
      <w:rPr>
        <w:b/>
        <w:bCs/>
      </w:rPr>
      <w:tblPr/>
      <w:tcPr>
        <w:shd w:val="clear" w:color="auto" w:fill="FCDDCF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CDDCF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D3C1" w:themeFill="accent6" w:themeFillTint="7f"/>
      </w:tcPr>
    </w:tblStylePr>
    <w:tblStylePr w:type="band1Horz">
      <w:tblPr/>
      <w:tcPr>
        <w:shd w:val="clear" w:color="auto" w:fill="FBD3C1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webSettings" Target="webSettings.xml"/><Relationship Id="rId5" Type="http://schemas.openxmlformats.org/officeDocument/2006/relationships/numbering" Target="numbering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iceam</cp:lastModifiedBy>
  <cp:revision>1</cp:revision>
  <dcterms:created xsi:type="dcterms:W3CDTF">2013-12-23T23:15:00Z</dcterms:created>
  <dcterms:modified xsi:type="dcterms:W3CDTF">2026-05-31T02:48:44Z</dcterms:modified>
  <cp:version>1300.0100.01</cp:version>
</cp:coreProperties>
</file>