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임금체불 진정의 법적 요건 및 절차 — IRAC 분석</w:t>
      </w:r>
    </w:p>
    <w:p/>
    <w:p>
      <w:r>
        <w:rPr>
          <w:b/>
          <w:sz w:val="28"/>
        </w:rPr>
        <w:t>Issue (쟁점)</w:t>
      </w:r>
    </w:p>
    <w:p/>
    <w:p>
      <w:pPr>
        <w:jc w:val="both"/>
      </w:pPr>
      <w:r>
        <w:t>임금체불 진정에 있어 (1) 근로기준법 제36조(금품청산)·제43조(임금지급) 위반 시 제109조 형사처벌의 요건, (2) 사용자의 '고의' 판단 기준과 책임조각 사유, (3) 체당금(대지급금) 제도의 요건·절차·지급범위, (4) 반의사불벌죄로서의 특성과 실무상 함의가 핵심 쟁점이다.</w:t>
      </w:r>
    </w:p>
    <w:p/>
    <w:p>
      <w:r>
        <w:rPr>
          <w:b/>
          <w:sz w:val="28"/>
        </w:rPr>
        <w:t>Rule (법규)</w:t>
      </w:r>
    </w:p>
    <w:p/>
    <w:p>
      <w:r>
        <w:rPr>
          <w:b/>
          <w:sz w:val="26"/>
        </w:rPr>
        <w:t>관련 법조문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법령</w:t>
            </w:r>
          </w:p>
        </w:tc>
        <w:tc>
          <w:tcPr>
            <w:tcW w:type="dxa" w:w="3324"/>
          </w:tcPr>
          <w:p>
            <w:r>
              <w:rPr>
                <w:b/>
              </w:rPr>
              <w:t>조문</w:t>
            </w:r>
          </w:p>
        </w:tc>
        <w:tc>
          <w:tcPr>
            <w:tcW w:type="dxa" w:w="3324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3324"/>
          </w:tcPr>
          <w:p>
            <w:r>
              <w:t>근로기준법 제36조</w:t>
            </w:r>
          </w:p>
        </w:tc>
        <w:tc>
          <w:tcPr>
            <w:tcW w:type="dxa" w:w="3324"/>
          </w:tcPr>
          <w:p>
            <w:r>
              <w:t>금품청산</w:t>
            </w:r>
          </w:p>
        </w:tc>
        <w:tc>
          <w:tcPr>
            <w:tcW w:type="dxa" w:w="3324"/>
          </w:tcPr>
          <w:p>
            <w:r>
              <w:t>사용자는 근로자가 사망·퇴직한 경우 지급사유 발생일부터 14일 이내에 임금·보상금 등 일체 금품을 지급하여야 한다</w:t>
            </w:r>
          </w:p>
        </w:tc>
      </w:tr>
      <w:tr>
        <w:tc>
          <w:tcPr>
            <w:tcW w:type="dxa" w:w="3324"/>
          </w:tcPr>
          <w:p>
            <w:r>
              <w:t>근로기준법 제43조</w:t>
            </w:r>
          </w:p>
        </w:tc>
        <w:tc>
          <w:tcPr>
            <w:tcW w:type="dxa" w:w="3324"/>
          </w:tcPr>
          <w:p>
            <w:r>
              <w:t>임금지급</w:t>
            </w:r>
          </w:p>
        </w:tc>
        <w:tc>
          <w:tcPr>
            <w:tcW w:type="dxa" w:w="3324"/>
          </w:tcPr>
          <w:p>
            <w:r>
              <w:t>임금은 통화로 직접 근로자에게 전액을, 매월 1회 이상 일정한 날짜를 정하여 지급하여야 한다</w:t>
            </w:r>
          </w:p>
        </w:tc>
      </w:tr>
      <w:tr>
        <w:tc>
          <w:tcPr>
            <w:tcW w:type="dxa" w:w="3324"/>
          </w:tcPr>
          <w:p>
            <w:r>
              <w:t>근로기준법 제109조 제1항</w:t>
            </w:r>
          </w:p>
        </w:tc>
        <w:tc>
          <w:tcPr>
            <w:tcW w:type="dxa" w:w="3324"/>
          </w:tcPr>
          <w:p>
            <w:r>
              <w:t>벌칙</w:t>
            </w:r>
          </w:p>
        </w:tc>
        <w:tc>
          <w:tcPr>
            <w:tcW w:type="dxa" w:w="3324"/>
          </w:tcPr>
          <w:p>
            <w:r>
              <w:t>제36조·제43조 위반 시 3년 이하의 징역 또는 3천만원 이하의 벌금</w:t>
            </w:r>
          </w:p>
        </w:tc>
      </w:tr>
      <w:tr>
        <w:tc>
          <w:tcPr>
            <w:tcW w:type="dxa" w:w="3324"/>
          </w:tcPr>
          <w:p>
            <w:r>
              <w:t>근로기준법 제109조 제2항</w:t>
            </w:r>
          </w:p>
        </w:tc>
        <w:tc>
          <w:tcPr>
            <w:tcW w:type="dxa" w:w="3324"/>
          </w:tcPr>
          <w:p>
            <w:r>
              <w:t>반의사불벌</w:t>
            </w:r>
          </w:p>
        </w:tc>
        <w:tc>
          <w:tcPr>
            <w:tcW w:type="dxa" w:w="3324"/>
          </w:tcPr>
          <w:p>
            <w:r>
              <w:t>피해자의 명시적 의사에 반하여 공소를 제기할 수 없다</w:t>
            </w:r>
          </w:p>
        </w:tc>
      </w:tr>
      <w:tr>
        <w:tc>
          <w:tcPr>
            <w:tcW w:type="dxa" w:w="3324"/>
          </w:tcPr>
          <w:p>
            <w:r>
              <w:t>임금채권보장법 제7조</w:t>
            </w:r>
          </w:p>
        </w:tc>
        <w:tc>
          <w:tcPr>
            <w:tcW w:type="dxa" w:w="3324"/>
          </w:tcPr>
          <w:p>
            <w:r>
              <w:t>체당금(대지급금)</w:t>
            </w:r>
          </w:p>
        </w:tc>
        <w:tc>
          <w:tcPr>
            <w:tcW w:type="dxa" w:w="3324"/>
          </w:tcPr>
          <w:p>
            <w:r>
              <w:t>사업주 도산·파산 등 시 국가가 사업주를 대신하여 미지급 임금 등을 근로자에게 지급</w:t>
            </w:r>
          </w:p>
        </w:tc>
      </w:tr>
      <w:tr>
        <w:tc>
          <w:tcPr>
            <w:tcW w:type="dxa" w:w="3324"/>
          </w:tcPr>
          <w:p>
            <w:r>
              <w:t>근로기준법 제13조</w:t>
            </w:r>
          </w:p>
        </w:tc>
        <w:tc>
          <w:tcPr>
            <w:tcW w:type="dxa" w:w="3324"/>
          </w:tcPr>
          <w:p>
            <w:r>
              <w:t>보고·출석 의무</w:t>
            </w:r>
          </w:p>
        </w:tc>
        <w:tc>
          <w:tcPr>
            <w:tcW w:type="dxa" w:w="3324"/>
          </w:tcPr>
          <w:p>
            <w:r>
              <w:t>근로감독관의 요구 시 사용자·근로자는 필요사항 보고 또는 출석 의무, 위반 시 과태료</w:t>
            </w:r>
          </w:p>
        </w:tc>
      </w:tr>
    </w:tbl>
    <w:p/>
    <w:p>
      <w:r>
        <w:rPr>
          <w:b/>
          <w:sz w:val="26"/>
        </w:rPr>
        <w:t>핵심 판례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판례</w:t>
            </w:r>
          </w:p>
        </w:tc>
        <w:tc>
          <w:tcPr>
            <w:tcW w:type="dxa" w:w="3324"/>
          </w:tcPr>
          <w:p>
            <w:r>
              <w:rPr>
                <w:b/>
              </w:rPr>
              <w:t>법원</w:t>
            </w:r>
          </w:p>
        </w:tc>
        <w:tc>
          <w:tcPr>
            <w:tcW w:type="dxa" w:w="3324"/>
          </w:tcPr>
          <w:p>
            <w:r>
              <w:rPr>
                <w:b/>
              </w:rPr>
              <w:t>핵심 판시사항</w:t>
            </w:r>
          </w:p>
        </w:tc>
      </w:tr>
      <w:tr>
        <w:tc>
          <w:tcPr>
            <w:tcW w:type="dxa" w:w="3324"/>
          </w:tcPr>
          <w:p>
            <w:r>
              <w:t>2008도5984</w:t>
            </w:r>
          </w:p>
        </w:tc>
        <w:tc>
          <w:tcPr>
            <w:tcW w:type="dxa" w:w="3324"/>
          </w:tcPr>
          <w:p>
            <w:r>
              <w:t>대법원 2008. 10. 9.</w:t>
            </w:r>
          </w:p>
        </w:tc>
        <w:tc>
          <w:tcPr>
            <w:tcW w:type="dxa" w:w="3324"/>
          </w:tcPr>
          <w:p>
            <w:r>
              <w:t>임금 지급의무에 다툴 만한 근거가 있으면 고의 부정; 불황만으로는 면책 불가[^1]</w:t>
            </w:r>
          </w:p>
        </w:tc>
      </w:tr>
      <w:tr>
        <w:tc>
          <w:tcPr>
            <w:tcW w:type="dxa" w:w="3324"/>
          </w:tcPr>
          <w:p>
            <w:r>
              <w:t>2005도9230</w:t>
            </w:r>
          </w:p>
        </w:tc>
        <w:tc>
          <w:tcPr>
            <w:tcW w:type="dxa" w:w="3324"/>
          </w:tcPr>
          <w:p>
            <w:r>
              <w:t>대법원 2006. 2. 9.</w:t>
            </w:r>
          </w:p>
        </w:tc>
        <w:tc>
          <w:tcPr>
            <w:tcW w:type="dxa" w:w="3324"/>
          </w:tcPr>
          <w:p>
            <w:r>
              <w:t>변제노력·구체적 변제계획 없이 경영부진 주장만으로는 불가피한 사정 불인정[^2]</w:t>
            </w:r>
          </w:p>
        </w:tc>
      </w:tr>
      <w:tr>
        <w:tc>
          <w:tcPr>
            <w:tcW w:type="dxa" w:w="3324"/>
          </w:tcPr>
          <w:p>
            <w:r>
              <w:t>2016고단408</w:t>
            </w:r>
          </w:p>
        </w:tc>
        <w:tc>
          <w:tcPr>
            <w:tcW w:type="dxa" w:w="3324"/>
          </w:tcPr>
          <w:p>
            <w:r>
              <w:t>서울중앙지법 2016. 8. 10.</w:t>
            </w:r>
          </w:p>
        </w:tc>
        <w:tc>
          <w:tcPr>
            <w:tcW w:type="dxa" w:w="3324"/>
          </w:tcPr>
          <w:p>
            <w:r>
              <w:t>지급의무 존부·범위에 다툴 근거가 있는지는 제반 정황에 비추어 판단[^3]</w:t>
            </w:r>
          </w:p>
        </w:tc>
      </w:tr>
      <w:tr>
        <w:tc>
          <w:tcPr>
            <w:tcW w:type="dxa" w:w="3324"/>
          </w:tcPr>
          <w:p>
            <w:r>
              <w:t>2019노429</w:t>
            </w:r>
          </w:p>
        </w:tc>
        <w:tc>
          <w:tcPr>
            <w:tcW w:type="dxa" w:w="3324"/>
          </w:tcPr>
          <w:p>
            <w:r>
              <w:t>서울중앙지법 2019. 8. 23.</w:t>
            </w:r>
          </w:p>
        </w:tc>
        <w:tc>
          <w:tcPr>
            <w:tcW w:type="dxa" w:w="3324"/>
          </w:tcPr>
          <w:p>
            <w:r>
              <w:t>근로자의 업무상횡령 주장 등으로 지급의무에 다툼이 있으면 고의 부정[^4]</w:t>
            </w:r>
          </w:p>
        </w:tc>
      </w:tr>
      <w:tr>
        <w:tc>
          <w:tcPr>
            <w:tcW w:type="dxa" w:w="3324"/>
          </w:tcPr>
          <w:p>
            <w:r>
              <w:t>2021고정208</w:t>
            </w:r>
          </w:p>
        </w:tc>
        <w:tc>
          <w:tcPr>
            <w:tcW w:type="dxa" w:w="3324"/>
          </w:tcPr>
          <w:p>
            <w:r>
              <w:t>서울북부지법 2022. 5. 11.</w:t>
            </w:r>
          </w:p>
        </w:tc>
        <w:tc>
          <w:tcPr>
            <w:tcW w:type="dxa" w:w="3324"/>
          </w:tcPr>
          <w:p>
            <w:r>
              <w:t>임금 액수에 다툴 만한 근거가 있는 경우 고의 부정[^4]</w:t>
            </w:r>
          </w:p>
        </w:tc>
      </w:tr>
      <w:tr>
        <w:tc>
          <w:tcPr>
            <w:tcW w:type="dxa" w:w="3324"/>
          </w:tcPr>
          <w:p>
            <w:r>
              <w:t>2025고단1143</w:t>
            </w:r>
          </w:p>
        </w:tc>
        <w:tc>
          <w:tcPr>
            <w:tcW w:type="dxa" w:w="3324"/>
          </w:tcPr>
          <w:p>
            <w:r>
              <w:t>부산지법</w:t>
            </w:r>
          </w:p>
        </w:tc>
        <w:tc>
          <w:tcPr>
            <w:tcW w:type="dxa" w:w="3324"/>
          </w:tcPr>
          <w:p>
            <w:r>
              <w:t>사용자의 정의(실질경영자 포함), 제36조·제109조 위반 구성요건[^5]</w:t>
            </w:r>
          </w:p>
        </w:tc>
      </w:tr>
      <w:tr>
        <w:tc>
          <w:tcPr>
            <w:tcW w:type="dxa" w:w="3324"/>
          </w:tcPr>
          <w:p>
            <w:r>
              <w:t>2019고정2518</w:t>
            </w:r>
          </w:p>
        </w:tc>
        <w:tc>
          <w:tcPr>
            <w:tcW w:type="dxa" w:w="3324"/>
          </w:tcPr>
          <w:p>
            <w:r>
              <w:t>인천지법</w:t>
            </w:r>
          </w:p>
        </w:tc>
        <w:tc>
          <w:tcPr>
            <w:tcW w:type="dxa" w:w="3324"/>
          </w:tcPr>
          <w:p>
            <w:r>
              <w:t>반의사불벌죄로서 처벌불원 의사표시 시 공소기각[^5]</w:t>
            </w:r>
          </w:p>
        </w:tc>
      </w:tr>
      <w:tr>
        <w:tc>
          <w:tcPr>
            <w:tcW w:type="dxa" w:w="3324"/>
          </w:tcPr>
          <w:p>
            <w:r>
              <w:t>2014다208378</w:t>
            </w:r>
          </w:p>
        </w:tc>
        <w:tc>
          <w:tcPr>
            <w:tcW w:type="dxa" w:w="3324"/>
          </w:tcPr>
          <w:p>
            <w:r>
              <w:t>대법원 2015. 11. 27.</w:t>
            </w:r>
          </w:p>
        </w:tc>
        <w:tc>
          <w:tcPr>
            <w:tcW w:type="dxa" w:w="3324"/>
          </w:tcPr>
          <w:p>
            <w:r>
              <w:t>체당금 지급 후 근로복지공단의 대위행사 시 배당순위 동순위[^6]</w:t>
            </w:r>
          </w:p>
        </w:tc>
      </w:tr>
    </w:tbl>
    <w:p/>
    <w:p>
      <w:r>
        <w:rPr>
          <w:b/>
          <w:sz w:val="28"/>
        </w:rPr>
        <w:t>Application (적용)</w:t>
      </w:r>
    </w:p>
    <w:p/>
    <w:p>
      <w:r>
        <w:rPr>
          <w:b/>
          <w:sz w:val="26"/>
        </w:rPr>
        <w:t>빅케이스 분석 결과 (1,056건 검색)</w:t>
      </w:r>
    </w:p>
    <w:p/>
    <w:p>
      <w:pPr>
        <w:jc w:val="both"/>
      </w:pPr>
      <w:r>
        <w:t xml:space="preserve">빅케이스에서 "임금체불 진정" 검색 시 1,056건의 전문판례가 조회되었다. 상위 판례인 부산지방법원 2024나42857 판결에서는 건설현장 '실행소장'이 노동청에 임금체불 진정을 접수하였으나 근로기준법 적용대상이 아니라는 이유로 행정종결 처리된 사안이 다뤄졌다. 이는 </w:t>
      </w:r>
      <w:r>
        <w:rPr>
          <w:b/>
        </w:rPr>
        <w:t>근로자성 인정 여부</w:t>
      </w:r>
      <w:r>
        <w:t>가 임금체불 진정의 전제요건임을 보여주는 사례이다.</w:t>
      </w:r>
    </w:p>
    <w:p/>
    <w:p>
      <w:r>
        <w:rPr>
          <w:b/>
          <w:sz w:val="26"/>
        </w:rPr>
        <w:t>엘박스 AI 분석 결과 (7개 섹션 구조화 답변)</w:t>
      </w:r>
    </w:p>
    <w:p/>
    <w:p>
      <w:pPr>
        <w:jc w:val="both"/>
      </w:pPr>
      <w:r>
        <w:t>엘박스 AI는 7개 섹션으로 구조화된 답변을 제공하였다. 핵심 요약: 임금체불 진정은 별도의 성문요건이 정형화되어 있다기보다 (i) 근로자-사용자 관계, (ii) 임금·퇴직금 등 금품 지급의무, (iii) 법정 지급기일 도과가 전제될 때 노동청 조사·시정지시 및 사법처리로 연결되는 구조이다</w:t>
      </w:r>
      <w:r>
        <w:rPr>
          <w:color w:val="000099"/>
          <w:sz w:val="18"/>
          <w:vertAlign w:val="superscript"/>
        </w:rPr>
        <w:t>5)</w:t>
      </w:r>
      <w:r>
        <w:t xml:space="preserve">. 사용자의 범위는 형식상 대표자에 한정되지 않고 </w:t>
      </w:r>
      <w:r>
        <w:rPr>
          <w:b/>
        </w:rPr>
        <w:t>실질경영자도 포함</w:t>
      </w:r>
      <w:r>
        <w:t>될 수 있으며</w:t>
      </w:r>
      <w:r>
        <w:rPr>
          <w:color w:val="000099"/>
          <w:sz w:val="18"/>
          <w:vertAlign w:val="superscript"/>
        </w:rPr>
        <w:t>5)</w:t>
      </w:r>
      <w:r>
        <w:t>, 반대로 명의상 대표에 불과하면 사용자성이 부정될 수 있다. 체당금 관련하여 도산등사실인정 요건(상시근로자 300인 이하, 사업 폐지·지급불능 등)과 신청기간(퇴직 다음날부터 1년 이내)을 상세히 정리하였다.</w:t>
      </w:r>
    </w:p>
    <w:p/>
    <w:p>
      <w:r>
        <w:rPr>
          <w:b/>
          <w:sz w:val="26"/>
        </w:rPr>
        <w:t>슈퍼로이어 AI 분석 결과 (6개 섹션, 판례+서적 인용)</w:t>
      </w:r>
    </w:p>
    <w:p/>
    <w:p>
      <w:pPr>
        <w:jc w:val="both"/>
      </w:pPr>
      <w:r>
        <w:t xml:space="preserve">슈퍼로이어는 가장 체계적인 구조(6개 섹션)로 답변을 제공하였다. 특히 </w:t>
      </w:r>
      <w:r>
        <w:rPr>
          <w:b/>
        </w:rPr>
        <w:t>고의 판단 기준</w:t>
      </w:r>
      <w:r>
        <w:t>에 관해 (1) 고의가 부정되는 경우(지급의무 존부·범위에 다툼이 있는 경우), (2) 고의가 인정되는 경우(경영부진만으로는 면책 불가, 변제노력 부족)를 판례별로 구분하여 정리하였다</w:t>
      </w:r>
      <w:r>
        <w:rPr>
          <w:color w:val="000099"/>
          <w:sz w:val="18"/>
          <w:vertAlign w:val="superscript"/>
        </w:rPr>
        <w:t>1)</w:t>
      </w:r>
      <w:r>
        <w:rPr>
          <w:color w:val="000099"/>
          <w:sz w:val="18"/>
          <w:vertAlign w:val="superscript"/>
        </w:rPr>
        <w:t>2)</w:t>
      </w:r>
      <w:r>
        <w:t xml:space="preserve">. 반의사불벌죄의 특성으로 처벌불원 의사표시는 제1심 판결 선고 전까지 가능하나, 일단 표시 후에는 </w:t>
      </w:r>
      <w:r>
        <w:rPr>
          <w:b/>
        </w:rPr>
        <w:t>철회 불가</w:t>
      </w:r>
      <w:r>
        <w:t>하다는 점을 강조하였다</w:t>
      </w:r>
      <w:r>
        <w:rPr>
          <w:color w:val="000099"/>
          <w:sz w:val="18"/>
          <w:vertAlign w:val="superscript"/>
        </w:rPr>
        <w:t>7)</w:t>
      </w:r>
      <w:r>
        <w:t>. 체당금 절차에서 간이대지급금 경로(진정 → 사업주확인서 → 공단 신청)와 일반대지급금 경로(소송 → 확정판결 → 공단 신청)를 구분하여 설명하였다</w:t>
      </w:r>
      <w:r>
        <w:rPr>
          <w:color w:val="000099"/>
          <w:sz w:val="18"/>
          <w:vertAlign w:val="superscript"/>
        </w:rPr>
        <w:t>6)</w:t>
      </w:r>
      <w:r>
        <w:t>.</w:t>
      </w:r>
    </w:p>
    <w:p/>
    <w:p>
      <w:r>
        <w:rPr>
          <w:b/>
          <w:sz w:val="26"/>
        </w:rPr>
        <w:t>3플랫폼 교차 확인 결과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쟁점</w:t>
            </w:r>
          </w:p>
        </w:tc>
        <w:tc>
          <w:tcPr>
            <w:tcW w:type="dxa" w:w="1994"/>
          </w:tcPr>
          <w:p>
            <w:r>
              <w:rPr>
                <w:b/>
              </w:rPr>
              <w:t>빅케이스</w:t>
            </w:r>
          </w:p>
        </w:tc>
        <w:tc>
          <w:tcPr>
            <w:tcW w:type="dxa" w:w="1994"/>
          </w:tcPr>
          <w:p>
            <w:r>
              <w:rPr>
                <w:b/>
              </w:rPr>
              <w:t>엘박스</w:t>
            </w:r>
          </w:p>
        </w:tc>
        <w:tc>
          <w:tcPr>
            <w:tcW w:type="dxa" w:w="1994"/>
          </w:tcPr>
          <w:p>
            <w:r>
              <w:rPr>
                <w:b/>
              </w:rPr>
              <w:t>슈퍼로이어</w:t>
            </w:r>
          </w:p>
        </w:tc>
        <w:tc>
          <w:tcPr>
            <w:tcW w:type="dxa" w:w="1994"/>
          </w:tcPr>
          <w:p>
            <w:r>
              <w:rPr>
                <w:b/>
              </w:rPr>
              <w:t>일치 여부</w:t>
            </w:r>
          </w:p>
        </w:tc>
      </w:tr>
      <w:tr>
        <w:tc>
          <w:tcPr>
            <w:tcW w:type="dxa" w:w="1994"/>
          </w:tcPr>
          <w:p>
            <w:r>
              <w:t>제36조·제43조 위반 = 3년 이하 징역/3천만원 이하 벌금</w:t>
            </w:r>
          </w:p>
        </w:tc>
        <w:tc>
          <w:tcPr>
            <w:tcW w:type="dxa" w:w="1994"/>
          </w:tcPr>
          <w:p>
            <w:r>
              <w:t>확인</w:t>
            </w:r>
          </w:p>
        </w:tc>
        <w:tc>
          <w:tcPr>
            <w:tcW w:type="dxa" w:w="1994"/>
          </w:tcPr>
          <w:p>
            <w:r>
              <w:t>확인</w:t>
            </w:r>
          </w:p>
        </w:tc>
        <w:tc>
          <w:tcPr>
            <w:tcW w:type="dxa" w:w="1994"/>
          </w:tcPr>
          <w:p>
            <w:r>
              <w:t>확인</w:t>
            </w:r>
          </w:p>
        </w:tc>
        <w:tc>
          <w:tcPr>
            <w:tcW w:type="dxa" w:w="1994"/>
          </w:tcPr>
          <w:p>
            <w:r>
              <w:t>일치</w:t>
            </w:r>
          </w:p>
        </w:tc>
      </w:tr>
      <w:tr>
        <w:tc>
          <w:tcPr>
            <w:tcW w:type="dxa" w:w="1994"/>
          </w:tcPr>
          <w:p>
            <w:r>
              <w:t>반의사불벌죄 여부</w:t>
            </w:r>
          </w:p>
        </w:tc>
        <w:tc>
          <w:tcPr>
            <w:tcW w:type="dxa" w:w="1994"/>
          </w:tcPr>
          <w:p>
            <w:r>
              <w:t>확인</w:t>
            </w:r>
          </w:p>
        </w:tc>
        <w:tc>
          <w:tcPr>
            <w:tcW w:type="dxa" w:w="1994"/>
          </w:tcPr>
          <w:p>
            <w:r>
              <w:t>확인</w:t>
            </w:r>
          </w:p>
        </w:tc>
        <w:tc>
          <w:tcPr>
            <w:tcW w:type="dxa" w:w="1994"/>
          </w:tcPr>
          <w:p>
            <w:r>
              <w:t>확인</w:t>
            </w:r>
          </w:p>
        </w:tc>
        <w:tc>
          <w:tcPr>
            <w:tcW w:type="dxa" w:w="1994"/>
          </w:tcPr>
          <w:p>
            <w:r>
              <w:t>일치</w:t>
            </w:r>
          </w:p>
        </w:tc>
      </w:tr>
      <w:tr>
        <w:tc>
          <w:tcPr>
            <w:tcW w:type="dxa" w:w="1994"/>
          </w:tcPr>
          <w:p>
            <w:r>
              <w:t>고의 판단: 지급의무 다툼 시 고의 부정</w:t>
            </w:r>
          </w:p>
        </w:tc>
        <w:tc>
          <w:tcPr>
            <w:tcW w:type="dxa" w:w="1994"/>
          </w:tcPr>
          <w:p>
            <w:r>
              <w:t>미상세</w:t>
            </w:r>
          </w:p>
        </w:tc>
        <w:tc>
          <w:tcPr>
            <w:tcW w:type="dxa" w:w="1994"/>
          </w:tcPr>
          <w:p>
            <w:r>
              <w:t>확인</w:t>
            </w:r>
          </w:p>
        </w:tc>
        <w:tc>
          <w:tcPr>
            <w:tcW w:type="dxa" w:w="1994"/>
          </w:tcPr>
          <w:p>
            <w:r>
              <w:t>확인 (판례 다수)</w:t>
            </w:r>
          </w:p>
        </w:tc>
        <w:tc>
          <w:tcPr>
            <w:tcW w:type="dxa" w:w="1994"/>
          </w:tcPr>
          <w:p>
            <w:r>
              <w:t>일치</w:t>
            </w:r>
          </w:p>
        </w:tc>
      </w:tr>
      <w:tr>
        <w:tc>
          <w:tcPr>
            <w:tcW w:type="dxa" w:w="1994"/>
          </w:tcPr>
          <w:p>
            <w:r>
              <w:t>고의 판단: 경영부진만으로 면책 불가</w:t>
            </w:r>
          </w:p>
        </w:tc>
        <w:tc>
          <w:tcPr>
            <w:tcW w:type="dxa" w:w="1994"/>
          </w:tcPr>
          <w:p>
            <w:r>
              <w:t>미상세</w:t>
            </w:r>
          </w:p>
        </w:tc>
        <w:tc>
          <w:tcPr>
            <w:tcW w:type="dxa" w:w="1994"/>
          </w:tcPr>
          <w:p>
            <w:r>
              <w:t>확인</w:t>
            </w:r>
          </w:p>
        </w:tc>
        <w:tc>
          <w:tcPr>
            <w:tcW w:type="dxa" w:w="1994"/>
          </w:tcPr>
          <w:p>
            <w:r>
              <w:t>확인 (2008도5984)</w:t>
            </w:r>
          </w:p>
        </w:tc>
        <w:tc>
          <w:tcPr>
            <w:tcW w:type="dxa" w:w="1994"/>
          </w:tcPr>
          <w:p>
            <w:r>
              <w:t>일치</w:t>
            </w:r>
          </w:p>
        </w:tc>
      </w:tr>
      <w:tr>
        <w:tc>
          <w:tcPr>
            <w:tcW w:type="dxa" w:w="1994"/>
          </w:tcPr>
          <w:p>
            <w:r>
              <w:t>사용자 = 실질경영자 포함</w:t>
            </w:r>
          </w:p>
        </w:tc>
        <w:tc>
          <w:tcPr>
            <w:tcW w:type="dxa" w:w="1994"/>
          </w:tcPr>
          <w:p>
            <w:r>
              <w:t>미상세</w:t>
            </w:r>
          </w:p>
        </w:tc>
        <w:tc>
          <w:tcPr>
            <w:tcW w:type="dxa" w:w="1994"/>
          </w:tcPr>
          <w:p>
            <w:r>
              <w:t>확인</w:t>
            </w:r>
          </w:p>
        </w:tc>
        <w:tc>
          <w:tcPr>
            <w:tcW w:type="dxa" w:w="1994"/>
          </w:tcPr>
          <w:p>
            <w:r>
              <w:t>확인</w:t>
            </w:r>
          </w:p>
        </w:tc>
        <w:tc>
          <w:tcPr>
            <w:tcW w:type="dxa" w:w="1994"/>
          </w:tcPr>
          <w:p>
            <w:r>
              <w:t>일치</w:t>
            </w:r>
          </w:p>
        </w:tc>
      </w:tr>
      <w:tr>
        <w:tc>
          <w:tcPr>
            <w:tcW w:type="dxa" w:w="1994"/>
          </w:tcPr>
          <w:p>
            <w:r>
              <w:t>체당금 도산등사실인정 1년 기한</w:t>
            </w:r>
          </w:p>
        </w:tc>
        <w:tc>
          <w:tcPr>
            <w:tcW w:type="dxa" w:w="1994"/>
          </w:tcPr>
          <w:p>
            <w:r>
              <w:t>미상세</w:t>
            </w:r>
          </w:p>
        </w:tc>
        <w:tc>
          <w:tcPr>
            <w:tcW w:type="dxa" w:w="1994"/>
          </w:tcPr>
          <w:p>
            <w:r>
              <w:t>확인</w:t>
            </w:r>
          </w:p>
        </w:tc>
        <w:tc>
          <w:tcPr>
            <w:tcW w:type="dxa" w:w="1994"/>
          </w:tcPr>
          <w:p>
            <w:r>
              <w:t>확인</w:t>
            </w:r>
          </w:p>
        </w:tc>
        <w:tc>
          <w:tcPr>
            <w:tcW w:type="dxa" w:w="1994"/>
          </w:tcPr>
          <w:p>
            <w:r>
              <w:t>일치</w:t>
            </w:r>
          </w:p>
        </w:tc>
      </w:tr>
      <w:tr>
        <w:tc>
          <w:tcPr>
            <w:tcW w:type="dxa" w:w="1994"/>
          </w:tcPr>
          <w:p>
            <w:r>
              <w:t>핵심 판례 (2008도5984)</w:t>
            </w:r>
          </w:p>
        </w:tc>
        <w:tc>
          <w:tcPr>
            <w:tcW w:type="dxa" w:w="1994"/>
          </w:tcPr>
          <w:p>
            <w:r>
              <w:t>미인용</w:t>
            </w:r>
          </w:p>
        </w:tc>
        <w:tc>
          <w:tcPr>
            <w:tcW w:type="dxa" w:w="1994"/>
          </w:tcPr>
          <w:p>
            <w:r>
              <w:t>인용</w:t>
            </w:r>
          </w:p>
        </w:tc>
        <w:tc>
          <w:tcPr>
            <w:tcW w:type="dxa" w:w="1994"/>
          </w:tcPr>
          <w:p>
            <w:r>
              <w:t>인용</w:t>
            </w:r>
          </w:p>
        </w:tc>
        <w:tc>
          <w:tcPr>
            <w:tcW w:type="dxa" w:w="1994"/>
          </w:tcPr>
          <w:p>
            <w:r>
              <w:t>2/3</w:t>
            </w:r>
          </w:p>
        </w:tc>
      </w:tr>
      <w:tr>
        <w:tc>
          <w:tcPr>
            <w:tcW w:type="dxa" w:w="1994"/>
          </w:tcPr>
          <w:p>
            <w:r>
              <w:t>서적 인용</w:t>
            </w:r>
          </w:p>
        </w:tc>
        <w:tc>
          <w:tcPr>
            <w:tcW w:type="dxa" w:w="1994"/>
          </w:tcPr>
          <w:p>
            <w:r>
              <w:t>없음</w:t>
            </w:r>
          </w:p>
        </w:tc>
        <w:tc>
          <w:tcPr>
            <w:tcW w:type="dxa" w:w="1994"/>
          </w:tcPr>
          <w:p>
            <w:r>
              <w:t>배동희, 권순일, 강윤희</w:t>
            </w:r>
          </w:p>
        </w:tc>
        <w:tc>
          <w:tcPr>
            <w:tcW w:type="dxa" w:w="1994"/>
          </w:tcPr>
          <w:p>
            <w:r>
              <w:t>주정호, 김형배</w:t>
            </w:r>
          </w:p>
        </w:tc>
        <w:tc>
          <w:tcPr>
            <w:tcW w:type="dxa" w:w="1994"/>
          </w:tcPr>
          <w:p>
            <w:r>
              <w:t>차이</w:t>
            </w:r>
          </w:p>
        </w:tc>
      </w:tr>
    </w:tbl>
    <w:p/>
    <w:p>
      <w:r>
        <w:rPr>
          <w:b/>
          <w:sz w:val="28"/>
        </w:rPr>
        <w:t>Conclusion (결론)</w:t>
      </w:r>
    </w:p>
    <w:p/>
    <w:p>
      <w:pPr>
        <w:pStyle w:val="ListNumber"/>
      </w:pPr>
      <w:r>
        <w:rPr>
          <w:b/>
        </w:rPr>
        <w:t>형사처벌 요건 확정</w:t>
      </w:r>
      <w:r>
        <w:t>: 근로기준법 제36조(14일 내 금품청산)·제43조(임금 정기지급) 위반 시 제109조 제1항에 따라 3년 이하의 징역 또는 3천만원 이하의 벌금에 처해지며, 이는 반의사불벌죄이다 (3플랫폼 공통 결론).</w:t>
      </w:r>
    </w:p>
    <w:p/>
    <w:p>
      <w:pPr>
        <w:pStyle w:val="ListNumber"/>
      </w:pPr>
      <w:r>
        <w:rPr>
          <w:b/>
        </w:rPr>
        <w:t>고의 판단 기준</w:t>
      </w:r>
      <w:r>
        <w:t>: 임금 지급의무의 존부·범위에 관하여 다툴 만한 근거가 있으면 고의가 부정되나, 경영부진이라는 사유만으로는 면책되지 않는다. 모든 성의와 노력을 다했어도 체불을 방지할 수 없었던 불가피한 사정이 인정되는 경우에만 책임조각이 가능하다.</w:t>
      </w:r>
    </w:p>
    <w:p/>
    <w:p>
      <w:pPr>
        <w:pStyle w:val="ListNumber"/>
      </w:pPr>
      <w:r>
        <w:rPr>
          <w:b/>
        </w:rPr>
        <w:t>체당금 제도</w:t>
      </w:r>
      <w:r>
        <w:t>: 도산·파산·사실상 도산 시 임금채권보장법 제7조에 따라 최종 3개월분 임금, 최종 3년간 퇴직급여, 최종 3개월분 휴업수당을 국가가 대신 지급한다. 도산등사실인정 신청은 퇴직 다음날부터 1년 이내, 간이대지급금은 사업주확인서 발급 후 근로복지공단에 신청한다.</w:t>
      </w:r>
    </w:p>
    <w:p/>
    <w:p>
      <w:pPr>
        <w:pStyle w:val="ListNumber"/>
      </w:pPr>
      <w:r>
        <w:rPr>
          <w:b/>
        </w:rPr>
        <w:t>반의사불벌죄 실무</w:t>
      </w:r>
      <w:r>
        <w:t>: 처벌불원 의사표시는 제1심 판결 선고 전까지 가능하나 철회 불가하므로, 체불임금 완전 청산 여부를 확인 후 신중하게 결정하여야 한다.</w:t>
      </w:r>
    </w:p>
    <w:p/>
    <w:p>
      <w:pPr>
        <w:pStyle w:val="ListNumber"/>
      </w:pPr>
      <w:r>
        <w:rPr>
          <w:b/>
        </w:rPr>
        <w:t>추가 검토 필요</w:t>
      </w:r>
      <w:r>
        <w:t>: 근로자성 판단이 전제되는 사안(특수고용, 프리랜서 등)에서의 진정 적격성, 포괄임금계약 하에서의 체불 산정 문제는 별도 심화 검토 필요.</w:t>
      </w:r>
    </w:p>
    <w:p/>
    <w:p>
      <w:pPr>
        <w:jc w:val="both"/>
      </w:pPr>
      <w:r>
        <w:t>---</w:t>
      </w:r>
    </w:p>
    <w:p/>
    <w:p>
      <w:r>
        <w:rPr>
          <w:b/>
          <w:sz w:val="28"/>
        </w:rPr>
        <w:t>주석</w:t>
      </w:r>
    </w:p>
    <w:p/>
    <w:p/>
    <w:p>
      <w:r>
        <w:rPr>
          <w:b/>
          <w:sz w:val="26"/>
        </w:rPr>
        <w:t>주석</w:t>
      </w:r>
    </w:p>
    <w:p>
      <w:r>
        <w:rPr>
          <w:sz w:val="18"/>
          <w:vertAlign w:val="superscript"/>
        </w:rPr>
        <w:t xml:space="preserve">1) </w:t>
      </w:r>
      <w:r>
        <w:t>대법원 2008. 10. 9. 선고 2008도5984 판결 근로기준법위반</w:t>
      </w:r>
    </w:p>
    <w:p>
      <w:r>
        <w:rPr>
          <w:sz w:val="18"/>
          <w:vertAlign w:val="superscript"/>
        </w:rPr>
        <w:t xml:space="preserve">2) </w:t>
      </w:r>
      <w:r>
        <w:t>대법원 2006. 2. 9. 선고 2005도9230 판결 근로기준법위반</w:t>
      </w:r>
    </w:p>
    <w:p>
      <w:r>
        <w:rPr>
          <w:sz w:val="18"/>
          <w:vertAlign w:val="superscript"/>
        </w:rPr>
        <w:t xml:space="preserve">3) </w:t>
      </w:r>
      <w:r>
        <w:t>서울중앙지방법원 2016. 8. 10. 선고 2016고단408 판결 근로기준법위반</w:t>
      </w:r>
    </w:p>
    <w:p>
      <w:r>
        <w:rPr>
          <w:sz w:val="18"/>
          <w:vertAlign w:val="superscript"/>
        </w:rPr>
        <w:t xml:space="preserve">4) </w:t>
      </w:r>
      <w:r>
        <w:t>서울중앙지방법원 2019. 8. 23. 선고 2019노429 판결; 서울북부지방법원 2022. 5. 11. 선고 2021고정208 판결</w:t>
      </w:r>
    </w:p>
    <w:p>
      <w:r>
        <w:rPr>
          <w:sz w:val="18"/>
          <w:vertAlign w:val="superscript"/>
        </w:rPr>
        <w:t xml:space="preserve">5) </w:t>
      </w:r>
      <w:r>
        <w:t>부산지방법원 2025고단1143; 인천지방법원 2019고정2518</w:t>
      </w:r>
    </w:p>
    <w:p>
      <w:r>
        <w:rPr>
          <w:sz w:val="18"/>
          <w:vertAlign w:val="superscript"/>
        </w:rPr>
        <w:t xml:space="preserve">6) </w:t>
      </w:r>
      <w:r>
        <w:t>주정호, 『인사노무 실무를 위한 핵심 노동법 한 권으로 끝내기』, 박영사(2023년), 159-162면; 대법원 2015. 11. 27. 선고 2014다208378 판결</w:t>
      </w:r>
    </w:p>
    <w:p>
      <w:r>
        <w:rPr>
          <w:sz w:val="18"/>
          <w:vertAlign w:val="superscript"/>
        </w:rPr>
        <w:t xml:space="preserve">7) </w:t>
      </w:r>
      <w:r>
        <w:t>김형배, 『노동법[제27판]』, 박영사(2021년), 882-883면</w:t>
      </w:r>
    </w:p>
    <w:sectPr w:rsidR="00FC693F" w:rsidRPr="0006063C" w:rsidSect="00034616">
      <w:pgSz w:w="12240" w:h="15840"/>
      <w:pgMar w:top="2551" w:right="1134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before="0" w:after="0"/>
    </w:pPr>
    <w:rPr>
      <w:rFonts w:ascii="Malgun Gothic" w:hAnsi="Malgun Gothic" w:eastAsia="Malgun Goth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