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svg" ContentType="image/svg+xml"/>
  <Override PartName="/word/media/rId32.svg" ContentType="image/svg+xml"/>
  <Override PartName="/word/media/rId33.svg" ContentType="image/svg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9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Start w:id="28" w:name="X5648d77f271f43fcab324fc7dc4a2c9131e2294"/>
    <w:p>
      <w:pPr>
        <w:pStyle w:val="Heading3"/>
      </w:pPr>
      <w:r>
        <w:t xml:space="preserve">4.2 Out-of-Domain Validation Expansion (Additional Area/Year Transfer)</w:t>
      </w:r>
    </w:p>
    <w:p>
      <w:pPr>
        <w:numPr>
          <w:ilvl w:val="0"/>
          <w:numId w:val="1007"/>
        </w:numPr>
        <w:pStyle w:val="Compact"/>
      </w:pPr>
      <w:r>
        <w:t xml:space="preserve">Detail CSV:</w:t>
      </w:r>
      <w:r>
        <w:t xml:space="preserve"> </w:t>
      </w:r>
      <w:r>
        <w:rPr>
          <w:rStyle w:val="VerbatimChar"/>
        </w:rPr>
        <w:t xml:space="preserve">out_of_domain_validation_detail_summary.csv</w:t>
      </w:r>
    </w:p>
    <w:p>
      <w:pPr>
        <w:numPr>
          <w:ilvl w:val="0"/>
          <w:numId w:val="1007"/>
        </w:numPr>
        <w:pStyle w:val="Compact"/>
      </w:pPr>
      <w:r>
        <w:t xml:space="preserve">Summary CSV:</w:t>
      </w:r>
      <w:r>
        <w:t xml:space="preserve"> </w:t>
      </w:r>
      <w:r>
        <w:rPr>
          <w:rStyle w:val="VerbatimChar"/>
        </w:rPr>
        <w:t xml:space="preserve">out_of_domain_validation_summary.csv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p>
            <w:pPr>
              <w:pStyle w:val="Compact"/>
              <w:jc w:val="left"/>
            </w:pPr>
            <w:r>
              <w:t xml:space="preserve">row_count</w:t>
            </w:r>
          </w:p>
        </w:tc>
        <w:tc>
          <w:p>
            <w:pPr>
              <w:pStyle w:val="Compact"/>
              <w:jc w:val="left"/>
            </w:pPr>
            <w:r>
              <w:t xml:space="preserve">region_count</w:t>
            </w:r>
          </w:p>
        </w:tc>
        <w:tc>
          <w:p>
            <w:pPr>
              <w:pStyle w:val="Compact"/>
              <w:jc w:val="left"/>
            </w:pPr>
            <w:r>
              <w:t xml:space="preserve">hgbt_f1_mean</w:t>
            </w:r>
          </w:p>
        </w:tc>
        <w:tc>
          <w:p>
            <w:pPr>
              <w:pStyle w:val="Compact"/>
              <w:jc w:val="left"/>
            </w:pPr>
            <w:r>
              <w:t xml:space="preserve">hgbt_f1_min</w:t>
            </w:r>
          </w:p>
        </w:tc>
        <w:tc>
          <w:p>
            <w:pPr>
              <w:pStyle w:val="Compact"/>
              <w:jc w:val="left"/>
            </w:pPr>
            <w:r>
              <w:t xml:space="preserve">hgbt_f1_max</w:t>
            </w:r>
          </w:p>
        </w:tc>
        <w:tc>
          <w:p>
            <w:pPr>
              <w:pStyle w:val="Compact"/>
              <w:jc w:val="left"/>
            </w:pPr>
            <w:r>
              <w:t xml:space="preserve">hgbt_minus_logreg_f1_mean</w:t>
            </w:r>
          </w:p>
        </w:tc>
        <w:tc>
          <w:p>
            <w:pPr>
              <w:pStyle w:val="Compact"/>
              <w:jc w:val="left"/>
            </w:pPr>
            <w:r>
              <w:t xml:space="preserve">negative_delta_count</w:t>
            </w:r>
          </w:p>
        </w:tc>
        <w:tc>
          <w:p>
            <w:pPr>
              <w:pStyle w:val="Compact"/>
              <w:jc w:val="left"/>
            </w:pPr>
            <w:r>
              <w:t xml:space="preserve">support_low_count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cross_year_transfer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0.7479</w:t>
            </w:r>
          </w:p>
        </w:tc>
        <w:tc>
          <w:p>
            <w:pPr>
              <w:pStyle w:val="Compact"/>
              <w:jc w:val="left"/>
            </w:pPr>
            <w:r>
              <w:t xml:space="preserve">0.6281</w:t>
            </w:r>
          </w:p>
        </w:tc>
        <w:tc>
          <w:p>
            <w:pPr>
              <w:pStyle w:val="Compact"/>
              <w:jc w:val="left"/>
            </w:pPr>
            <w:r>
              <w:t xml:space="preserve">0.8830</w:t>
            </w:r>
          </w:p>
        </w:tc>
        <w:tc>
          <w:p>
            <w:pPr>
              <w:pStyle w:val="Compact"/>
              <w:jc w:val="left"/>
            </w:pPr>
            <w:r>
              <w:t xml:space="preserve">+0.1378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own_ship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0.7293</w:t>
            </w:r>
          </w:p>
        </w:tc>
        <w:tc>
          <w:p>
            <w:pPr>
              <w:pStyle w:val="Compact"/>
              <w:jc w:val="left"/>
            </w:pPr>
            <w:r>
              <w:t xml:space="preserve">0.6667</w:t>
            </w:r>
          </w:p>
        </w:tc>
        <w:tc>
          <w:p>
            <w:pPr>
              <w:pStyle w:val="Compact"/>
              <w:jc w:val="left"/>
            </w:pPr>
            <w:r>
              <w:t xml:space="preserve">0.7789</w:t>
            </w:r>
          </w:p>
        </w:tc>
        <w:tc>
          <w:p>
            <w:pPr>
              <w:pStyle w:val="Compact"/>
              <w:jc w:val="left"/>
            </w:pPr>
            <w:r>
              <w:t xml:space="preserve">+0.1460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true_unseen_area</w:t>
            </w:r>
          </w:p>
        </w:tc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0.6357</w:t>
            </w:r>
          </w:p>
        </w:tc>
        <w:tc>
          <w:p>
            <w:pPr>
              <w:pStyle w:val="Compact"/>
              <w:jc w:val="left"/>
            </w:pPr>
            <w:r>
              <w:t xml:space="preserve">0.3333</w:t>
            </w:r>
          </w:p>
        </w:tc>
        <w:tc>
          <w:p>
            <w:pPr>
              <w:pStyle w:val="Compact"/>
              <w:jc w:val="left"/>
            </w:pPr>
            <w:r>
              <w:t xml:space="preserve">0.8462</w:t>
            </w:r>
          </w:p>
        </w:tc>
        <w:tc>
          <w:p>
            <w:pPr>
              <w:pStyle w:val="Compact"/>
              <w:jc w:val="left"/>
            </w:pPr>
            <w:r>
              <w:t xml:space="preserve">-0.0521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cross_year_transfer / own_ship: mean F1=0.7479, mean model gap=+0.1378, negative Δ count=1, low-support=0</w:t>
      </w:r>
      <w:r>
        <w:t xml:space="preserve"> </w:t>
      </w:r>
      <w:r>
        <w:t xml:space="preserve">- true_unseen_area / own_ship: mean F1=0.7293, mean model gap=+0.1460, negative Δ count=0, low-support=0</w:t>
      </w:r>
      <w:r>
        <w:t xml:space="preserve"> </w:t>
      </w:r>
      <w:r>
        <w:t xml:space="preserve">- true_unseen_area / timestamp: mean F1=0.6357, mean model gap=-0.0521, negative Δ count=0, low-support=0</w:t>
      </w:r>
      <w:r>
        <w:t xml:space="preserve"> </w:t>
      </w:r>
      <w:r>
        <w:t xml:space="preserve">- Source-summary cross-check: true_area_row_count=8, transfer_row_count=6, true_area_low_support_count=0</w:t>
      </w:r>
    </w:p>
    <w:bookmarkEnd w:id="28"/>
    <w:bookmarkEnd w:id="29"/>
    <w:bookmarkStart w:id="30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30"/>
    <w:bookmarkStart w:id="35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8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6"/>
    <w:bookmarkStart w:id="37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9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7"/>
    <w:bookmarkStart w:id="38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10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10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10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8"/>
    <w:bookmarkStart w:id="39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1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1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9"/>
    <w:bookmarkStart w:id="40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2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2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2"/>
        </w:numPr>
        <w:pStyle w:val="Compact"/>
      </w:pPr>
      <w:r>
        <w:t xml:space="preserve">Bilingual parity report:</w:t>
      </w:r>
      <w:r>
        <w:t xml:space="preserve"> </w:t>
      </w:r>
      <w:r>
        <w:rPr>
          <w:rStyle w:val="VerbatimChar"/>
        </w:rPr>
        <w:t xml:space="preserve">bilingual_parity_report_v0.2_2026-04-09.md</w:t>
      </w:r>
    </w:p>
    <w:p>
      <w:pPr>
        <w:numPr>
          <w:ilvl w:val="0"/>
          <w:numId w:val="1012"/>
        </w:numPr>
        <w:pStyle w:val="Compact"/>
      </w:pPr>
      <w:r>
        <w:t xml:space="preserve">Transfer repeated-randomization appendix: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p>
      <w:pPr>
        <w:numPr>
          <w:ilvl w:val="0"/>
          <w:numId w:val="1012"/>
        </w:numPr>
        <w:pStyle w:val="Compact"/>
      </w:pPr>
      <w:r>
        <w:t xml:space="preserve">Out-of-domain validation appendix:</w:t>
      </w:r>
      <w:r>
        <w:t xml:space="preserve"> </w:t>
      </w:r>
      <w:r>
        <w:rPr>
          <w:rStyle w:val="VerbatimChar"/>
        </w:rPr>
        <w:t xml:space="preserve">out_of_domain_validation_appendix_v0.2_2026-04-09.md</w:t>
      </w:r>
    </w:p>
    <w:p>
      <w:pPr>
        <w:numPr>
          <w:ilvl w:val="0"/>
          <w:numId w:val="1012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40"/>
    <w:bookmarkStart w:id="41" w:name="prior-work-evidence-matrix"/>
    <w:p>
      <w:pPr>
        <w:pStyle w:val="Heading2"/>
      </w:pPr>
      <w:r>
        <w:t xml:space="preserve">12. Prior-Work Evidence Matrix</w:t>
      </w:r>
    </w:p>
    <w:p>
      <w:pPr>
        <w:numPr>
          <w:ilvl w:val="0"/>
          <w:numId w:val="1013"/>
        </w:numPr>
        <w:pStyle w:val="Compact"/>
      </w:pPr>
      <w:r>
        <w:t xml:space="preserve">Evidence matrix: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3"/>
        </w:numPr>
        <w:pStyle w:val="Compact"/>
      </w:pPr>
      <w:r>
        <w:t xml:space="preserve">It maps each core claim to supporting literature and explicitly documents residual gaps.</w:t>
      </w:r>
    </w:p>
    <w:bookmarkEnd w:id="41"/>
    <w:bookmarkStart w:id="42" w:name="examiner-priority-todo"/>
    <w:p>
      <w:pPr>
        <w:pStyle w:val="Heading2"/>
      </w:pPr>
      <w:r>
        <w:t xml:space="preserve">13. Examiner-Priority TODO</w:t>
      </w:r>
    </w:p>
    <w:p>
      <w:pPr>
        <w:numPr>
          <w:ilvl w:val="0"/>
          <w:numId w:val="1014"/>
        </w:numPr>
        <w:pStyle w:val="Compact"/>
      </w:pPr>
      <w:r>
        <w:t xml:space="preserve">Detailed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4"/>
        </w:numPr>
        <w:pStyle w:val="Compact"/>
      </w:pPr>
      <w:r>
        <w:t xml:space="preserve">This TODO prioritizes novelty framing, statistical testing, external validation scope, and operational threshold interpretation.</w:t>
      </w:r>
    </w:p>
    <w:bookmarkEnd w:id="42"/>
    <w:bookmarkStart w:id="43" w:name="statistical-significance-appendix"/>
    <w:p>
      <w:pPr>
        <w:pStyle w:val="Heading2"/>
      </w:pPr>
      <w:r>
        <w:t xml:space="preserve">14. Statistical Significance Appendix</w:t>
      </w:r>
    </w:p>
    <w:p>
      <w:pPr>
        <w:numPr>
          <w:ilvl w:val="0"/>
          <w:numId w:val="1015"/>
        </w:numPr>
        <w:pStyle w:val="Compact"/>
      </w:pPr>
      <w:r>
        <w:t xml:space="preserve">Significance summary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5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5"/>
        </w:numPr>
        <w:pStyle w:val="Compact"/>
      </w:pPr>
      <w:r>
        <w:t xml:space="preserve">Test configuration: Paired exact sign test + paired exact permutation test with Holm correction (p&lt;0.05).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3"/>
    <w:bookmarkStart w:id="44" w:name="X0d7739412717a22a0ae688af860fff346e5f7e0"/>
    <w:p>
      <w:pPr>
        <w:pStyle w:val="Heading2"/>
      </w:pPr>
      <w:r>
        <w:t xml:space="preserve">15. Transfer-Route Significance Appendix (bootstrap)</w:t>
      </w:r>
    </w:p>
    <w:p>
      <w:pPr>
        <w:numPr>
          <w:ilvl w:val="0"/>
          <w:numId w:val="1016"/>
        </w:numPr>
        <w:pStyle w:val="Compact"/>
      </w:pPr>
      <w:r>
        <w:t xml:space="preserve">Transfer-route significance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6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4"/>
    <w:bookmarkStart w:id="45" w:name="Xca035c03012a94c8557586c34d9817ef00c193c"/>
    <w:p>
      <w:pPr>
        <w:pStyle w:val="Heading2"/>
      </w:pPr>
      <w:r>
        <w:t xml:space="preserve">16. Transfer-Route Repeated-Randomization Appendix</w:t>
      </w:r>
    </w:p>
    <w:p>
      <w:pPr>
        <w:numPr>
          <w:ilvl w:val="0"/>
          <w:numId w:val="1017"/>
        </w:numPr>
        <w:pStyle w:val="Compact"/>
      </w:pPr>
      <w:r>
        <w:t xml:space="preserve">Repeated-randomization significance CSV:</w:t>
      </w:r>
      <w:r>
        <w:t xml:space="preserve"> </w:t>
      </w:r>
      <w:r>
        <w:rPr>
          <w:rStyle w:val="VerbatimChar"/>
        </w:rPr>
        <w:t xml:space="preserve">transfer_route_repeated_randomization_significance_summary.csv</w:t>
      </w:r>
    </w:p>
    <w:p>
      <w:pPr>
        <w:numPr>
          <w:ilvl w:val="0"/>
          <w:numId w:val="1017"/>
        </w:numPr>
        <w:pStyle w:val="Compact"/>
      </w:pPr>
      <w:r>
        <w:t xml:space="preserve">Appendix document:</w:t>
      </w:r>
      <w:r>
        <w:t xml:space="preserve"> </w:t>
      </w:r>
      <w:r>
        <w:rPr>
          <w:rStyle w:val="VerbatimChar"/>
        </w:rPr>
        <w:t xml:space="preserve">transfer_route_repeated_randomization_appendix_v0.2_2026-04-09.md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randomization_runs</w:t>
            </w:r>
          </w:p>
        </w:tc>
        <w:tc>
          <w:p>
            <w:pPr>
              <w:pStyle w:val="Compact"/>
              <w:jc w:val="left"/>
            </w:pPr>
            <w:r>
              <w:t xml:space="preserve">delta_mean_across_runs</w:t>
            </w:r>
          </w:p>
        </w:tc>
        <w:tc>
          <w:p>
            <w:pPr>
              <w:pStyle w:val="Compact"/>
              <w:jc w:val="left"/>
            </w:pPr>
            <w:r>
              <w:t xml:space="preserve">delta_ci95_pooled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</w:t>
            </w:r>
          </w:p>
        </w:tc>
        <w:tc>
          <w:p>
            <w:pPr>
              <w:pStyle w:val="Compact"/>
              <w:jc w:val="left"/>
            </w:pPr>
            <w:r>
              <w:t xml:space="preserve">p_two_sided_median_holm</w:t>
            </w:r>
          </w:p>
        </w:tc>
        <w:tc>
          <w:p>
            <w:pPr>
              <w:pStyle w:val="Compact"/>
              <w:jc w:val="left"/>
            </w:pPr>
            <w:r>
              <w:t xml:space="preserve">direction_consistency</w:t>
            </w:r>
          </w:p>
        </w:tc>
        <w:tc>
          <w:p>
            <w:pPr>
              <w:pStyle w:val="Compact"/>
              <w:jc w:val="left"/>
            </w:pPr>
            <w:r>
              <w:t xml:space="preserve">significant_runs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[-0.1630, -0.1149]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[-0.2429, -0.1783]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+0.3197</w:t>
            </w:r>
          </w:p>
        </w:tc>
        <w:tc>
          <w:p>
            <w:pPr>
              <w:pStyle w:val="Compact"/>
              <w:jc w:val="left"/>
            </w:pPr>
            <w:r>
              <w:t xml:space="preserve">[+0.2316, +0.4027]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+0.4420</w:t>
            </w:r>
          </w:p>
        </w:tc>
        <w:tc>
          <w:p>
            <w:pPr>
              <w:pStyle w:val="Compact"/>
              <w:jc w:val="left"/>
            </w:pPr>
            <w:r>
              <w:t xml:space="preserve">[+0.3588, +0.5199]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+0.0020</w:t>
            </w:r>
          </w:p>
        </w:tc>
        <w:tc>
          <w:p>
            <w:pPr>
              <w:pStyle w:val="Compact"/>
              <w:jc w:val="left"/>
            </w:pPr>
            <w:r>
              <w:t xml:space="preserve">[-0.0971, +0.1092]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0.9750</w:t>
            </w:r>
          </w:p>
        </w:tc>
        <w:tc>
          <w:p>
            <w:pPr>
              <w:pStyle w:val="Compact"/>
              <w:jc w:val="left"/>
            </w:pPr>
            <w:r>
              <w:t xml:space="preserve">0.9600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[-0.0404, +0.1489]</w:t>
            </w:r>
          </w:p>
        </w:tc>
        <w:tc>
          <w:p>
            <w:pPr>
              <w:pStyle w:val="Compact"/>
              <w:jc w:val="left"/>
            </w:pPr>
            <w:r>
              <w:t xml:space="preserve">0.3100</w:t>
            </w:r>
          </w:p>
        </w:tc>
        <w:tc>
          <w:p>
            <w:pPr>
              <w:pStyle w:val="Compact"/>
              <w:jc w:val="left"/>
            </w:pPr>
            <w:r>
              <w:t xml:space="preserve">0.6200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not_conclusive_after_holm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houston-&gt;nola: median p=0.0000, Holm p=0.0000, direction_consistency=1.0000, sig_runs=25/25</w:t>
      </w:r>
      <w:r>
        <w:t xml:space="preserve"> </w:t>
      </w:r>
      <w:r>
        <w:t xml:space="preserve">- houston-&gt;seattle: median p=0.0000, Holm p=0.0000, direction_consistency=1.0000, sig_runs=25/25</w:t>
      </w:r>
      <w:r>
        <w:t xml:space="preserve"> </w:t>
      </w:r>
      <w:r>
        <w:t xml:space="preserve">- nola-&gt;houston: median p=0.0000, Holm p=0.0000, direction_consistency=1.0000, sig_runs=25/25</w:t>
      </w:r>
      <w:r>
        <w:t xml:space="preserve"> </w:t>
      </w:r>
      <w:r>
        <w:t xml:space="preserve">- nola-&gt;seattle: median p=0.0000, Holm p=0.0000, direction_consistency=1.0000, sig_runs=25/25</w:t>
      </w:r>
      <w:r>
        <w:t xml:space="preserve"> </w:t>
      </w:r>
      <w:r>
        <w:t xml:space="preserve">- seattle-&gt;houston: median p=0.9750, Holm p=0.9750, direction_consistency=0.9600, sig_runs=0/25</w:t>
      </w:r>
      <w:r>
        <w:t xml:space="preserve"> </w:t>
      </w:r>
      <w:r>
        <w:t xml:space="preserve">- seattle-&gt;nola: median p=0.3100, Holm p=0.6200, direction_consistency=1.0000, sig_runs=0/25</w:t>
      </w:r>
    </w:p>
    <w:bookmarkEnd w:id="45"/>
    <w:bookmarkStart w:id="46" w:name="X87628fc250d7b1867276627138d9078c8975729"/>
    <w:p>
      <w:pPr>
        <w:pStyle w:val="Heading2"/>
      </w:pPr>
      <w:r>
        <w:t xml:space="preserve">17. Threshold Utility Appendix (Operational Cost Profile)</w:t>
      </w:r>
    </w:p>
    <w:p>
      <w:pPr>
        <w:numPr>
          <w:ilvl w:val="0"/>
          <w:numId w:val="1018"/>
        </w:numPr>
        <w:pStyle w:val="Compact"/>
      </w:pPr>
      <w:r>
        <w:t xml:space="preserve">Utility-curve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18"/>
        </w:numPr>
        <w:pStyle w:val="Compact"/>
      </w:pPr>
      <w:r>
        <w:t xml:space="preserve">Operating-point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18"/>
        </w:numPr>
        <w:pStyle w:val="Compact"/>
      </w:pPr>
      <w:r>
        <w:t xml:space="preserve">Utility appendix document: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Key interpretation:</w:t>
      </w:r>
      <w:r>
        <w:t xml:space="preserve"> </w:t>
      </w:r>
      <w:r>
        <w:t xml:space="preserve">- houston: governed=0.95 -&gt; utility-opt=0.05, cost_reduction=+46.43%, F1_delta=+0.0086</w:t>
      </w:r>
      <w:r>
        <w:t xml:space="preserve"> </w:t>
      </w:r>
      <w:r>
        <w:t xml:space="preserve">- nola: governed=0.35 -&gt; utility-opt=0.38, cost_reduction=+5.38%, F1_delta=+0.0235</w:t>
      </w:r>
      <w:r>
        <w:t xml:space="preserve"> </w:t>
      </w:r>
      <w:r>
        <w:t xml:space="preserve">- seattle: governed=0.60 -&gt; utility-opt=0.36, cost_reduction=+47.50%, F1_delta=+0.0160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svg" /><Relationship Type="http://schemas.openxmlformats.org/officeDocument/2006/relationships/image" Id="rId32" Target="media/rId32.svg" /><Relationship Type="http://schemas.openxmlformats.org/officeDocument/2006/relationships/image" Id="rId33" Target="media/rId33.svg" /><Relationship Type="http://schemas.openxmlformats.org/officeDocument/2006/relationships/image" Id="rId34" Target="media/rId3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2026-04-09T12:53:21Z</dcterms:created>
  <dcterms:modified xsi:type="dcterms:W3CDTF">2026-04-09T12:53:21Z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