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4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5"/>
    <w:bookmarkStart w:id="36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6"/>
    <w:bookmarkStart w:id="37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7"/>
    <w:bookmarkStart w:id="38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8"/>
    <w:bookmarkStart w:id="39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39"/>
    <w:bookmarkStart w:id="40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2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It maps each core claim to supporting literature and explicitly documents residual gaps.</w:t>
      </w:r>
    </w:p>
    <w:bookmarkEnd w:id="40"/>
    <w:bookmarkStart w:id="41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3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1"/>
    <w:bookmarkStart w:id="42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4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2"/>
    <w:bookmarkStart w:id="43" w:name="X0d7739412717a22a0ae688af860fff346e5f7e0"/>
    <w:p>
      <w:pPr>
        <w:pStyle w:val="Heading2"/>
      </w:pPr>
      <w:r>
        <w:t xml:space="preserve">15. Transfer-Route Significance Appendix (bootstrap)</w:t>
      </w:r>
    </w:p>
    <w:p>
      <w:pPr>
        <w:numPr>
          <w:ilvl w:val="0"/>
          <w:numId w:val="1015"/>
        </w:numPr>
        <w:pStyle w:val="Compact"/>
      </w:pPr>
      <w:r>
        <w:t xml:space="preserve">Transfer-route significance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5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3"/>
    <w:bookmarkStart w:id="44" w:name="X87628fc250d7b1867276627138d9078c8975729"/>
    <w:p>
      <w:pPr>
        <w:pStyle w:val="Heading2"/>
      </w:pPr>
      <w:r>
        <w:t xml:space="preserve">16. Threshold Utility Appendix (Operational Cost Profile)</w:t>
      </w:r>
    </w:p>
    <w:p>
      <w:pPr>
        <w:numPr>
          <w:ilvl w:val="0"/>
          <w:numId w:val="1016"/>
        </w:numPr>
        <w:pStyle w:val="Compact"/>
      </w:pPr>
      <w:r>
        <w:t xml:space="preserve">Utility-curve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6"/>
        </w:numPr>
        <w:pStyle w:val="Compact"/>
      </w:pPr>
      <w:r>
        <w:t xml:space="preserve">Operating-point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6"/>
        </w:numPr>
        <w:pStyle w:val="Compact"/>
      </w:pPr>
      <w:r>
        <w:t xml:space="preserve">Utility appendix document: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governed=0.95 -&gt; utility-opt=0.05, cost_reduction=+46.43%, F1_delta=+0.0086</w:t>
      </w:r>
      <w:r>
        <w:t xml:space="preserve"> </w:t>
      </w:r>
      <w:r>
        <w:t xml:space="preserve">- nola: governed=0.35 -&gt; utility-opt=0.38, cost_reduction=+5.38%, F1_delta=+0.0235</w:t>
      </w:r>
      <w:r>
        <w:t xml:space="preserve"> </w:t>
      </w:r>
      <w:r>
        <w:t xml:space="preserve">- seattle: governed=0.60 -&gt; utility-opt=0.36, cost_reduction=+47.50%, F1_delta=+0.0160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2026-04-09T12:31:43Z</dcterms:created>
  <dcterms:modified xsi:type="dcterms:W3CDTF">2026-04-09T12:31:43Z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