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4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5"/>
    <w:bookmarkStart w:id="36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6"/>
    <w:bookmarkStart w:id="37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7"/>
    <w:bookmarkStart w:id="38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8"/>
    <w:bookmarkStart w:id="39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39"/>
    <w:bookmarkStart w:id="40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2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심사관 관점에서 핵심 claim별 문헌 근거/빈틈/보완 action을 연결했다.</w:t>
      </w:r>
    </w:p>
    <w:bookmarkEnd w:id="40"/>
    <w:bookmarkStart w:id="41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3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1"/>
    <w:bookmarkStart w:id="42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4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2"/>
    <w:bookmarkStart w:id="43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5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3"/>
    <w:bookmarkStart w:id="44" w:name="임계값-유틸리티-부록-운영-비용-프로파일"/>
    <w:p>
      <w:pPr>
        <w:pStyle w:val="Heading2"/>
      </w:pPr>
      <w:r>
        <w:t xml:space="preserve">16. 임계값 유틸리티 부록 (운영 비용 프로파일)</w:t>
      </w:r>
    </w:p>
    <w:p>
      <w:pPr>
        <w:numPr>
          <w:ilvl w:val="0"/>
          <w:numId w:val="1016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6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6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2026-04-09T12:31:43Z</dcterms:created>
  <dcterms:modified xsi:type="dcterms:W3CDTF">2026-04-09T12:31:43Z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