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svg" ContentType="image/svg+xml"/>
  <Override PartName="/word/media/rId33.svg" ContentType="image/svg+xml"/>
  <Override PartName="/word/media/rId34.svg" ContentType="image/svg+xml"/>
  <Override PartName="/word/media/rId3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9cf75eb6c88c04ea3d3656b65c138eab314f5a4"/>
    <w:p>
      <w:pPr>
        <w:pStyle w:val="Heading1"/>
      </w:pPr>
      <w:r>
        <w:t xml:space="preserve">AIS Collision-Risk Heatmap Manuscript Draft v0.2 (English)</w:t>
      </w:r>
    </w:p>
    <w:bookmarkStart w:id="20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This study evaluates whether AIS-based model training can estimate area-level collision risk and support navigation decisions through heatmap + contour visualization.</w:t>
      </w:r>
    </w:p>
    <w:bookmarkEnd w:id="20"/>
    <w:bookmarkStart w:id="25" w:name="X5d1c2e49801f299774678c7b6515d0b9eecf2c9"/>
    <w:p>
      <w:pPr>
        <w:pStyle w:val="Heading2"/>
      </w:pPr>
      <w:r>
        <w:t xml:space="preserve">2. Data, Evaluation Setup, and Governance Protocol</w:t>
      </w:r>
    </w:p>
    <w:p>
      <w:pPr>
        <w:numPr>
          <w:ilvl w:val="0"/>
          <w:numId w:val="1001"/>
        </w:numPr>
        <w:pStyle w:val="Compact"/>
      </w:pPr>
      <w:r>
        <w:t xml:space="preserve">Datasets: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Model families: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Validation axes: in-time, out-of-time, cross-region transfer, and calibration (ECE)</w:t>
      </w:r>
    </w:p>
    <w:p>
      <w:pPr>
        <w:numPr>
          <w:ilvl w:val="0"/>
          <w:numId w:val="1001"/>
        </w:numPr>
        <w:pStyle w:val="Compact"/>
      </w:pPr>
      <w:r>
        <w:t xml:space="preserve">Seed policy: 10-seed summaries are treated as the default reporting unit</w:t>
      </w:r>
    </w:p>
    <w:bookmarkStart w:id="21" w:name="data-filtering-policy"/>
    <w:p>
      <w:pPr>
        <w:pStyle w:val="Heading3"/>
      </w:pPr>
      <w:r>
        <w:t xml:space="preserve">2.1 Data Filtering Policy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 deduplicate by</w:t>
      </w:r>
      <w:r>
        <w:t xml:space="preserve"> </w:t>
      </w:r>
      <w:r>
        <w:rPr>
          <w:rStyle w:val="VerbatimChar"/>
        </w:rPr>
        <w:t xml:space="preserve">mmsi + timestamp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remove invalid latitude/longitude range records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 remove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and screen unrealistic speed outliers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 fallback from missing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sort by MMSI timestamp, split long gaps, and interpolate only small gaps</w:t>
      </w:r>
    </w:p>
    <w:bookmarkEnd w:id="21"/>
    <w:bookmarkStart w:id="22" w:name="split-policy"/>
    <w:p>
      <w:pPr>
        <w:pStyle w:val="Heading3"/>
      </w:pPr>
      <w:r>
        <w:t xml:space="preserve">2.2 Split Policy</w:t>
      </w:r>
    </w:p>
    <w:p>
      <w:pPr>
        <w:numPr>
          <w:ilvl w:val="0"/>
          <w:numId w:val="1003"/>
        </w:numPr>
        <w:pStyle w:val="Compact"/>
      </w:pPr>
      <w:r>
        <w:t xml:space="preserve">Timestamp split is the baseline temporal generalization check.</w:t>
      </w:r>
    </w:p>
    <w:p>
      <w:pPr>
        <w:numPr>
          <w:ilvl w:val="0"/>
          <w:numId w:val="1003"/>
        </w:numPr>
        <w:pStyle w:val="Compact"/>
      </w:pPr>
      <w:r>
        <w:t xml:space="preserve">Own-ship split/LOO evaluates vessel-conditioned generalization.</w:t>
      </w:r>
    </w:p>
    <w:p>
      <w:pPr>
        <w:numPr>
          <w:ilvl w:val="0"/>
          <w:numId w:val="1003"/>
        </w:numPr>
        <w:pStyle w:val="Compact"/>
      </w:pPr>
      <w:r>
        <w:t xml:space="preserve">Own-ship case repeat tracks repeatability (F1 std and CI width).</w:t>
      </w:r>
    </w:p>
    <w:bookmarkEnd w:id="22"/>
    <w:bookmarkStart w:id="23" w:name="threshold-governance"/>
    <w:p>
      <w:pPr>
        <w:pStyle w:val="Heading3"/>
      </w:pPr>
      <w:r>
        <w:t xml:space="preserve">2.3 Threshold Governance</w:t>
      </w:r>
    </w:p>
    <w:p>
      <w:pPr>
        <w:numPr>
          <w:ilvl w:val="0"/>
          <w:numId w:val="1004"/>
        </w:numPr>
        <w:pStyle w:val="Compact"/>
      </w:pPr>
      <w:r>
        <w:t xml:space="preserve">Model selection uses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F1-first with variance tie-break</w:t>
      </w:r>
      <w:r>
        <w:t xml:space="preserve"> </w:t>
      </w:r>
      <w:r>
        <w:t xml:space="preserve">policy.</w:t>
      </w:r>
    </w:p>
    <w:p>
      <w:pPr>
        <w:numPr>
          <w:ilvl w:val="0"/>
          <w:numId w:val="1004"/>
        </w:numPr>
        <w:pStyle w:val="Compact"/>
      </w:pPr>
      <w:r>
        <w:t xml:space="preserve">Transfer evaluation applies the source-selected threshold unchanged on target region.</w:t>
      </w:r>
    </w:p>
    <w:p>
      <w:pPr>
        <w:numPr>
          <w:ilvl w:val="0"/>
          <w:numId w:val="1004"/>
        </w:numPr>
        <w:pStyle w:val="Compact"/>
      </w:pPr>
      <w:r>
        <w:t xml:space="preserve">Every threshold change is logged with rationale, approval, and performance/calibration impact.</w:t>
      </w:r>
    </w:p>
    <w:bookmarkEnd w:id="23"/>
    <w:bookmarkStart w:id="24" w:name="X25888f681a01cd63ea71945f22264d361714f42"/>
    <w:p>
      <w:pPr>
        <w:pStyle w:val="Heading3"/>
      </w:pPr>
      <w:r>
        <w:t xml:space="preserve">2.4 Label-Generation Policy (Near-Miss Proxy Grounding)</w:t>
      </w:r>
    </w:p>
    <w:p>
      <w:pPr>
        <w:numPr>
          <w:ilvl w:val="0"/>
          <w:numId w:val="1005"/>
        </w:numPr>
        <w:pStyle w:val="Compact"/>
      </w:pPr>
      <w:r>
        <w:t xml:space="preserve">Deterministic label rule:</w:t>
      </w:r>
      <w:r>
        <w:t xml:space="preserve"> </w:t>
      </w:r>
      <w:r>
        <w:rPr>
          <w:rStyle w:val="VerbatimChar"/>
        </w:rPr>
        <w:t xml:space="preserve">label_future_conflict = 1</w:t>
      </w:r>
      <w:r>
        <w:t xml:space="preserve"> </w:t>
      </w:r>
      <w:r>
        <w:t xml:space="preserve">iff</w:t>
      </w:r>
      <w:r>
        <w:t xml:space="preserve"> </w:t>
      </w:r>
      <w:r>
        <w:rPr>
          <w:rStyle w:val="VerbatimChar"/>
        </w:rPr>
        <w:t xml:space="preserve">future_min_distance_nm &lt;= label_distance_nm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Default configuration:</w:t>
      </w:r>
      <w:r>
        <w:t xml:space="preserve"> </w:t>
      </w:r>
      <w:r>
        <w:rPr>
          <w:rStyle w:val="VerbatimChar"/>
        </w:rPr>
        <w:t xml:space="preserve">label_distance_nm=0.5 NM</w:t>
      </w:r>
      <w:r>
        <w:t xml:space="preserve">,</w:t>
      </w:r>
      <w:r>
        <w:t xml:space="preserve"> </w:t>
      </w:r>
      <w:r>
        <w:rPr>
          <w:rStyle w:val="VerbatimChar"/>
        </w:rPr>
        <w:t xml:space="preserve">horizon=15 minutes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future_points_used &gt;= 2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The learning target is therefore a reconstructed-trajectory near-miss proxy, not an actual collision ground truth (</w:t>
      </w:r>
      <w:r>
        <w:rPr>
          <w:rStyle w:val="VerbatimChar"/>
        </w:rPr>
        <w:t xml:space="preserve">RW-03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Operational interpretation: this label supports early-warning prioritization, not legal collision adjudication.</w:t>
      </w:r>
    </w:p>
    <w:bookmarkEnd w:id="24"/>
    <w:bookmarkEnd w:id="25"/>
    <w:bookmarkStart w:id="27" w:name="final-model-selection-10-seed"/>
    <w:p>
      <w:pPr>
        <w:pStyle w:val="Heading2"/>
      </w:pPr>
      <w:r>
        <w:t xml:space="preserve">3. Final Model Selection (10-seed)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Interpretation: all three regions satisfy the ECE gate, and the final model is chosen by performance/variance tradeoff.</w:t>
      </w:r>
      <w:r>
        <w:t xml:space="preserve"> </w:t>
      </w:r>
      <w:r>
        <w:rPr>
          <w:rStyle w:val="VerbatimChar"/>
        </w:rPr>
        <w:t xml:space="preserve">hgbt</w:t>
      </w:r>
      <w:r>
        <w:t xml:space="preserve"> </w:t>
      </w:r>
      <w:r>
        <w:t xml:space="preserve">is selected for Houston and NOLA, while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 </w:t>
      </w:r>
      <w:r>
        <w:t xml:space="preserve">is selected for Seattle.</w:t>
      </w:r>
    </w:p>
    <w:bookmarkStart w:id="26" w:name="uncertainty-95-ci"/>
    <w:p>
      <w:pPr>
        <w:pStyle w:val="Heading3"/>
      </w:pPr>
      <w:r>
        <w:t xml:space="preserve">3.1 Uncertainty 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Note: CIs use normal approximation from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n=10 seeds</w:t>
      </w:r>
      <w:r>
        <w:t xml:space="preserve"> </w:t>
      </w:r>
      <w:r>
        <w:t xml:space="preserve">assumption.</w:t>
      </w:r>
    </w:p>
    <w:bookmarkEnd w:id="26"/>
    <w:bookmarkEnd w:id="27"/>
    <w:bookmarkStart w:id="30" w:name="core-transfer-performance"/>
    <w:p>
      <w:pPr>
        <w:pStyle w:val="Heading2"/>
      </w:pPr>
      <w:r>
        <w:t xml:space="preserve">4. Core Transfer Performance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Interpretation: Houston as source shows negative ΔF1 (domain-shift stress), while NOLA/Seattle sources show positive or near-neutral transfer outcomes.</w:t>
      </w:r>
    </w:p>
    <w:bookmarkStart w:id="28" w:name="transfer-uncertainty-bootstrap-95-ci"/>
    <w:p>
      <w:pPr>
        <w:pStyle w:val="Heading3"/>
      </w:pPr>
      <w:r>
        <w:t xml:space="preserve">4.1 Transfer Uncertainty 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Note: transfer CIs are bootstrap estimates from source/target prediction CSVs.</w:t>
      </w:r>
    </w:p>
    <w:p>
      <w:pPr>
        <w:numPr>
          <w:ilvl w:val="0"/>
          <w:numId w:val="1007"/>
        </w:numPr>
        <w:pStyle w:val="Compact"/>
      </w:pPr>
      <w:r>
        <w:t xml:space="preserve">Additional caution (high-uncertainty routes): No high-uncertainty transfer route detected.</w:t>
      </w:r>
    </w:p>
    <w:bookmarkEnd w:id="28"/>
    <w:bookmarkStart w:id="29" w:name="X5648d77f271f43fcab324fc7dc4a2c9131e2294"/>
    <w:p>
      <w:pPr>
        <w:pStyle w:val="Heading3"/>
      </w:pPr>
      <w:r>
        <w:t xml:space="preserve">4.2 Out-of-Domain Validation Expansion (Additional Area/Year Transfer)</w:t>
      </w:r>
    </w:p>
    <w:p>
      <w:pPr>
        <w:numPr>
          <w:ilvl w:val="0"/>
          <w:numId w:val="1008"/>
        </w:numPr>
        <w:pStyle w:val="Compact"/>
      </w:pPr>
      <w:r>
        <w:t xml:space="preserve">Detail CSV:</w:t>
      </w:r>
      <w:r>
        <w:t xml:space="preserve"> </w:t>
      </w:r>
      <w:r>
        <w:rPr>
          <w:rStyle w:val="VerbatimChar"/>
        </w:rPr>
        <w:t xml:space="preserve">out_of_domain_validation_detail_summary.csv</w:t>
      </w:r>
    </w:p>
    <w:p>
      <w:pPr>
        <w:numPr>
          <w:ilvl w:val="0"/>
          <w:numId w:val="1008"/>
        </w:numPr>
        <w:pStyle w:val="Compact"/>
      </w:pPr>
      <w:r>
        <w:t xml:space="preserve">Summary CSV:</w:t>
      </w:r>
      <w:r>
        <w:t xml:space="preserve"> </w:t>
      </w:r>
      <w:r>
        <w:rPr>
          <w:rStyle w:val="VerbatimChar"/>
        </w:rPr>
        <w:t xml:space="preserve">out_of_domain_validation_summary.csv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evidence_type</w:t>
            </w:r>
          </w:p>
        </w:tc>
        <w:tc>
          <w:p>
            <w:pPr>
              <w:pStyle w:val="Compact"/>
              <w:jc w:val="left"/>
            </w:pPr>
            <w:r>
              <w:t xml:space="preserve">split</w:t>
            </w:r>
          </w:p>
        </w:tc>
        <w:tc>
          <w:p>
            <w:pPr>
              <w:pStyle w:val="Compact"/>
              <w:jc w:val="left"/>
            </w:pPr>
            <w:r>
              <w:t xml:space="preserve">row_count</w:t>
            </w:r>
          </w:p>
        </w:tc>
        <w:tc>
          <w:p>
            <w:pPr>
              <w:pStyle w:val="Compact"/>
              <w:jc w:val="left"/>
            </w:pPr>
            <w:r>
              <w:t xml:space="preserve">region_count</w:t>
            </w:r>
          </w:p>
        </w:tc>
        <w:tc>
          <w:p>
            <w:pPr>
              <w:pStyle w:val="Compact"/>
              <w:jc w:val="left"/>
            </w:pPr>
            <w:r>
              <w:t xml:space="preserve">hgbt_f1_mean</w:t>
            </w:r>
          </w:p>
        </w:tc>
        <w:tc>
          <w:p>
            <w:pPr>
              <w:pStyle w:val="Compact"/>
              <w:jc w:val="left"/>
            </w:pPr>
            <w:r>
              <w:t xml:space="preserve">hgbt_f1_min</w:t>
            </w:r>
          </w:p>
        </w:tc>
        <w:tc>
          <w:p>
            <w:pPr>
              <w:pStyle w:val="Compact"/>
              <w:jc w:val="left"/>
            </w:pPr>
            <w:r>
              <w:t xml:space="preserve">hgbt_f1_max</w:t>
            </w:r>
          </w:p>
        </w:tc>
        <w:tc>
          <w:p>
            <w:pPr>
              <w:pStyle w:val="Compact"/>
              <w:jc w:val="left"/>
            </w:pPr>
            <w:r>
              <w:t xml:space="preserve">hgbt_minus_logreg_f1_mean</w:t>
            </w:r>
          </w:p>
        </w:tc>
        <w:tc>
          <w:p>
            <w:pPr>
              <w:pStyle w:val="Compact"/>
              <w:jc w:val="left"/>
            </w:pPr>
            <w:r>
              <w:t xml:space="preserve">negative_delta_count</w:t>
            </w:r>
          </w:p>
        </w:tc>
        <w:tc>
          <w:p>
            <w:pPr>
              <w:pStyle w:val="Compact"/>
              <w:jc w:val="left"/>
            </w:pPr>
            <w:r>
              <w:t xml:space="preserve">support_low_count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cross_year_transfer</w:t>
            </w:r>
          </w:p>
        </w:tc>
        <w:tc>
          <w:p>
            <w:pPr>
              <w:pStyle w:val="Compact"/>
              <w:jc w:val="left"/>
            </w:pPr>
            <w:r>
              <w:t xml:space="preserve">own_ship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0.7479</w:t>
            </w:r>
          </w:p>
        </w:tc>
        <w:tc>
          <w:p>
            <w:pPr>
              <w:pStyle w:val="Compact"/>
              <w:jc w:val="left"/>
            </w:pPr>
            <w:r>
              <w:t xml:space="preserve">0.6281</w:t>
            </w:r>
          </w:p>
        </w:tc>
        <w:tc>
          <w:p>
            <w:pPr>
              <w:pStyle w:val="Compact"/>
              <w:jc w:val="left"/>
            </w:pPr>
            <w:r>
              <w:t xml:space="preserve">0.8830</w:t>
            </w:r>
          </w:p>
        </w:tc>
        <w:tc>
          <w:p>
            <w:pPr>
              <w:pStyle w:val="Compact"/>
              <w:jc w:val="left"/>
            </w:pPr>
            <w:r>
              <w:t xml:space="preserve">+0.1378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true_unseen_area</w:t>
            </w:r>
          </w:p>
        </w:tc>
        <w:tc>
          <w:p>
            <w:pPr>
              <w:pStyle w:val="Compact"/>
              <w:jc w:val="left"/>
            </w:pPr>
            <w:r>
              <w:t xml:space="preserve">own_ship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0.7293</w:t>
            </w:r>
          </w:p>
        </w:tc>
        <w:tc>
          <w:p>
            <w:pPr>
              <w:pStyle w:val="Compact"/>
              <w:jc w:val="left"/>
            </w:pPr>
            <w:r>
              <w:t xml:space="preserve">0.6667</w:t>
            </w:r>
          </w:p>
        </w:tc>
        <w:tc>
          <w:p>
            <w:pPr>
              <w:pStyle w:val="Compact"/>
              <w:jc w:val="left"/>
            </w:pPr>
            <w:r>
              <w:t xml:space="preserve">0.7789</w:t>
            </w:r>
          </w:p>
        </w:tc>
        <w:tc>
          <w:p>
            <w:pPr>
              <w:pStyle w:val="Compact"/>
              <w:jc w:val="left"/>
            </w:pPr>
            <w:r>
              <w:t xml:space="preserve">+0.1460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true_unseen_area</w:t>
            </w:r>
          </w:p>
        </w:tc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0.6357</w:t>
            </w:r>
          </w:p>
        </w:tc>
        <w:tc>
          <w:p>
            <w:pPr>
              <w:pStyle w:val="Compact"/>
              <w:jc w:val="left"/>
            </w:pPr>
            <w:r>
              <w:t xml:space="preserve">0.3333</w:t>
            </w:r>
          </w:p>
        </w:tc>
        <w:tc>
          <w:p>
            <w:pPr>
              <w:pStyle w:val="Compact"/>
              <w:jc w:val="left"/>
            </w:pPr>
            <w:r>
              <w:t xml:space="preserve">0.8462</w:t>
            </w:r>
          </w:p>
        </w:tc>
        <w:tc>
          <w:p>
            <w:pPr>
              <w:pStyle w:val="Compact"/>
              <w:jc w:val="left"/>
            </w:pPr>
            <w:r>
              <w:t xml:space="preserve">-0.0521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cross_year_transfer / own_ship: mean F1=0.7479, mean model gap=+0.1378, negative Δ count=1, low-support=0</w:t>
      </w:r>
      <w:r>
        <w:t xml:space="preserve"> </w:t>
      </w:r>
      <w:r>
        <w:t xml:space="preserve">- true_unseen_area / own_ship: mean F1=0.7293, mean model gap=+0.1460, negative Δ count=0, low-support=0</w:t>
      </w:r>
      <w:r>
        <w:t xml:space="preserve"> </w:t>
      </w:r>
      <w:r>
        <w:t xml:space="preserve">- true_unseen_area / timestamp: mean F1=0.6357, mean model gap=-0.0521, negative Δ count=0, low-support=0</w:t>
      </w:r>
      <w:r>
        <w:t xml:space="preserve"> </w:t>
      </w:r>
      <w:r>
        <w:t xml:space="preserve">- Source-summary cross-check: true_area_row_count=8, transfer_row_count=6, true_area_low_support_count=0</w:t>
      </w:r>
    </w:p>
    <w:bookmarkEnd w:id="29"/>
    <w:bookmarkEnd w:id="30"/>
    <w:bookmarkStart w:id="31" w:name="ablation-tabular-vs-raster-cnn"/>
    <w:p>
      <w:pPr>
        <w:pStyle w:val="Heading2"/>
      </w:pPr>
      <w:r>
        <w:t xml:space="preserve">5. Ablation: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Summary interpretation:</w:t>
      </w:r>
      <w:r>
        <w:t xml:space="preserve"> </w:t>
      </w:r>
      <w:r>
        <w:t xml:space="preserve">- houston: ΔF1(tabular-cnn)=-0.0029 (raster-CNN is higher), ΔECE(tabular-cnn)=-0.1229 (tabular shows better calibration).</w:t>
      </w:r>
      <w:r>
        <w:t xml:space="preserve"> </w:t>
      </w:r>
      <w:r>
        <w:t xml:space="preserve">- nola: ΔF1(tabular-cnn)=+0.1583 (tabular is higher), ΔECE(tabular-cnn)=-0.0783 (tabular shows better calibration).</w:t>
      </w:r>
      <w:r>
        <w:t xml:space="preserve"> </w:t>
      </w:r>
      <w:r>
        <w:t xml:space="preserve">- seattle: ΔF1(tabular-cnn)=-0.0149 (raster-CNN is higher), ΔECE(tabular-cnn)=-0.2310 (tabular shows better calibration).</w:t>
      </w:r>
    </w:p>
    <w:bookmarkEnd w:id="31"/>
    <w:bookmarkStart w:id="36" w:name="figure-set"/>
    <w:p>
      <w:pPr>
        <w:pStyle w:val="Heading2"/>
      </w:pPr>
      <w:r>
        <w:t xml:space="preserve">6. Figure Set</w:t>
      </w:r>
    </w:p>
    <w:p>
      <w:pPr>
        <w:numPr>
          <w:ilvl w:val="0"/>
          <w:numId w:val="1009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pStyle w:val="Compact"/>
      </w:pPr>
      <w:r>
        <w:t xml:space="preserve">Figure 4:</w:t>
      </w:r>
      <w:r>
        <w:t xml:space="preserve"> </w:t>
      </w:r>
      <w:r>
        <w:drawing>
          <wp:inline>
            <wp:extent cx="5334000" cy="3048000"/>
            <wp:effectExtent b="0" l="0" r="0" t="0"/>
            <wp:docPr descr="threshold-utility" title="" id="1" name="Picture"/>
            <a:graphic>
              <a:graphicData uri="http://schemas.openxmlformats.org/drawingml/2006/picture">
                <pic:pic>
                  <pic:nvPicPr>
                    <pic:cNvPr descr="figure_4_threshold_utility_curve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terminology-mapping-koreng"/>
    <w:p>
      <w:pPr>
        <w:pStyle w:val="Heading2"/>
      </w:pPr>
      <w:r>
        <w:t xml:space="preserve">7. Terminology Mapping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Detailed terminology guidance is provided in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.</w:t>
      </w:r>
    </w:p>
    <w:bookmarkEnd w:id="37"/>
    <w:bookmarkStart w:id="38" w:name="bilingual-figure-captions"/>
    <w:p>
      <w:pPr>
        <w:pStyle w:val="Heading2"/>
      </w:pPr>
      <w:r>
        <w:t xml:space="preserve">8. Bilingual Figure Captions</w:t>
      </w:r>
    </w:p>
    <w:p>
      <w:pPr>
        <w:numPr>
          <w:ilvl w:val="0"/>
          <w:numId w:val="1010"/>
        </w:numPr>
        <w:pStyle w:val="Compact"/>
      </w:pPr>
      <w:r>
        <w:t xml:space="preserve">KOR/ENG caption set: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8"/>
    <w:bookmarkStart w:id="39" w:name="scenario-visualization-evidence"/>
    <w:p>
      <w:pPr>
        <w:pStyle w:val="Heading2"/>
      </w:pPr>
      <w:r>
        <w:t xml:space="preserve">9. Scenario Visualization Evidence</w:t>
      </w:r>
    </w:p>
    <w:p>
      <w:pPr>
        <w:numPr>
          <w:ilvl w:val="0"/>
          <w:numId w:val="1011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11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11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9"/>
    <w:bookmarkStart w:id="40" w:name="submission-format-note"/>
    <w:p>
      <w:pPr>
        <w:pStyle w:val="Heading2"/>
      </w:pPr>
      <w:r>
        <w:t xml:space="preserve">10. Submission Format Note</w:t>
      </w:r>
    </w:p>
    <w:p>
      <w:pPr>
        <w:numPr>
          <w:ilvl w:val="0"/>
          <w:numId w:val="1012"/>
        </w:numPr>
        <w:pStyle w:val="Compact"/>
      </w:pPr>
      <w:r>
        <w:t xml:space="preserve">At this stage, authoring in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is practical and reproducible.</w:t>
      </w:r>
    </w:p>
    <w:p>
      <w:pPr>
        <w:numPr>
          <w:ilvl w:val="0"/>
          <w:numId w:val="1012"/>
        </w:numPr>
        <w:pStyle w:val="Compact"/>
      </w:pPr>
      <w:r>
        <w:t xml:space="preserve">For venue submission, convert to the target template (Word/LaTeX) while keeping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 </w:t>
      </w:r>
      <w:r>
        <w:t xml:space="preserve">as the single source of truth.</w:t>
      </w:r>
    </w:p>
    <w:bookmarkEnd w:id="40"/>
    <w:bookmarkStart w:id="41" w:name="submission-readiness-artifacts"/>
    <w:p>
      <w:pPr>
        <w:pStyle w:val="Heading2"/>
      </w:pPr>
      <w:r>
        <w:t xml:space="preserve">11. Submission-Readiness Artifacts</w:t>
      </w:r>
    </w:p>
    <w:p>
      <w:pPr>
        <w:numPr>
          <w:ilvl w:val="0"/>
          <w:numId w:val="1013"/>
        </w:numPr>
        <w:pStyle w:val="Compact"/>
      </w:pPr>
      <w:r>
        <w:t xml:space="preserve">LaTeX venue template draft: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3"/>
        </w:numPr>
        <w:pStyle w:val="Compact"/>
      </w:pPr>
      <w:r>
        <w:t xml:space="preserve">Consistency audit report: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3"/>
        </w:numPr>
        <w:pStyle w:val="Compact"/>
      </w:pPr>
      <w:r>
        <w:t xml:space="preserve">Completion scorecard:</w:t>
      </w:r>
      <w:r>
        <w:t xml:space="preserve"> </w:t>
      </w:r>
      <w:r>
        <w:rPr>
          <w:rStyle w:val="VerbatimChar"/>
        </w:rPr>
        <w:t xml:space="preserve">manuscript_completion_scorecard_v0.2_2026-04-09.md</w:t>
      </w:r>
    </w:p>
    <w:p>
      <w:pPr>
        <w:numPr>
          <w:ilvl w:val="0"/>
          <w:numId w:val="1013"/>
        </w:numPr>
        <w:pStyle w:val="Compact"/>
      </w:pPr>
      <w:r>
        <w:t xml:space="preserve">Bilingual parity report:</w:t>
      </w:r>
      <w:r>
        <w:t xml:space="preserve"> </w:t>
      </w:r>
      <w:r>
        <w:rPr>
          <w:rStyle w:val="VerbatimChar"/>
        </w:rPr>
        <w:t xml:space="preserve">bilingual_parity_report_v0.2_2026-04-09.md</w:t>
      </w:r>
    </w:p>
    <w:p>
      <w:pPr>
        <w:numPr>
          <w:ilvl w:val="0"/>
          <w:numId w:val="1013"/>
        </w:numPr>
        <w:pStyle w:val="Compact"/>
      </w:pPr>
      <w:r>
        <w:t xml:space="preserve">Transfer repeated-randomization appendix:</w:t>
      </w:r>
      <w:r>
        <w:t xml:space="preserve"> </w:t>
      </w:r>
      <w:r>
        <w:rPr>
          <w:rStyle w:val="VerbatimChar"/>
        </w:rPr>
        <w:t xml:space="preserve">transfer_route_repeated_randomization_appendix_v0.2_2026-04-09.md</w:t>
      </w:r>
    </w:p>
    <w:p>
      <w:pPr>
        <w:numPr>
          <w:ilvl w:val="0"/>
          <w:numId w:val="1013"/>
        </w:numPr>
        <w:pStyle w:val="Compact"/>
      </w:pPr>
      <w:r>
        <w:t xml:space="preserve">Out-of-domain validation appendix:</w:t>
      </w:r>
      <w:r>
        <w:t xml:space="preserve"> </w:t>
      </w:r>
      <w:r>
        <w:rPr>
          <w:rStyle w:val="VerbatimChar"/>
        </w:rPr>
        <w:t xml:space="preserve">out_of_domain_validation_appendix_v0.2_2026-04-09.md</w:t>
      </w:r>
    </w:p>
    <w:p>
      <w:pPr>
        <w:numPr>
          <w:ilvl w:val="0"/>
          <w:numId w:val="1013"/>
        </w:numPr>
        <w:pStyle w:val="Compact"/>
      </w:pPr>
      <w:r>
        <w:t xml:space="preserve">Automated consistency status: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(6/6)</w:t>
      </w:r>
    </w:p>
    <w:bookmarkEnd w:id="41"/>
    <w:bookmarkStart w:id="43" w:name="prior-work-evidence-matrix"/>
    <w:p>
      <w:pPr>
        <w:pStyle w:val="Heading2"/>
      </w:pPr>
      <w:r>
        <w:t xml:space="preserve">12. Prior-Work Evidence Matrix</w:t>
      </w:r>
    </w:p>
    <w:p>
      <w:pPr>
        <w:numPr>
          <w:ilvl w:val="0"/>
          <w:numId w:val="1014"/>
        </w:numPr>
        <w:pStyle w:val="Compact"/>
      </w:pPr>
      <w:r>
        <w:t xml:space="preserve">Evidence matrix:</w:t>
      </w:r>
      <w:r>
        <w:t xml:space="preserve"> </w:t>
      </w:r>
      <w:r>
        <w:rPr>
          <w:rStyle w:val="VerbatimChar"/>
        </w:rPr>
        <w:t xml:space="preserve">prior_work_evidence_matrix_v0.2_2026-04-09.md</w:t>
      </w:r>
    </w:p>
    <w:p>
      <w:pPr>
        <w:numPr>
          <w:ilvl w:val="0"/>
          <w:numId w:val="1014"/>
        </w:numPr>
        <w:pStyle w:val="Compact"/>
      </w:pPr>
      <w:r>
        <w:t xml:space="preserve">It maps each core claim to supporting literature and explicitly documents residual gaps.</w:t>
      </w:r>
    </w:p>
    <w:bookmarkStart w:id="42" w:name="related-work-differential-core-8-studies"/>
    <w:p>
      <w:pPr>
        <w:pStyle w:val="Heading3"/>
      </w:pPr>
      <w:r>
        <w:t xml:space="preserve">12.1 Related Work Differential (Core 8 Studies)</w:t>
      </w:r>
    </w:p>
    <w:p>
      <w:pPr>
        <w:numPr>
          <w:ilvl w:val="0"/>
          <w:numId w:val="1015"/>
        </w:numPr>
        <w:pStyle w:val="Compact"/>
      </w:pPr>
      <w:r>
        <w:t xml:space="preserve">The table below summarizes one-line novelty deltas against key prior references using</w:t>
      </w:r>
      <w:r>
        <w:t xml:space="preserve"> </w:t>
      </w:r>
      <w:r>
        <w:rPr>
          <w:rStyle w:val="VerbatimChar"/>
        </w:rPr>
        <w:t xml:space="preserve">RW</w:t>
      </w:r>
      <w:r>
        <w:t xml:space="preserve"> </w:t>
      </w:r>
      <w:r>
        <w:t xml:space="preserve">IDs.</w:t>
      </w:r>
      <w:r>
        <w:t xml:space="preserve"> </w:t>
      </w:r>
      <w:r>
        <w:t xml:space="preserve">| rw_id | prior_focus | prior_gap | this_study_delta |</w:t>
      </w:r>
      <w:r>
        <w:t xml:space="preserve"> </w:t>
      </w:r>
      <w:r>
        <w:t xml:space="preserve">| — | — | — | — |</w:t>
      </w:r>
      <w:r>
        <w:t xml:space="preserve"> </w:t>
      </w:r>
      <w:r>
        <w:t xml:space="preserve">| RW-03 | AIS near-miss detection proxy from realized trajectory proximity. | Limited linkage to calibration-governed operational thresholding. | Combines near-miss proxy labeling with ECE-gated model/threshold governance. |</w:t>
      </w:r>
      <w:r>
        <w:t xml:space="preserve"> </w:t>
      </w:r>
      <w:r>
        <w:t xml:space="preserve">| RW-04 | Real-time multi-vessel collision-risk surveillance architecture. | Less emphasis on cross-region transfer uncertainty and significance control. | Adds cross-region transfer CI + repeated-randomization significance appendices. |</w:t>
      </w:r>
      <w:r>
        <w:t xml:space="preserve"> </w:t>
      </w:r>
      <w:r>
        <w:t xml:space="preserve">| RW-05 | Velocity-obstacle geometry baseline for risk candidate detection. | Geometry-first approach lacks ML calibration comparison protocol. | Presents tabular/raster ML ablation with calibration constraints and utility analysis. |</w:t>
      </w:r>
      <w:r>
        <w:t xml:space="preserve"> </w:t>
      </w:r>
      <w:r>
        <w:t xml:space="preserve">| RW-07 | AIS feature pipeline with ML-based risk prediction feasibility. | Weak emphasis on reviewer-ready uncertainty artifact packaging. | Provides manuscript-grade uncertainty/significance/consistency artifact bundle. |</w:t>
      </w:r>
      <w:r>
        <w:t xml:space="preserve"> </w:t>
      </w:r>
      <w:r>
        <w:t xml:space="preserve">| RW-08 | Regional quantitative AIS risk diagnostics. | Transfer-route directionality and route-specific statistical robustness underreported. | Reports route-level delta direction probability and Holm-adjusted repeated tests. |</w:t>
      </w:r>
      <w:r>
        <w:t xml:space="preserve"> </w:t>
      </w:r>
      <w:r>
        <w:t xml:space="preserve">| RW-09 | Method taxonomy and limitation overview for maritime collision risk. | Taxonomy not tied to concrete acceptance-gated manuscript workflow. | Converts taxonomy into examiner-acceptance TODO closure matrix. |</w:t>
      </w:r>
      <w:r>
        <w:t xml:space="preserve"> </w:t>
      </w:r>
      <w:r>
        <w:t xml:space="preserve">| RW-11 | Calibration necessity for modern predictive models. | No maritime-specific ECE governance instantiation. | Operationalizes ECE&lt;=0.1 gate for model and threshold decision flow. |</w:t>
      </w:r>
      <w:r>
        <w:t xml:space="preserve"> </w:t>
      </w:r>
      <w:r>
        <w:t xml:space="preserve">| RW-12 | Theoretical source-target divergence bound for transfer learning. | Theory-to-route evidence bridge is often qualitative only. | Connects divergence caution to route-level empirical transfer significance outcomes. |</w:t>
      </w:r>
    </w:p>
    <w:bookmarkEnd w:id="42"/>
    <w:bookmarkEnd w:id="43"/>
    <w:bookmarkStart w:id="44" w:name="examiner-priority-todo"/>
    <w:p>
      <w:pPr>
        <w:pStyle w:val="Heading2"/>
      </w:pPr>
      <w:r>
        <w:t xml:space="preserve">13. Examiner-Priority TODO</w:t>
      </w:r>
    </w:p>
    <w:p>
      <w:pPr>
        <w:numPr>
          <w:ilvl w:val="0"/>
          <w:numId w:val="1016"/>
        </w:numPr>
        <w:pStyle w:val="Compact"/>
      </w:pPr>
      <w:r>
        <w:t xml:space="preserve">Detailed TODO:</w:t>
      </w:r>
      <w:r>
        <w:t xml:space="preserve"> </w:t>
      </w:r>
      <w:r>
        <w:rPr>
          <w:rStyle w:val="VerbatimChar"/>
        </w:rPr>
        <w:t xml:space="preserve">examiner_critical_todo_v0.2_2026-04-09.md</w:t>
      </w:r>
    </w:p>
    <w:p>
      <w:pPr>
        <w:numPr>
          <w:ilvl w:val="0"/>
          <w:numId w:val="1016"/>
        </w:numPr>
        <w:pStyle w:val="Compact"/>
      </w:pPr>
      <w:r>
        <w:t xml:space="preserve">This TODO prioritizes novelty framing, statistical testing, external validation scope, and operational threshold interpretation.</w:t>
      </w:r>
    </w:p>
    <w:bookmarkEnd w:id="44"/>
    <w:bookmarkStart w:id="45" w:name="statistical-significance-appendix"/>
    <w:p>
      <w:pPr>
        <w:pStyle w:val="Heading2"/>
      </w:pPr>
      <w:r>
        <w:t xml:space="preserve">14. Statistical Significance Appendix</w:t>
      </w:r>
    </w:p>
    <w:p>
      <w:pPr>
        <w:numPr>
          <w:ilvl w:val="0"/>
          <w:numId w:val="1017"/>
        </w:numPr>
        <w:pStyle w:val="Compact"/>
      </w:pPr>
      <w:r>
        <w:t xml:space="preserve">Significance summary CSV:</w:t>
      </w:r>
      <w:r>
        <w:t xml:space="preserve"> </w:t>
      </w:r>
      <w:r>
        <w:rPr>
          <w:rStyle w:val="VerbatimChar"/>
        </w:rPr>
        <w:t xml:space="preserve">model_family_significance_summary.csv</w:t>
      </w:r>
    </w:p>
    <w:p>
      <w:pPr>
        <w:numPr>
          <w:ilvl w:val="0"/>
          <w:numId w:val="1017"/>
        </w:numPr>
        <w:pStyle w:val="Compact"/>
      </w:pPr>
      <w:r>
        <w:t xml:space="preserve">Appendix document:</w:t>
      </w:r>
      <w:r>
        <w:t xml:space="preserve"> </w:t>
      </w:r>
      <w:r>
        <w:rPr>
          <w:rStyle w:val="VerbatimChar"/>
        </w:rPr>
        <w:t xml:space="preserve">statistical_significance_appendix_v0.2_2026-04-09.md</w:t>
      </w:r>
    </w:p>
    <w:p>
      <w:pPr>
        <w:numPr>
          <w:ilvl w:val="0"/>
          <w:numId w:val="1017"/>
        </w:numPr>
        <w:pStyle w:val="Compact"/>
      </w:pPr>
      <w:r>
        <w:t xml:space="preserve">Test configuration: Paired exact sign test + paired exact permutation test with Holm correction (p&lt;0.05).</w:t>
      </w:r>
    </w:p>
    <w:tbl>
      <w:tblPr>
        <w:tblStyle w:val="Table"/>
        <w:tblW w:type="pct" w:w="4999.999999999998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n_pairs</w:t>
            </w:r>
          </w:p>
        </w:tc>
        <w:tc>
          <w:p>
            <w:pPr>
              <w:pStyle w:val="Compact"/>
              <w:jc w:val="left"/>
            </w:pPr>
            <w:r>
              <w:t xml:space="preserve">f1_delta_mean_tabular_minus_cnn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f1_permutation_p_holm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ece_delta_mean_tabular_minus_cnn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ece_permutation_p_holm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+0.0089</w:t>
            </w:r>
          </w:p>
        </w:tc>
        <w:tc>
          <w:p>
            <w:pPr>
              <w:pStyle w:val="Compact"/>
              <w:jc w:val="left"/>
            </w:pPr>
            <w:r>
              <w:t xml:space="preserve">0.3359</w:t>
            </w:r>
          </w:p>
        </w:tc>
        <w:tc>
          <w:p>
            <w:pPr>
              <w:pStyle w:val="Compact"/>
              <w:jc w:val="left"/>
            </w:pPr>
            <w:r>
              <w:t xml:space="preserve">-0.1446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no significant F1 difference;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+0.1559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-0.0870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+0.0136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-0.2572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houston: ΔF1=+0.0089 (Holm p=0.3359), ΔECE=-0.1446 (Holm p=0.0060)</w:t>
      </w:r>
      <w:r>
        <w:t xml:space="preserve"> </w:t>
      </w:r>
      <w:r>
        <w:t xml:space="preserve">- nola: ΔF1=+0.1559 (Holm p=0.0117), ΔECE=-0.0870 (Holm p=0.0060)</w:t>
      </w:r>
      <w:r>
        <w:t xml:space="preserve"> </w:t>
      </w:r>
      <w:r>
        <w:t xml:space="preserve">- seattle: ΔF1=+0.0136 (Holm p=0.0117), ΔECE=-0.2572 (Holm p=0.0060)</w:t>
      </w:r>
    </w:p>
    <w:bookmarkEnd w:id="45"/>
    <w:bookmarkStart w:id="46" w:name="X0d7739412717a22a0ae688af860fff346e5f7e0"/>
    <w:p>
      <w:pPr>
        <w:pStyle w:val="Heading2"/>
      </w:pPr>
      <w:r>
        <w:t xml:space="preserve">15. Transfer-Route Significance Appendix (bootstrap)</w:t>
      </w:r>
    </w:p>
    <w:p>
      <w:pPr>
        <w:numPr>
          <w:ilvl w:val="0"/>
          <w:numId w:val="1018"/>
        </w:numPr>
        <w:pStyle w:val="Compact"/>
      </w:pPr>
      <w:r>
        <w:t xml:space="preserve">Transfer-route significance CSV:</w:t>
      </w:r>
      <w:r>
        <w:t xml:space="preserve"> </w:t>
      </w:r>
      <w:r>
        <w:rPr>
          <w:rStyle w:val="VerbatimChar"/>
        </w:rPr>
        <w:t xml:space="preserve">transfer_route_significance_summary.csv</w:t>
      </w:r>
    </w:p>
    <w:p>
      <w:pPr>
        <w:numPr>
          <w:ilvl w:val="0"/>
          <w:numId w:val="1018"/>
        </w:numPr>
        <w:pStyle w:val="Compact"/>
      </w:pPr>
      <w:r>
        <w:t xml:space="preserve">Appendix document:</w:t>
      </w:r>
      <w:r>
        <w:t xml:space="preserve"> </w:t>
      </w:r>
      <w:r>
        <w:rPr>
          <w:rStyle w:val="VerbatimChar"/>
        </w:rPr>
        <w:t xml:space="preserve">transfer_route_significance_appendix_v0.2_2026-04-09.md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observed_delta_f1</w:t>
            </w:r>
          </w:p>
        </w:tc>
        <w:tc>
          <w:p>
            <w:pPr>
              <w:pStyle w:val="Compact"/>
              <w:jc w:val="left"/>
            </w:pPr>
            <w:r>
              <w:t xml:space="preserve">bootstrap_delta_ci95</w:t>
            </w:r>
          </w:p>
        </w:tc>
        <w:tc>
          <w:p>
            <w:pPr>
              <w:pStyle w:val="Compact"/>
              <w:jc w:val="left"/>
            </w:pPr>
            <w:r>
              <w:t xml:space="preserve">bootstrap_p_two_sided</w:t>
            </w:r>
          </w:p>
        </w:tc>
        <w:tc>
          <w:p>
            <w:pPr>
              <w:pStyle w:val="Compact"/>
              <w:jc w:val="left"/>
            </w:pPr>
            <w:r>
              <w:t xml:space="preserve">direction_probability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[-0.1634, -0.1152]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[-0.2413, -0.1767]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[+0.2332, +0.3986]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[+0.3545, +0.5174]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[-0.0977, +0.1154]</w:t>
            </w:r>
          </w:p>
        </w:tc>
        <w:tc>
          <w:p>
            <w:pPr>
              <w:pStyle w:val="Compact"/>
              <w:jc w:val="left"/>
            </w:pPr>
            <w:r>
              <w:t xml:space="preserve">0.9670</w:t>
            </w:r>
          </w:p>
        </w:tc>
        <w:tc>
          <w:p>
            <w:pPr>
              <w:pStyle w:val="Compact"/>
              <w:jc w:val="left"/>
            </w:pPr>
            <w:r>
              <w:t xml:space="preserve">0.5165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[-0.0393, +0.1521]</w:t>
            </w:r>
          </w:p>
        </w:tc>
        <w:tc>
          <w:p>
            <w:pPr>
              <w:pStyle w:val="Compact"/>
              <w:jc w:val="left"/>
            </w:pPr>
            <w:r>
              <w:t xml:space="preserve">0.2960</w:t>
            </w:r>
          </w:p>
        </w:tc>
        <w:tc>
          <w:p>
            <w:pPr>
              <w:pStyle w:val="Compact"/>
              <w:jc w:val="left"/>
            </w:pPr>
            <w:r>
              <w:t xml:space="preserve">0.8520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houston-&gt;nola: ΔF1=-0.1383, bootstrap p=0.0000, direction_prob=1.0000</w:t>
      </w:r>
      <w:r>
        <w:t xml:space="preserve"> </w:t>
      </w:r>
      <w:r>
        <w:t xml:space="preserve">- houston-&gt;seattle: ΔF1=-0.2103, bootstrap p=0.0000, direction_prob=1.0000</w:t>
      </w:r>
      <w:r>
        <w:t xml:space="preserve"> </w:t>
      </w:r>
      <w:r>
        <w:t xml:space="preserve">- nola-&gt;houston: ΔF1=+0.3213, bootstrap p=0.0000, direction_prob=1.0000</w:t>
      </w:r>
      <w:r>
        <w:t xml:space="preserve"> </w:t>
      </w:r>
      <w:r>
        <w:t xml:space="preserve">- nola-&gt;seattle: ΔF1=+0.4439, bootstrap p=0.0000, direction_prob=1.0000</w:t>
      </w:r>
      <w:r>
        <w:t xml:space="preserve"> </w:t>
      </w:r>
      <w:r>
        <w:t xml:space="preserve">- seattle-&gt;houston: ΔF1=+0.0021, bootstrap p=0.9670, direction_prob=0.5165</w:t>
      </w:r>
      <w:r>
        <w:t xml:space="preserve"> </w:t>
      </w:r>
      <w:r>
        <w:t xml:space="preserve">- seattle-&gt;nola: ΔF1=+0.0488, bootstrap p=0.2960, direction_prob=0.8520</w:t>
      </w:r>
    </w:p>
    <w:bookmarkEnd w:id="46"/>
    <w:bookmarkStart w:id="47" w:name="Xca035c03012a94c8557586c34d9817ef00c193c"/>
    <w:p>
      <w:pPr>
        <w:pStyle w:val="Heading2"/>
      </w:pPr>
      <w:r>
        <w:t xml:space="preserve">16. Transfer-Route Repeated-Randomization Appendix</w:t>
      </w:r>
    </w:p>
    <w:p>
      <w:pPr>
        <w:numPr>
          <w:ilvl w:val="0"/>
          <w:numId w:val="1019"/>
        </w:numPr>
        <w:pStyle w:val="Compact"/>
      </w:pPr>
      <w:r>
        <w:t xml:space="preserve">Repeated-randomization significance CSV:</w:t>
      </w:r>
      <w:r>
        <w:t xml:space="preserve"> </w:t>
      </w:r>
      <w:r>
        <w:rPr>
          <w:rStyle w:val="VerbatimChar"/>
        </w:rPr>
        <w:t xml:space="preserve">transfer_route_repeated_randomization_significance_summary.csv</w:t>
      </w:r>
    </w:p>
    <w:p>
      <w:pPr>
        <w:numPr>
          <w:ilvl w:val="0"/>
          <w:numId w:val="1019"/>
        </w:numPr>
        <w:pStyle w:val="Compact"/>
      </w:pPr>
      <w:r>
        <w:t xml:space="preserve">Appendix document:</w:t>
      </w:r>
      <w:r>
        <w:t xml:space="preserve"> </w:t>
      </w:r>
      <w:r>
        <w:rPr>
          <w:rStyle w:val="VerbatimChar"/>
        </w:rPr>
        <w:t xml:space="preserve">transfer_route_repeated_randomization_appendix_v0.2_2026-04-09.md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observed_delta_f1</w:t>
            </w:r>
          </w:p>
        </w:tc>
        <w:tc>
          <w:p>
            <w:pPr>
              <w:pStyle w:val="Compact"/>
              <w:jc w:val="left"/>
            </w:pPr>
            <w:r>
              <w:t xml:space="preserve">randomization_runs</w:t>
            </w:r>
          </w:p>
        </w:tc>
        <w:tc>
          <w:p>
            <w:pPr>
              <w:pStyle w:val="Compact"/>
              <w:jc w:val="left"/>
            </w:pPr>
            <w:r>
              <w:t xml:space="preserve">delta_mean_across_runs</w:t>
            </w:r>
          </w:p>
        </w:tc>
        <w:tc>
          <w:p>
            <w:pPr>
              <w:pStyle w:val="Compact"/>
              <w:jc w:val="left"/>
            </w:pPr>
            <w:r>
              <w:t xml:space="preserve">delta_ci95_pooled</w:t>
            </w:r>
          </w:p>
        </w:tc>
        <w:tc>
          <w:p>
            <w:pPr>
              <w:pStyle w:val="Compact"/>
              <w:jc w:val="left"/>
            </w:pPr>
            <w:r>
              <w:t xml:space="preserve">p_two_sided_median</w:t>
            </w:r>
          </w:p>
        </w:tc>
        <w:tc>
          <w:p>
            <w:pPr>
              <w:pStyle w:val="Compact"/>
              <w:jc w:val="left"/>
            </w:pPr>
            <w:r>
              <w:t xml:space="preserve">p_two_sided_median_holm</w:t>
            </w:r>
          </w:p>
        </w:tc>
        <w:tc>
          <w:p>
            <w:pPr>
              <w:pStyle w:val="Compact"/>
              <w:jc w:val="left"/>
            </w:pPr>
            <w:r>
              <w:t xml:space="preserve">direction_consistency</w:t>
            </w:r>
          </w:p>
        </w:tc>
        <w:tc>
          <w:p>
            <w:pPr>
              <w:pStyle w:val="Compact"/>
              <w:jc w:val="left"/>
            </w:pPr>
            <w:r>
              <w:t xml:space="preserve">significant_runs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[-0.1630, -0.1149]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[-0.2429, -0.1783]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+0.3197</w:t>
            </w:r>
          </w:p>
        </w:tc>
        <w:tc>
          <w:p>
            <w:pPr>
              <w:pStyle w:val="Compact"/>
              <w:jc w:val="left"/>
            </w:pPr>
            <w:r>
              <w:t xml:space="preserve">[+0.2316, +0.4027]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+0.4420</w:t>
            </w:r>
          </w:p>
        </w:tc>
        <w:tc>
          <w:p>
            <w:pPr>
              <w:pStyle w:val="Compact"/>
              <w:jc w:val="left"/>
            </w:pPr>
            <w:r>
              <w:t xml:space="preserve">[+0.3588, +0.5199]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+0.0020</w:t>
            </w:r>
          </w:p>
        </w:tc>
        <w:tc>
          <w:p>
            <w:pPr>
              <w:pStyle w:val="Compact"/>
              <w:jc w:val="left"/>
            </w:pPr>
            <w:r>
              <w:t xml:space="preserve">[-0.0971, +0.1092]</w:t>
            </w:r>
          </w:p>
        </w:tc>
        <w:tc>
          <w:p>
            <w:pPr>
              <w:pStyle w:val="Compact"/>
              <w:jc w:val="left"/>
            </w:pPr>
            <w:r>
              <w:t xml:space="preserve">0.9750</w:t>
            </w:r>
          </w:p>
        </w:tc>
        <w:tc>
          <w:p>
            <w:pPr>
              <w:pStyle w:val="Compact"/>
              <w:jc w:val="left"/>
            </w:pPr>
            <w:r>
              <w:t xml:space="preserve">0.9750</w:t>
            </w:r>
          </w:p>
        </w:tc>
        <w:tc>
          <w:p>
            <w:pPr>
              <w:pStyle w:val="Compact"/>
              <w:jc w:val="left"/>
            </w:pPr>
            <w:r>
              <w:t xml:space="preserve">0.9600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[-0.0404, +0.1489]</w:t>
            </w:r>
          </w:p>
        </w:tc>
        <w:tc>
          <w:p>
            <w:pPr>
              <w:pStyle w:val="Compact"/>
              <w:jc w:val="left"/>
            </w:pPr>
            <w:r>
              <w:t xml:space="preserve">0.3100</w:t>
            </w:r>
          </w:p>
        </w:tc>
        <w:tc>
          <w:p>
            <w:pPr>
              <w:pStyle w:val="Compact"/>
              <w:jc w:val="left"/>
            </w:pPr>
            <w:r>
              <w:t xml:space="preserve">0.6200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not_conclusive_after_holm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houston-&gt;nola: median p=0.0000, Holm p=0.0000, direction_consistency=1.0000, sig_runs=25/25</w:t>
      </w:r>
      <w:r>
        <w:t xml:space="preserve"> </w:t>
      </w:r>
      <w:r>
        <w:t xml:space="preserve">- houston-&gt;seattle: median p=0.0000, Holm p=0.0000, direction_consistency=1.0000, sig_runs=25/25</w:t>
      </w:r>
      <w:r>
        <w:t xml:space="preserve"> </w:t>
      </w:r>
      <w:r>
        <w:t xml:space="preserve">- nola-&gt;houston: median p=0.0000, Holm p=0.0000, direction_consistency=1.0000, sig_runs=25/25</w:t>
      </w:r>
      <w:r>
        <w:t xml:space="preserve"> </w:t>
      </w:r>
      <w:r>
        <w:t xml:space="preserve">- nola-&gt;seattle: median p=0.0000, Holm p=0.0000, direction_consistency=1.0000, sig_runs=25/25</w:t>
      </w:r>
      <w:r>
        <w:t xml:space="preserve"> </w:t>
      </w:r>
      <w:r>
        <w:t xml:space="preserve">- seattle-&gt;houston: median p=0.9750, Holm p=0.9750, direction_consistency=0.9600, sig_runs=0/25</w:t>
      </w:r>
      <w:r>
        <w:t xml:space="preserve"> </w:t>
      </w:r>
      <w:r>
        <w:t xml:space="preserve">- seattle-&gt;nola: median p=0.3100, Holm p=0.6200, direction_consistency=1.0000, sig_runs=0/25</w:t>
      </w:r>
    </w:p>
    <w:bookmarkEnd w:id="47"/>
    <w:bookmarkStart w:id="48" w:name="X87628fc250d7b1867276627138d9078c8975729"/>
    <w:p>
      <w:pPr>
        <w:pStyle w:val="Heading2"/>
      </w:pPr>
      <w:r>
        <w:t xml:space="preserve">17. Threshold Utility Appendix (Operational Cost Profile)</w:t>
      </w:r>
    </w:p>
    <w:p>
      <w:pPr>
        <w:numPr>
          <w:ilvl w:val="0"/>
          <w:numId w:val="1020"/>
        </w:numPr>
        <w:pStyle w:val="Compact"/>
      </w:pPr>
      <w:r>
        <w:t xml:space="preserve">Utility-curve CSV:</w:t>
      </w:r>
      <w:r>
        <w:t xml:space="preserve"> </w:t>
      </w:r>
      <w:r>
        <w:rPr>
          <w:rStyle w:val="VerbatimChar"/>
        </w:rPr>
        <w:t xml:space="preserve">threshold_utility_curve_summary.csv</w:t>
      </w:r>
    </w:p>
    <w:p>
      <w:pPr>
        <w:numPr>
          <w:ilvl w:val="0"/>
          <w:numId w:val="1020"/>
        </w:numPr>
        <w:pStyle w:val="Compact"/>
      </w:pPr>
      <w:r>
        <w:t xml:space="preserve">Operating-point CSV:</w:t>
      </w:r>
      <w:r>
        <w:t xml:space="preserve"> </w:t>
      </w:r>
      <w:r>
        <w:rPr>
          <w:rStyle w:val="VerbatimChar"/>
        </w:rPr>
        <w:t xml:space="preserve">threshold_utility_operating_points.csv</w:t>
      </w:r>
    </w:p>
    <w:p>
      <w:pPr>
        <w:numPr>
          <w:ilvl w:val="0"/>
          <w:numId w:val="1020"/>
        </w:numPr>
        <w:pStyle w:val="Compact"/>
      </w:pPr>
      <w:r>
        <w:t xml:space="preserve">Utility appendix document:</w:t>
      </w:r>
      <w:r>
        <w:t xml:space="preserve"> </w:t>
      </w:r>
      <w:r>
        <w:rPr>
          <w:rStyle w:val="VerbatimChar"/>
        </w:rPr>
        <w:t xml:space="preserve">threshold_utility_appendix_v0.2_2026-04-09.md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governed_threshold</w:t>
            </w:r>
          </w:p>
        </w:tc>
        <w:tc>
          <w:p>
            <w:pPr>
              <w:pStyle w:val="Compact"/>
              <w:jc w:val="left"/>
            </w:pPr>
            <w:r>
              <w:t xml:space="preserve">utility_opt_threshold</w:t>
            </w:r>
          </w:p>
        </w:tc>
        <w:tc>
          <w:p>
            <w:pPr>
              <w:pStyle w:val="Compact"/>
              <w:jc w:val="left"/>
            </w:pPr>
            <w:r>
              <w:t xml:space="preserve">threshold_shift</w:t>
            </w:r>
          </w:p>
        </w:tc>
        <w:tc>
          <w:p>
            <w:pPr>
              <w:pStyle w:val="Compact"/>
              <w:jc w:val="left"/>
            </w:pPr>
            <w:r>
              <w:t xml:space="preserve">governed_f1</w:t>
            </w:r>
          </w:p>
        </w:tc>
        <w:tc>
          <w:p>
            <w:pPr>
              <w:pStyle w:val="Compact"/>
              <w:jc w:val="left"/>
            </w:pPr>
            <w:r>
              <w:t xml:space="preserve">opt_f1</w:t>
            </w:r>
          </w:p>
        </w:tc>
        <w:tc>
          <w:p>
            <w:pPr>
              <w:pStyle w:val="Compact"/>
              <w:jc w:val="left"/>
            </w:pPr>
            <w:r>
              <w:t xml:space="preserve">cost_reduction_pct</w:t>
            </w:r>
          </w:p>
        </w:tc>
        <w:tc>
          <w:p>
            <w:pPr>
              <w:pStyle w:val="Compact"/>
              <w:jc w:val="left"/>
            </w:pPr>
            <w:r>
              <w:t xml:space="preserve">governed_fp</w:t>
            </w:r>
          </w:p>
        </w:tc>
        <w:tc>
          <w:p>
            <w:pPr>
              <w:pStyle w:val="Compact"/>
              <w:jc w:val="left"/>
            </w:pPr>
            <w:r>
              <w:t xml:space="preserve">governed_fn</w:t>
            </w:r>
          </w:p>
        </w:tc>
        <w:tc>
          <w:p>
            <w:pPr>
              <w:pStyle w:val="Compact"/>
              <w:jc w:val="left"/>
            </w:pPr>
            <w:r>
              <w:t xml:space="preserve">opt_fp</w:t>
            </w:r>
          </w:p>
        </w:tc>
        <w:tc>
          <w:p>
            <w:pPr>
              <w:pStyle w:val="Compact"/>
              <w:jc w:val="left"/>
            </w:pPr>
            <w:r>
              <w:t xml:space="preserve">opt_fn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0.8372</w:t>
            </w:r>
          </w:p>
        </w:tc>
        <w:tc>
          <w:p>
            <w:pPr>
              <w:pStyle w:val="Compact"/>
              <w:jc w:val="left"/>
            </w:pPr>
            <w:r>
              <w:t xml:space="preserve">+46.43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p>
            <w:pPr>
              <w:pStyle w:val="Compact"/>
              <w:jc w:val="left"/>
            </w:pPr>
            <w:r>
              <w:t xml:space="preserve">+0.03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0.6250</w:t>
            </w:r>
          </w:p>
        </w:tc>
        <w:tc>
          <w:p>
            <w:pPr>
              <w:pStyle w:val="Compact"/>
              <w:jc w:val="left"/>
            </w:pPr>
            <w:r>
              <w:t xml:space="preserve">+5.38</w:t>
            </w:r>
          </w:p>
        </w:tc>
        <w:tc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0.8308</w:t>
            </w:r>
          </w:p>
        </w:tc>
        <w:tc>
          <w:p>
            <w:pPr>
              <w:pStyle w:val="Compact"/>
              <w:jc w:val="left"/>
            </w:pPr>
            <w:r>
              <w:t xml:space="preserve">+47.50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houston: governed=0.95 -&gt; utility-opt=0.05, cost_reduction=+46.43%, F1_delta=+0.0086</w:t>
      </w:r>
      <w:r>
        <w:t xml:space="preserve"> </w:t>
      </w:r>
      <w:r>
        <w:t xml:space="preserve">- nola: governed=0.35 -&gt; utility-opt=0.38, cost_reduction=+5.38%, F1_delta=+0.0235</w:t>
      </w:r>
      <w:r>
        <w:t xml:space="preserve"> </w:t>
      </w:r>
      <w:r>
        <w:t xml:space="preserve">- seattle: governed=0.60 -&gt; utility-opt=0.36, cost_reduction=+47.50%, F1_delta=+0.0160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svg" /><Relationship Type="http://schemas.openxmlformats.org/officeDocument/2006/relationships/image" Id="rId33" Target="media/rId33.svg" /><Relationship Type="http://schemas.openxmlformats.org/officeDocument/2006/relationships/image" Id="rId34" Target="media/rId34.svg" /><Relationship Type="http://schemas.openxmlformats.org/officeDocument/2006/relationships/image" Id="rId35" Target="media/rId3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2026-04-09T13:09:28Z</dcterms:created>
  <dcterms:modified xsi:type="dcterms:W3CDTF">2026-04-09T13:09:28Z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