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3.svg" ContentType="image/svg+xml"/>
  <Override PartName="/word/media/rId34.svg" ContentType="image/svg+xml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5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Start w:id="24" w:name="X25888f681a01cd63ea71945f22264d361714f42"/>
    <w:p>
      <w:pPr>
        <w:pStyle w:val="Heading3"/>
      </w:pPr>
      <w:r>
        <w:t xml:space="preserve">2.4 Label-Generation Policy (Near-Miss Proxy Grounding)</w:t>
      </w:r>
    </w:p>
    <w:p>
      <w:pPr>
        <w:numPr>
          <w:ilvl w:val="0"/>
          <w:numId w:val="1005"/>
        </w:numPr>
        <w:pStyle w:val="Compact"/>
      </w:pPr>
      <w:r>
        <w:t xml:space="preserve">Deterministic label rule:</w:t>
      </w:r>
      <w:r>
        <w:t xml:space="preserve"> </w:t>
      </w:r>
      <w:r>
        <w:rPr>
          <w:rStyle w:val="VerbatimChar"/>
        </w:rPr>
        <w:t xml:space="preserve">label_future_conflict = 1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future_min_distance_nm &lt;= label_distance_nm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Default configuration:</w:t>
      </w:r>
      <w:r>
        <w:t xml:space="preserve"> </w:t>
      </w:r>
      <w:r>
        <w:rPr>
          <w:rStyle w:val="VerbatimChar"/>
        </w:rPr>
        <w:t xml:space="preserve">label_distance_nm=0.5 NM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horizon=15 minutes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future_points_used &gt;= 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learning target is therefore a reconstructed-trajectory near-miss proxy, not an actual collision ground truth (</w:t>
      </w:r>
      <w:r>
        <w:rPr>
          <w:rStyle w:val="VerbatimChar"/>
        </w:rPr>
        <w:t xml:space="preserve">RW-03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Operational interpretation: this label supports early-warning prioritization, not legal collision adjudication.</w:t>
      </w:r>
    </w:p>
    <w:bookmarkEnd w:id="24"/>
    <w:bookmarkEnd w:id="25"/>
    <w:bookmarkStart w:id="27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6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6"/>
    <w:bookmarkEnd w:id="27"/>
    <w:bookmarkStart w:id="30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8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7"/>
        </w:numPr>
        <w:pStyle w:val="Compact"/>
      </w:pPr>
      <w:r>
        <w:t xml:space="preserve">Additional caution (high-uncertainty routes): No high-uncertainty transfer route detected.</w:t>
      </w:r>
    </w:p>
    <w:bookmarkEnd w:id="28"/>
    <w:bookmarkStart w:id="29" w:name="X5648d77f271f43fcab324fc7dc4a2c9131e2294"/>
    <w:p>
      <w:pPr>
        <w:pStyle w:val="Heading3"/>
      </w:pPr>
      <w:r>
        <w:t xml:space="preserve">4.2 Out-of-Domain Validation Expansion (Additional Area/Year Transfer)</w:t>
      </w:r>
    </w:p>
    <w:p>
      <w:pPr>
        <w:numPr>
          <w:ilvl w:val="0"/>
          <w:numId w:val="1008"/>
        </w:numPr>
        <w:pStyle w:val="Compact"/>
      </w:pPr>
      <w:r>
        <w:t xml:space="preserve">Detail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8"/>
        </w:numPr>
        <w:pStyle w:val="Compact"/>
      </w:pPr>
      <w:r>
        <w:t xml:space="preserve">Summary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cross_year_transfer / own_ship: mean F1=0.7479, mean model gap=+0.1378, negative Δ count=1, low-support=0</w:t>
      </w:r>
      <w:r>
        <w:t xml:space="preserve"> </w:t>
      </w:r>
      <w:r>
        <w:t xml:space="preserve">- true_unseen_area / own_ship: mean F1=0.7293, mean model gap=+0.1460, negative Δ count=0, low-support=0</w:t>
      </w:r>
      <w:r>
        <w:t xml:space="preserve"> </w:t>
      </w:r>
      <w:r>
        <w:t xml:space="preserve">- true_unseen_area / timestamp: mean F1=0.6357, mean model gap=-0.0521, negative Δ count=0, low-support=0</w:t>
      </w:r>
      <w:r>
        <w:t xml:space="preserve"> </w:t>
      </w:r>
      <w:r>
        <w:t xml:space="preserve">- Source-summary cross-check: true_area_row_count=8, transfer_row_count=6, true_area_low_support_count=0</w:t>
      </w:r>
    </w:p>
    <w:bookmarkEnd w:id="29"/>
    <w:bookmarkEnd w:id="30"/>
    <w:bookmarkStart w:id="31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31"/>
    <w:bookmarkStart w:id="36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9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7"/>
    <w:bookmarkStart w:id="38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10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8"/>
    <w:bookmarkStart w:id="39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11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1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1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9"/>
    <w:bookmarkStart w:id="40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2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2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40"/>
    <w:bookmarkStart w:id="41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3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3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Completion scorecard:</w:t>
      </w:r>
      <w:r>
        <w:t xml:space="preserve"> </w:t>
      </w:r>
      <w:r>
        <w:rPr>
          <w:rStyle w:val="VerbatimChar"/>
        </w:rPr>
        <w:t xml:space="preserve">manuscript_completion_scorecard_v0.2_2026-04-09.md</w:t>
      </w:r>
    </w:p>
    <w:p>
      <w:pPr>
        <w:numPr>
          <w:ilvl w:val="0"/>
          <w:numId w:val="1013"/>
        </w:numPr>
        <w:pStyle w:val="Compact"/>
      </w:pPr>
      <w:r>
        <w:t xml:space="preserve">Bilingual parity report: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Transfer repeated-randomization appendix: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Out-of-domain validation appendix: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1"/>
    <w:bookmarkStart w:id="43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4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4"/>
        </w:numPr>
        <w:pStyle w:val="Compact"/>
      </w:pPr>
      <w:r>
        <w:t xml:space="preserve">It maps each core claim to supporting literature and explicitly documents residual gaps.</w:t>
      </w:r>
    </w:p>
    <w:bookmarkStart w:id="42" w:name="related-work-differential-core-8-studies"/>
    <w:p>
      <w:pPr>
        <w:pStyle w:val="Heading3"/>
      </w:pPr>
      <w:r>
        <w:t xml:space="preserve">12.1 Related Work Differential (Core 8 Studies)</w:t>
      </w:r>
    </w:p>
    <w:p>
      <w:pPr>
        <w:numPr>
          <w:ilvl w:val="0"/>
          <w:numId w:val="1015"/>
        </w:numPr>
        <w:pStyle w:val="Compact"/>
      </w:pPr>
      <w:r>
        <w:t xml:space="preserve">The table below summarizes one-line novelty deltas against key prior references using</w:t>
      </w:r>
      <w:r>
        <w:t xml:space="preserve"> </w:t>
      </w:r>
      <w:r>
        <w:rPr>
          <w:rStyle w:val="VerbatimChar"/>
        </w:rPr>
        <w:t xml:space="preserve">RW</w:t>
      </w:r>
      <w:r>
        <w:t xml:space="preserve"> </w:t>
      </w:r>
      <w:r>
        <w:t xml:space="preserve">IDs.</w:t>
      </w:r>
      <w:r>
        <w:t xml:space="preserve"> </w:t>
      </w:r>
      <w:r>
        <w:t xml:space="preserve">| rw_id | prior_focus | prior_gap | this_study_delta |</w:t>
      </w:r>
      <w:r>
        <w:t xml:space="preserve"> </w:t>
      </w:r>
      <w:r>
        <w:t xml:space="preserve">| — | — | — | — |</w:t>
      </w:r>
      <w:r>
        <w:t xml:space="preserve"> </w:t>
      </w:r>
      <w:r>
        <w:t xml:space="preserve">| RW-03 | AIS near-miss detection proxy from realized trajectory proximity. | Limited linkage to calibration-governed operational thresholding. | Combines near-miss proxy labeling with ECE-gated model/threshold governance. |</w:t>
      </w:r>
      <w:r>
        <w:t xml:space="preserve"> </w:t>
      </w:r>
      <w:r>
        <w:t xml:space="preserve">| RW-04 | Real-time multi-vessel collision-risk surveillance architecture. | Less emphasis on cross-region transfer uncertainty and significance control. | Adds cross-region transfer CI + repeated-randomization significance appendices. |</w:t>
      </w:r>
      <w:r>
        <w:t xml:space="preserve"> </w:t>
      </w:r>
      <w:r>
        <w:t xml:space="preserve">| RW-05 | Velocity-obstacle geometry baseline for risk candidate detection. | Geometry-first approach lacks ML calibration comparison protocol. | Presents tabular/raster ML ablation with calibration constraints and utility analysis. |</w:t>
      </w:r>
      <w:r>
        <w:t xml:space="preserve"> </w:t>
      </w:r>
      <w:r>
        <w:t xml:space="preserve">| RW-07 | AIS feature pipeline with ML-based risk prediction feasibility. | Weak emphasis on reviewer-ready uncertainty artifact packaging. | Provides manuscript-grade uncertainty/significance/consistency artifact bundle. |</w:t>
      </w:r>
      <w:r>
        <w:t xml:space="preserve"> </w:t>
      </w:r>
      <w:r>
        <w:t xml:space="preserve">| RW-08 | Regional quantitative AIS risk diagnostics. | Transfer-route directionality and route-specific statistical robustness underreported. | Reports route-level delta direction probability and Holm-adjusted repeated tests. |</w:t>
      </w:r>
      <w:r>
        <w:t xml:space="preserve"> </w:t>
      </w:r>
      <w:r>
        <w:t xml:space="preserve">| RW-09 | Method taxonomy and limitation overview for maritime collision risk. | Taxonomy not tied to concrete acceptance-gated manuscript workflow. | Converts taxonomy into examiner-acceptance TODO closure matrix. |</w:t>
      </w:r>
      <w:r>
        <w:t xml:space="preserve"> </w:t>
      </w:r>
      <w:r>
        <w:t xml:space="preserve">| RW-11 | Calibration necessity for modern predictive models. | No maritime-specific ECE governance instantiation. | Operationalizes ECE&lt;=0.1 gate for model and threshold decision flow. |</w:t>
      </w:r>
      <w:r>
        <w:t xml:space="preserve"> </w:t>
      </w:r>
      <w:r>
        <w:t xml:space="preserve">| RW-12 | Theoretical source-target divergence bound for transfer learning. | Theory-to-route evidence bridge is often qualitative only. | Connects divergence caution to route-level empirical transfer significance outcomes. |</w:t>
      </w:r>
    </w:p>
    <w:bookmarkEnd w:id="42"/>
    <w:bookmarkEnd w:id="43"/>
    <w:bookmarkStart w:id="44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6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6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4"/>
    <w:bookmarkStart w:id="45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7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7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7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5"/>
    <w:bookmarkStart w:id="46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8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8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6"/>
    <w:bookmarkStart w:id="47" w:name="Xca035c03012a94c8557586c34d9817ef00c193c"/>
    <w:p>
      <w:pPr>
        <w:pStyle w:val="Heading2"/>
      </w:pPr>
      <w:r>
        <w:t xml:space="preserve">16. Transfer-Route Repeated-Randomization Appendix</w:t>
      </w:r>
    </w:p>
    <w:p>
      <w:pPr>
        <w:numPr>
          <w:ilvl w:val="0"/>
          <w:numId w:val="1019"/>
        </w:numPr>
        <w:pStyle w:val="Compact"/>
      </w:pPr>
      <w:r>
        <w:t xml:space="preserve">Repeated-randomization significance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9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median p=0.0000, Holm p=0.0000, direction_consistency=1.0000, sig_runs=25/25</w:t>
      </w:r>
      <w:r>
        <w:t xml:space="preserve"> </w:t>
      </w:r>
      <w:r>
        <w:t xml:space="preserve">- houston-&gt;seattle: median p=0.0000, Holm p=0.0000, direction_consistency=1.0000, sig_runs=25/25</w:t>
      </w:r>
      <w:r>
        <w:t xml:space="preserve"> </w:t>
      </w:r>
      <w:r>
        <w:t xml:space="preserve">- nola-&gt;houston: median p=0.0000, Holm p=0.0000, direction_consistency=1.0000, sig_runs=25/25</w:t>
      </w:r>
      <w:r>
        <w:t xml:space="preserve"> </w:t>
      </w:r>
      <w:r>
        <w:t xml:space="preserve">- nola-&gt;seattle: median p=0.0000, Holm p=0.0000, direction_consistency=1.0000, sig_runs=25/25</w:t>
      </w:r>
      <w:r>
        <w:t xml:space="preserve"> </w:t>
      </w:r>
      <w:r>
        <w:t xml:space="preserve">- seattle-&gt;houston: median p=0.9750, Holm p=0.9750, direction_consistency=0.9600, sig_runs=0/25</w:t>
      </w:r>
      <w:r>
        <w:t xml:space="preserve"> </w:t>
      </w:r>
      <w:r>
        <w:t xml:space="preserve">- seattle-&gt;nola: median p=0.3100, Holm p=0.6200, direction_consistency=1.0000, sig_runs=0/25</w:t>
      </w:r>
    </w:p>
    <w:bookmarkEnd w:id="47"/>
    <w:bookmarkStart w:id="48" w:name="X87628fc250d7b1867276627138d9078c8975729"/>
    <w:p>
      <w:pPr>
        <w:pStyle w:val="Heading2"/>
      </w:pPr>
      <w:r>
        <w:t xml:space="preserve">17. Threshold Utility Appendix (Operational Cost Profile)</w:t>
      </w:r>
    </w:p>
    <w:p>
      <w:pPr>
        <w:numPr>
          <w:ilvl w:val="0"/>
          <w:numId w:val="1020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20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20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2026-04-09T13:05:39Z</dcterms:created>
  <dcterms:modified xsi:type="dcterms:W3CDTF">2026-04-09T13:05:39Z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