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Start w:id="39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2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It maps each core claim to supporting literature and explicitly documents residual gaps.</w:t>
      </w:r>
    </w:p>
    <w:bookmarkEnd w:id="39"/>
    <w:bookmarkStart w:id="40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3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0"/>
    <w:bookmarkStart w:id="41" w:name="statistical-significance-appendix"/>
    <w:p>
      <w:pPr>
        <w:pStyle w:val="Heading2"/>
      </w:pPr>
      <w:r>
        <w:t xml:space="preserve">14. Statistical Significance Appendix</w:t>
      </w:r>
    </w:p>
    <w:p>
      <w:pPr>
        <w:numPr>
          <w:ilvl w:val="0"/>
          <w:numId w:val="1014"/>
        </w:numPr>
        <w:pStyle w:val="Compact"/>
      </w:pPr>
      <w:r>
        <w:t xml:space="preserve">Significance summary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4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4"/>
        </w:numPr>
        <w:pStyle w:val="Compact"/>
      </w:pPr>
      <w:r>
        <w:t xml:space="preserve">Test configuration: Paired exact sign test + paired exact permutation test with Holm correction (p&lt;0.05).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1"/>
    <w:bookmarkStart w:id="42" w:name="X0d7739412717a22a0ae688af860fff346e5f7e0"/>
    <w:p>
      <w:pPr>
        <w:pStyle w:val="Heading2"/>
      </w:pPr>
      <w:r>
        <w:t xml:space="preserve">15. Transfer-Route Significance Appendix (bootstrap)</w:t>
      </w:r>
    </w:p>
    <w:p>
      <w:pPr>
        <w:numPr>
          <w:ilvl w:val="0"/>
          <w:numId w:val="1015"/>
        </w:numPr>
        <w:pStyle w:val="Compact"/>
      </w:pPr>
      <w:r>
        <w:t xml:space="preserve">Transfer-route significance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5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2026-04-09T12:23:53Z</dcterms:created>
  <dcterms:modified xsi:type="dcterms:W3CDTF">2026-04-09T12:23:53Z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