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9cf75eb6c88c04ea3d3656b65c138eab314f5a4"/>
    <w:p>
      <w:pPr>
        <w:pStyle w:val="Heading1"/>
      </w:pPr>
      <w:r>
        <w:t xml:space="preserve">AIS Collision-Risk Heatmap Manuscript Draft v0.2 (English)</w:t>
      </w:r>
    </w:p>
    <w:bookmarkStart w:id="20" w:name="objective"/>
    <w:p>
      <w:pPr>
        <w:pStyle w:val="Heading2"/>
      </w:pPr>
      <w:r>
        <w:t xml:space="preserve">1. Objective</w:t>
      </w:r>
    </w:p>
    <w:p>
      <w:pPr>
        <w:pStyle w:val="FirstParagraph"/>
      </w:pPr>
      <w:r>
        <w:t xml:space="preserve">This study evaluates whether AIS-based model training can estimate area-level collision risk and support navigation decisions through heatmap + contour visualization.</w:t>
      </w:r>
    </w:p>
    <w:bookmarkEnd w:id="20"/>
    <w:bookmarkStart w:id="24" w:name="X5d1c2e49801f299774678c7b6515d0b9eecf2c9"/>
    <w:p>
      <w:pPr>
        <w:pStyle w:val="Heading2"/>
      </w:pPr>
      <w:r>
        <w:t xml:space="preserve">2. Data, Evaluation Setup, and Governance Protocol</w:t>
      </w:r>
    </w:p>
    <w:p>
      <w:pPr>
        <w:numPr>
          <w:ilvl w:val="0"/>
          <w:numId w:val="1001"/>
        </w:numPr>
        <w:pStyle w:val="Compact"/>
      </w:pPr>
      <w:r>
        <w:t xml:space="preserve">Datasets: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Model families: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Validation axes: in-time, out-of-time, cross-region transfer, and calibration (ECE)</w:t>
      </w:r>
    </w:p>
    <w:p>
      <w:pPr>
        <w:numPr>
          <w:ilvl w:val="0"/>
          <w:numId w:val="1001"/>
        </w:numPr>
        <w:pStyle w:val="Compact"/>
      </w:pPr>
      <w:r>
        <w:t xml:space="preserve">Seed policy: 10-seed summaries are treated as the default reporting unit</w:t>
      </w:r>
    </w:p>
    <w:bookmarkStart w:id="21" w:name="data-filtering-policy"/>
    <w:p>
      <w:pPr>
        <w:pStyle w:val="Heading3"/>
      </w:pPr>
      <w:r>
        <w:t xml:space="preserve">2.1 Data Filtering Policy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 deduplicate by</w:t>
      </w:r>
      <w:r>
        <w:t xml:space="preserve"> </w:t>
      </w:r>
      <w:r>
        <w:rPr>
          <w:rStyle w:val="VerbatimChar"/>
        </w:rPr>
        <w:t xml:space="preserve">mmsi + timestamp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remove invalid latitude/longitude range records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 remove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and screen unrealistic speed outliers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 fallback from missing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cog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sort by MMSI timestamp, split long gaps, and interpolate only small gaps</w:t>
      </w:r>
    </w:p>
    <w:bookmarkEnd w:id="21"/>
    <w:bookmarkStart w:id="22" w:name="split-policy"/>
    <w:p>
      <w:pPr>
        <w:pStyle w:val="Heading3"/>
      </w:pPr>
      <w:r>
        <w:t xml:space="preserve">2.2 Split Policy</w:t>
      </w:r>
    </w:p>
    <w:p>
      <w:pPr>
        <w:numPr>
          <w:ilvl w:val="0"/>
          <w:numId w:val="1003"/>
        </w:numPr>
        <w:pStyle w:val="Compact"/>
      </w:pPr>
      <w:r>
        <w:t xml:space="preserve">Timestamp split is the baseline temporal generalization check.</w:t>
      </w:r>
    </w:p>
    <w:p>
      <w:pPr>
        <w:numPr>
          <w:ilvl w:val="0"/>
          <w:numId w:val="1003"/>
        </w:numPr>
        <w:pStyle w:val="Compact"/>
      </w:pPr>
      <w:r>
        <w:t xml:space="preserve">Own-ship split/LOO evaluates vessel-conditioned generalization.</w:t>
      </w:r>
    </w:p>
    <w:p>
      <w:pPr>
        <w:numPr>
          <w:ilvl w:val="0"/>
          <w:numId w:val="1003"/>
        </w:numPr>
        <w:pStyle w:val="Compact"/>
      </w:pPr>
      <w:r>
        <w:t xml:space="preserve">Own-ship case repeat tracks repeatability (F1 std and CI width).</w:t>
      </w:r>
    </w:p>
    <w:bookmarkEnd w:id="22"/>
    <w:bookmarkStart w:id="23" w:name="threshold-governance"/>
    <w:p>
      <w:pPr>
        <w:pStyle w:val="Heading3"/>
      </w:pPr>
      <w:r>
        <w:t xml:space="preserve">2.3 Threshold Governance</w:t>
      </w:r>
    </w:p>
    <w:p>
      <w:pPr>
        <w:numPr>
          <w:ilvl w:val="0"/>
          <w:numId w:val="1004"/>
        </w:numPr>
        <w:pStyle w:val="Compact"/>
      </w:pPr>
      <w:r>
        <w:t xml:space="preserve">Model selection uses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F1-first with variance tie-break</w:t>
      </w:r>
      <w:r>
        <w:t xml:space="preserve"> </w:t>
      </w:r>
      <w:r>
        <w:t xml:space="preserve">policy.</w:t>
      </w:r>
    </w:p>
    <w:p>
      <w:pPr>
        <w:numPr>
          <w:ilvl w:val="0"/>
          <w:numId w:val="1004"/>
        </w:numPr>
        <w:pStyle w:val="Compact"/>
      </w:pPr>
      <w:r>
        <w:t xml:space="preserve">Transfer evaluation applies the source-selected threshold unchanged on target region.</w:t>
      </w:r>
    </w:p>
    <w:p>
      <w:pPr>
        <w:numPr>
          <w:ilvl w:val="0"/>
          <w:numId w:val="1004"/>
        </w:numPr>
        <w:pStyle w:val="Compact"/>
      </w:pPr>
      <w:r>
        <w:t xml:space="preserve">Every threshold change is logged with rationale, approval, and performance/calibration impact.</w:t>
      </w:r>
    </w:p>
    <w:bookmarkEnd w:id="23"/>
    <w:bookmarkEnd w:id="24"/>
    <w:bookmarkStart w:id="26" w:name="final-model-selection-10-seed"/>
    <w:p>
      <w:pPr>
        <w:pStyle w:val="Heading2"/>
      </w:pPr>
      <w:r>
        <w:t xml:space="preserve">3. Final Model Selection (10-seed)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Interpretation: all three regions satisfy the ECE gate, and the final model is chosen by performance/variance tradeoff.</w:t>
      </w:r>
      <w:r>
        <w:t xml:space="preserve"> </w:t>
      </w:r>
      <w:r>
        <w:rPr>
          <w:rStyle w:val="VerbatimChar"/>
        </w:rPr>
        <w:t xml:space="preserve">hgbt</w:t>
      </w:r>
      <w:r>
        <w:t xml:space="preserve"> </w:t>
      </w:r>
      <w:r>
        <w:t xml:space="preserve">is selected for Houston and NOLA, while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 </w:t>
      </w:r>
      <w:r>
        <w:t xml:space="preserve">is selected for Seattle.</w:t>
      </w:r>
    </w:p>
    <w:bookmarkStart w:id="25" w:name="uncertainty-95-ci"/>
    <w:p>
      <w:pPr>
        <w:pStyle w:val="Heading3"/>
      </w:pPr>
      <w:r>
        <w:t xml:space="preserve">3.1 Uncertainty 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Note: CIs use normal approximation from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n=10 seeds</w:t>
      </w:r>
      <w:r>
        <w:t xml:space="preserve"> </w:t>
      </w:r>
      <w:r>
        <w:t xml:space="preserve">assumption.</w:t>
      </w:r>
    </w:p>
    <w:bookmarkEnd w:id="25"/>
    <w:bookmarkEnd w:id="26"/>
    <w:bookmarkStart w:id="28" w:name="core-transfer-performance"/>
    <w:p>
      <w:pPr>
        <w:pStyle w:val="Heading2"/>
      </w:pPr>
      <w:r>
        <w:t xml:space="preserve">4. Core Transfer Performance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Interpretation: Houston as source shows negative ΔF1 (domain-shift stress), while NOLA/Seattle sources show positive or near-neutral transfer outcomes.</w:t>
      </w:r>
    </w:p>
    <w:bookmarkStart w:id="27" w:name="transfer-uncertainty-bootstrap-95-ci"/>
    <w:p>
      <w:pPr>
        <w:pStyle w:val="Heading3"/>
      </w:pPr>
      <w:r>
        <w:t xml:space="preserve">4.1 Transfer Uncertainty 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Note: transfer CIs are bootstrap estimates from source/target prediction CSVs.</w:t>
      </w:r>
    </w:p>
    <w:p>
      <w:pPr>
        <w:numPr>
          <w:ilvl w:val="0"/>
          <w:numId w:val="1006"/>
        </w:numPr>
        <w:pStyle w:val="Compact"/>
      </w:pPr>
      <w:r>
        <w:t xml:space="preserve">Additional caution (high-uncertainty routes): No high-uncertainty transfer route detected.</w:t>
      </w:r>
    </w:p>
    <w:bookmarkEnd w:id="27"/>
    <w:bookmarkEnd w:id="28"/>
    <w:bookmarkStart w:id="29" w:name="ablation-tabular-vs-raster-cnn"/>
    <w:p>
      <w:pPr>
        <w:pStyle w:val="Heading2"/>
      </w:pPr>
      <w:r>
        <w:t xml:space="preserve">5. Ablation: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Summary interpretation:</w:t>
      </w:r>
      <w:r>
        <w:t xml:space="preserve"> </w:t>
      </w:r>
      <w:r>
        <w:t xml:space="preserve">- houston: ΔF1(tabular-cnn)=-0.0029 (raster-CNN is higher), ΔECE(tabular-cnn)=-0.1229 (tabular shows better calibration).</w:t>
      </w:r>
      <w:r>
        <w:t xml:space="preserve"> </w:t>
      </w:r>
      <w:r>
        <w:t xml:space="preserve">- nola: ΔF1(tabular-cnn)=+0.1583 (tabular is higher), ΔECE(tabular-cnn)=-0.0783 (tabular shows better calibration).</w:t>
      </w:r>
      <w:r>
        <w:t xml:space="preserve"> </w:t>
      </w:r>
      <w:r>
        <w:t xml:space="preserve">- seattle: ΔF1(tabular-cnn)=-0.0149 (raster-CNN is higher), ΔECE(tabular-cnn)=-0.2310 (tabular shows better calibration).</w:t>
      </w:r>
    </w:p>
    <w:bookmarkEnd w:id="29"/>
    <w:bookmarkStart w:id="33" w:name="figure-set"/>
    <w:p>
      <w:pPr>
        <w:pStyle w:val="Heading2"/>
      </w:pPr>
      <w:r>
        <w:t xml:space="preserve">6. Figure Set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terminology-mapping-koreng"/>
    <w:p>
      <w:pPr>
        <w:pStyle w:val="Heading2"/>
      </w:pPr>
      <w:r>
        <w:t xml:space="preserve">7. Terminology Mapping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Detailed terminology guidance is provided in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.</w:t>
      </w:r>
    </w:p>
    <w:bookmarkEnd w:id="34"/>
    <w:bookmarkStart w:id="35" w:name="bilingual-figure-captions"/>
    <w:p>
      <w:pPr>
        <w:pStyle w:val="Heading2"/>
      </w:pPr>
      <w:r>
        <w:t xml:space="preserve">8. Bilingual Figure Captions</w:t>
      </w:r>
    </w:p>
    <w:p>
      <w:pPr>
        <w:numPr>
          <w:ilvl w:val="0"/>
          <w:numId w:val="1008"/>
        </w:numPr>
        <w:pStyle w:val="Compact"/>
      </w:pPr>
      <w:r>
        <w:t xml:space="preserve">KOR/ENG caption set: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scenario-visualization-evidence"/>
    <w:p>
      <w:pPr>
        <w:pStyle w:val="Heading2"/>
      </w:pPr>
      <w:r>
        <w:t xml:space="preserve">9. Scenario Visualization Evidence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submission-format-note"/>
    <w:p>
      <w:pPr>
        <w:pStyle w:val="Heading2"/>
      </w:pPr>
      <w:r>
        <w:t xml:space="preserve">10. Submission Format Note</w:t>
      </w:r>
    </w:p>
    <w:p>
      <w:pPr>
        <w:numPr>
          <w:ilvl w:val="0"/>
          <w:numId w:val="1010"/>
        </w:numPr>
        <w:pStyle w:val="Compact"/>
      </w:pPr>
      <w:r>
        <w:t xml:space="preserve">At this stage, authoring in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is practical and reproducible.</w:t>
      </w:r>
    </w:p>
    <w:p>
      <w:pPr>
        <w:numPr>
          <w:ilvl w:val="0"/>
          <w:numId w:val="1010"/>
        </w:numPr>
        <w:pStyle w:val="Compact"/>
      </w:pPr>
      <w:r>
        <w:t xml:space="preserve">For venue submission, convert to the target template (Word/LaTeX) while keeping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 </w:t>
      </w:r>
      <w:r>
        <w:t xml:space="preserve">as the single source of truth.</w:t>
      </w:r>
    </w:p>
    <w:bookmarkEnd w:id="37"/>
    <w:bookmarkStart w:id="38" w:name="submission-readiness-artifacts"/>
    <w:p>
      <w:pPr>
        <w:pStyle w:val="Heading2"/>
      </w:pPr>
      <w:r>
        <w:t xml:space="preserve">11. Submission-Readiness Artifacts</w:t>
      </w:r>
    </w:p>
    <w:p>
      <w:pPr>
        <w:numPr>
          <w:ilvl w:val="0"/>
          <w:numId w:val="1011"/>
        </w:numPr>
        <w:pStyle w:val="Compact"/>
      </w:pPr>
      <w:r>
        <w:t xml:space="preserve">LaTeX venue template draft: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Consistency audit report: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Automated consistency status: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2026-04-09T11:48:21Z</dcterms:created>
  <dcterms:modified xsi:type="dcterms:W3CDTF">2026-04-09T11:48:21Z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