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2bbf9c0c43f660183b26fc825541050d1bd1a9"/>
    <w:p>
      <w:pPr>
        <w:pStyle w:val="Heading1"/>
      </w:pPr>
      <w:r>
        <w:t xml:space="preserve">Manuscript Consistency Report v0.2 (2026-04-09)</w:t>
      </w:r>
    </w:p>
    <w:p>
      <w:pPr>
        <w:numPr>
          <w:ilvl w:val="0"/>
          <w:numId w:val="1001"/>
        </w:numPr>
        <w:pStyle w:val="Compact"/>
      </w:pPr>
      <w:r>
        <w:t xml:space="preserve">Overall status: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(5/5)</w:t>
      </w:r>
    </w:p>
    <w:p>
      <w:pPr>
        <w:numPr>
          <w:ilvl w:val="0"/>
          <w:numId w:val="1001"/>
        </w:numPr>
        <w:pStyle w:val="Compact"/>
      </w:pPr>
      <w:r>
        <w:t xml:space="preserve">Generated from:</w:t>
      </w:r>
      <w:r>
        <w:t xml:space="preserve"> </w:t>
      </w:r>
      <w:r>
        <w:rPr>
          <w:rStyle w:val="VerbatimChar"/>
        </w:rPr>
        <w:t xml:space="preserve">docs/results/2026-04-04-expanded-10seed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Model-selection claim matches summary table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expected={</w:t>
            </w:r>
            <w:r>
              <w:t xml:space="preserve">‘</w:t>
            </w:r>
            <w:r>
              <w:t xml:space="preserve">houston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hgbt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nola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hgbt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seattle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extra_trees</w:t>
            </w:r>
            <w:r>
              <w:t xml:space="preserve">’</w:t>
            </w:r>
            <w:r>
              <w:t xml:space="preserve">}, observed={</w:t>
            </w:r>
            <w:r>
              <w:t xml:space="preserve">‘</w:t>
            </w:r>
            <w:r>
              <w:t xml:space="preserve">houston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hgbt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nola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hgbt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seattle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extra_trees</w:t>
            </w:r>
            <w:r>
              <w:t xml:space="preserve">’</w:t>
            </w:r>
            <w:r>
              <w:t xml:space="preserve">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ECE gate claim holds for all selected models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all ece_mean_10seed &lt;=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Transfer-sign narrative matches computed deltas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Houston negative, NOLA positive, Seattle near-neutral/positive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figure assets exist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figure_1/2/3 svg files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quantitative tables exist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recommended/transfer/uncertainty/ablation csv files present</w:t>
            </w:r>
          </w:p>
        </w:tc>
      </w:tr>
    </w:tbl>
    <w:bookmarkStart w:id="20" w:name="reviewer-facing-notes"/>
    <w:p>
      <w:pPr>
        <w:pStyle w:val="Heading2"/>
      </w:pPr>
      <w:r>
        <w:t xml:space="preserve">Reviewer-Facing Notes</w:t>
      </w:r>
    </w:p>
    <w:p>
      <w:pPr>
        <w:numPr>
          <w:ilvl w:val="0"/>
          <w:numId w:val="1002"/>
        </w:numPr>
        <w:pStyle w:val="Compact"/>
      </w:pPr>
      <w:r>
        <w:t xml:space="preserve">Transfer CI is computed from source/target prediction CSV via bootstrap.</w:t>
      </w:r>
    </w:p>
    <w:p>
      <w:pPr>
        <w:numPr>
          <w:ilvl w:val="0"/>
          <w:numId w:val="1002"/>
        </w:numPr>
        <w:pStyle w:val="Compact"/>
      </w:pPr>
      <w:r>
        <w:t xml:space="preserve">Houston-source transfer is negative with narrow CI in this run, supporting domain-shift caution.</w:t>
      </w:r>
    </w:p>
    <w:p>
      <w:pPr>
        <w:numPr>
          <w:ilvl w:val="0"/>
          <w:numId w:val="1002"/>
        </w:numPr>
        <w:pStyle w:val="Compact"/>
      </w:pPr>
      <w:r>
        <w:t xml:space="preserve">Seattle transfer routes include zero in CI, so the claim is limited to near-neutral/weak-positive behavior.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2026-04-09T11:41:44Z</dcterms:created>
  <dcterms:modified xsi:type="dcterms:W3CDTF">2026-04-09T11:41:44Z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